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3F2717" w14:textId="2B27AC0C" w:rsidR="006A17A6" w:rsidRPr="006A17A6" w:rsidRDefault="006A17A6" w:rsidP="006A17A6">
      <w:pPr>
        <w:jc w:val="center"/>
        <w:rPr>
          <w:rFonts w:ascii="Times New Roman" w:hAnsi="Times New Roman" w:cs="Times New Roman"/>
          <w:b/>
          <w:sz w:val="24"/>
          <w:szCs w:val="36"/>
          <w:u w:val="single"/>
        </w:rPr>
      </w:pPr>
      <w:r w:rsidRPr="006A17A6">
        <w:rPr>
          <w:rFonts w:ascii="Times New Roman" w:hAnsi="Times New Roman" w:cs="Times New Roman"/>
          <w:b/>
          <w:sz w:val="21"/>
          <w:szCs w:val="28"/>
        </w:rPr>
        <w:br/>
      </w:r>
      <w:r w:rsidRPr="006A17A6">
        <w:rPr>
          <w:rFonts w:ascii="Times New Roman" w:hAnsi="Times New Roman" w:cs="Times New Roman"/>
          <w:b/>
          <w:sz w:val="21"/>
          <w:szCs w:val="28"/>
        </w:rPr>
        <w:br/>
      </w:r>
      <w:r w:rsidRPr="006A17A6">
        <w:rPr>
          <w:rFonts w:ascii="Times New Roman" w:hAnsi="Times New Roman" w:cs="Times New Roman"/>
          <w:b/>
          <w:sz w:val="21"/>
          <w:szCs w:val="28"/>
        </w:rPr>
        <w:br/>
      </w:r>
      <w:r w:rsidRPr="006A17A6">
        <w:rPr>
          <w:rFonts w:ascii="Times New Roman" w:hAnsi="Times New Roman" w:cs="Times New Roman"/>
          <w:b/>
          <w:sz w:val="24"/>
          <w:szCs w:val="36"/>
          <w:u w:val="single"/>
        </w:rPr>
        <w:t>WEBSITE PRIVACY NOTICE</w:t>
      </w:r>
      <w:r>
        <w:rPr>
          <w:rFonts w:ascii="Times New Roman" w:hAnsi="Times New Roman" w:cs="Times New Roman"/>
          <w:b/>
          <w:sz w:val="24"/>
          <w:szCs w:val="36"/>
          <w:u w:val="single"/>
        </w:rPr>
        <w:br/>
      </w:r>
    </w:p>
    <w:p w14:paraId="088F4F78" w14:textId="7D850EC9" w:rsidR="006A17A6" w:rsidRDefault="006A17A6" w:rsidP="006A17A6">
      <w:pPr>
        <w:jc w:val="center"/>
        <w:rPr>
          <w:rFonts w:ascii="Times New Roman" w:hAnsi="Times New Roman" w:cs="Times New Roman"/>
          <w:b/>
          <w:i/>
          <w:iCs/>
          <w:sz w:val="24"/>
          <w:szCs w:val="36"/>
          <w:u w:val="single"/>
        </w:rPr>
      </w:pPr>
      <w:r w:rsidRPr="006A17A6">
        <w:rPr>
          <w:rFonts w:ascii="Times New Roman" w:hAnsi="Times New Roman" w:cs="Times New Roman"/>
          <w:b/>
          <w:i/>
          <w:iCs/>
          <w:sz w:val="24"/>
          <w:szCs w:val="36"/>
          <w:u w:val="single"/>
        </w:rPr>
        <w:t>Neville Hay Limited trading as Hayfisher Productions</w:t>
      </w:r>
      <w:r w:rsidRPr="006A17A6">
        <w:rPr>
          <w:rFonts w:ascii="Times New Roman" w:hAnsi="Times New Roman" w:cs="Times New Roman"/>
          <w:b/>
          <w:i/>
          <w:iCs/>
          <w:sz w:val="24"/>
          <w:szCs w:val="36"/>
          <w:u w:val="single"/>
        </w:rPr>
        <w:br/>
        <w:t>Privacy Polic</w:t>
      </w:r>
      <w:r w:rsidRPr="006A17A6">
        <w:rPr>
          <w:rFonts w:ascii="Times New Roman" w:hAnsi="Times New Roman" w:cs="Times New Roman"/>
          <w:b/>
          <w:i/>
          <w:iCs/>
          <w:sz w:val="24"/>
          <w:szCs w:val="36"/>
          <w:u w:val="single"/>
        </w:rPr>
        <w:t>y</w:t>
      </w:r>
      <w:r w:rsidRPr="006A17A6">
        <w:rPr>
          <w:rFonts w:ascii="Times New Roman" w:hAnsi="Times New Roman" w:cs="Times New Roman"/>
          <w:b/>
          <w:i/>
          <w:iCs/>
          <w:sz w:val="24"/>
          <w:szCs w:val="36"/>
          <w:u w:val="single"/>
        </w:rPr>
        <w:br/>
      </w:r>
    </w:p>
    <w:p w14:paraId="17BEC8ED" w14:textId="0344FC4A" w:rsidR="006A17A6" w:rsidRDefault="006A17A6" w:rsidP="006A17A6">
      <w:pPr>
        <w:jc w:val="center"/>
        <w:rPr>
          <w:rFonts w:ascii="Times New Roman" w:hAnsi="Times New Roman" w:cs="Times New Roman"/>
          <w:b/>
          <w:i/>
          <w:iCs/>
          <w:sz w:val="24"/>
          <w:szCs w:val="36"/>
          <w:u w:val="single"/>
        </w:rPr>
      </w:pPr>
      <w:r w:rsidRPr="006A17A6">
        <w:rPr>
          <w:rFonts w:ascii="Times New Roman" w:hAnsi="Times New Roman" w:cs="Times New Roman"/>
          <w:b/>
          <w:i/>
          <w:iCs/>
          <w:sz w:val="24"/>
          <w:szCs w:val="36"/>
          <w:u w:val="single"/>
        </w:rPr>
        <w:br/>
      </w:r>
      <w:r w:rsidRPr="006A17A6">
        <w:rPr>
          <w:rFonts w:ascii="Times New Roman" w:hAnsi="Times New Roman" w:cs="Times New Roman"/>
          <w:b/>
          <w:i/>
          <w:iCs/>
          <w:sz w:val="24"/>
          <w:szCs w:val="36"/>
          <w:u w:val="single"/>
        </w:rPr>
        <w:t xml:space="preserve">Website publication </w:t>
      </w:r>
      <w:proofErr w:type="gramStart"/>
      <w:r w:rsidRPr="006A17A6">
        <w:rPr>
          <w:rFonts w:ascii="Times New Roman" w:hAnsi="Times New Roman" w:cs="Times New Roman"/>
          <w:b/>
          <w:i/>
          <w:iCs/>
          <w:sz w:val="24"/>
          <w:szCs w:val="36"/>
          <w:u w:val="single"/>
        </w:rPr>
        <w:t>copy</w:t>
      </w:r>
      <w:proofErr w:type="gramEnd"/>
      <w:r w:rsidRPr="006A17A6">
        <w:rPr>
          <w:rFonts w:ascii="Times New Roman" w:hAnsi="Times New Roman" w:cs="Times New Roman"/>
          <w:b/>
          <w:i/>
          <w:iCs/>
          <w:sz w:val="24"/>
          <w:szCs w:val="36"/>
          <w:u w:val="single"/>
        </w:rPr>
        <w:br/>
      </w:r>
      <w:r w:rsidRPr="006A17A6">
        <w:rPr>
          <w:rFonts w:ascii="Times New Roman" w:hAnsi="Times New Roman" w:cs="Times New Roman"/>
          <w:b/>
          <w:i/>
          <w:iCs/>
          <w:sz w:val="24"/>
          <w:szCs w:val="36"/>
          <w:u w:val="single"/>
        </w:rPr>
        <w:t>Effective 9 September 2026</w:t>
      </w:r>
      <w:r w:rsidRPr="006A17A6">
        <w:rPr>
          <w:rFonts w:ascii="Times New Roman" w:hAnsi="Times New Roman" w:cs="Times New Roman"/>
          <w:b/>
          <w:i/>
          <w:iCs/>
          <w:sz w:val="24"/>
          <w:szCs w:val="36"/>
          <w:u w:val="single"/>
        </w:rPr>
        <w:br/>
      </w:r>
      <w:r w:rsidRPr="006A17A6">
        <w:rPr>
          <w:rFonts w:ascii="Times New Roman" w:hAnsi="Times New Roman" w:cs="Times New Roman"/>
          <w:b/>
          <w:i/>
          <w:iCs/>
          <w:sz w:val="24"/>
          <w:szCs w:val="36"/>
          <w:u w:val="single"/>
        </w:rPr>
        <w:br/>
      </w:r>
    </w:p>
    <w:p w14:paraId="7CCEB125" w14:textId="77777777" w:rsidR="006A17A6" w:rsidRDefault="006A17A6" w:rsidP="006A17A6">
      <w:pPr>
        <w:jc w:val="center"/>
        <w:rPr>
          <w:rFonts w:ascii="Times New Roman" w:hAnsi="Times New Roman" w:cs="Times New Roman"/>
          <w:b/>
          <w:i/>
          <w:iCs/>
          <w:sz w:val="24"/>
          <w:szCs w:val="36"/>
          <w:u w:val="single"/>
        </w:rPr>
      </w:pPr>
    </w:p>
    <w:p w14:paraId="55469D09" w14:textId="77777777" w:rsidR="006A17A6" w:rsidRPr="006A17A6" w:rsidRDefault="006A17A6" w:rsidP="006A17A6">
      <w:pPr>
        <w:jc w:val="center"/>
        <w:rPr>
          <w:rFonts w:ascii="Times New Roman" w:hAnsi="Times New Roman" w:cs="Times New Roman"/>
          <w:b/>
          <w:i/>
          <w:iCs/>
          <w:sz w:val="24"/>
          <w:szCs w:val="36"/>
          <w:u w:val="single"/>
        </w:rPr>
      </w:pPr>
    </w:p>
    <w:p w14:paraId="0D2EF35C" w14:textId="1648F48B" w:rsid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This notice explains how we collect and use personal information when you visit hayfisher.com, contact us through the website, or otherwise interact with our online content. It does not replace our separate privacy notices for employees, freelancers, job applicants, clients or suppliers where a more specific notice applies.</w:t>
      </w:r>
      <w:r w:rsidRPr="006A17A6">
        <w:rPr>
          <w:rFonts w:ascii="Times New Roman" w:hAnsi="Times New Roman" w:cs="Times New Roman"/>
          <w:sz w:val="21"/>
          <w:szCs w:val="28"/>
        </w:rPr>
        <w:br/>
      </w:r>
      <w:r w:rsidRPr="006A17A6">
        <w:rPr>
          <w:rFonts w:ascii="Times New Roman" w:hAnsi="Times New Roman" w:cs="Times New Roman"/>
          <w:sz w:val="21"/>
          <w:szCs w:val="28"/>
        </w:rPr>
        <w:br/>
      </w:r>
    </w:p>
    <w:p w14:paraId="6350181E" w14:textId="77777777" w:rsidR="006A17A6" w:rsidRDefault="006A17A6" w:rsidP="006A17A6">
      <w:pPr>
        <w:rPr>
          <w:rFonts w:ascii="Times New Roman" w:hAnsi="Times New Roman" w:cs="Times New Roman"/>
          <w:sz w:val="21"/>
          <w:szCs w:val="28"/>
        </w:rPr>
      </w:pPr>
    </w:p>
    <w:p w14:paraId="09DE54C8" w14:textId="77777777" w:rsidR="006A17A6" w:rsidRPr="006A17A6" w:rsidRDefault="006A17A6" w:rsidP="006A17A6">
      <w:pPr>
        <w:rPr>
          <w:rFonts w:ascii="Times New Roman" w:hAnsi="Times New Roman" w:cs="Times New Roman"/>
          <w:sz w:val="21"/>
          <w:szCs w:val="28"/>
        </w:rPr>
      </w:pPr>
    </w:p>
    <w:p w14:paraId="5D3AB9EE" w14:textId="77777777" w:rsidR="006A17A6" w:rsidRPr="006A17A6" w:rsidRDefault="006A17A6" w:rsidP="006A17A6">
      <w:pPr>
        <w:rPr>
          <w:rFonts w:ascii="Times New Roman" w:hAnsi="Times New Roman" w:cs="Times New Roman"/>
          <w:b/>
          <w:bCs/>
          <w:sz w:val="21"/>
          <w:szCs w:val="28"/>
        </w:rPr>
      </w:pPr>
      <w:r w:rsidRPr="006A17A6">
        <w:rPr>
          <w:rFonts w:ascii="Times New Roman" w:hAnsi="Times New Roman" w:cs="Times New Roman"/>
          <w:b/>
          <w:bCs/>
          <w:sz w:val="21"/>
          <w:szCs w:val="28"/>
        </w:rPr>
        <w:t>1. Who we are</w:t>
      </w:r>
    </w:p>
    <w:p w14:paraId="30FBD16E" w14:textId="59B2EBA9" w:rsid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Neville Hay Limited trading as Hayfisher Productions is the controller of the personal information described in this notice. “Hayfisher”, “we”, “us” and “our” refer to Neville Hay Limited. Our trading and registered-office details appear at the end of this notice.</w:t>
      </w:r>
      <w:r w:rsidRPr="006A17A6">
        <w:rPr>
          <w:rFonts w:ascii="Times New Roman" w:hAnsi="Times New Roman" w:cs="Times New Roman"/>
          <w:sz w:val="21"/>
          <w:szCs w:val="28"/>
        </w:rPr>
        <w:br/>
      </w:r>
      <w:r w:rsidRPr="006A17A6">
        <w:rPr>
          <w:rFonts w:ascii="Times New Roman" w:hAnsi="Times New Roman" w:cs="Times New Roman"/>
          <w:sz w:val="21"/>
          <w:szCs w:val="28"/>
        </w:rPr>
        <w:br/>
      </w:r>
    </w:p>
    <w:p w14:paraId="5D66A8C4" w14:textId="77777777" w:rsidR="006A17A6" w:rsidRDefault="006A17A6" w:rsidP="006A17A6">
      <w:pPr>
        <w:rPr>
          <w:rFonts w:ascii="Times New Roman" w:hAnsi="Times New Roman" w:cs="Times New Roman"/>
          <w:sz w:val="21"/>
          <w:szCs w:val="28"/>
        </w:rPr>
      </w:pPr>
    </w:p>
    <w:p w14:paraId="36D60526" w14:textId="77777777" w:rsidR="006A17A6" w:rsidRPr="006A17A6" w:rsidRDefault="006A17A6" w:rsidP="006A17A6">
      <w:pPr>
        <w:rPr>
          <w:rFonts w:ascii="Times New Roman" w:hAnsi="Times New Roman" w:cs="Times New Roman"/>
          <w:sz w:val="21"/>
          <w:szCs w:val="28"/>
        </w:rPr>
      </w:pPr>
    </w:p>
    <w:p w14:paraId="479E2700" w14:textId="77777777" w:rsidR="006A17A6" w:rsidRPr="006A17A6" w:rsidRDefault="006A17A6" w:rsidP="006A17A6">
      <w:pPr>
        <w:rPr>
          <w:rFonts w:ascii="Times New Roman" w:hAnsi="Times New Roman" w:cs="Times New Roman"/>
          <w:b/>
          <w:bCs/>
          <w:sz w:val="21"/>
          <w:szCs w:val="28"/>
        </w:rPr>
      </w:pPr>
      <w:r w:rsidRPr="006A17A6">
        <w:rPr>
          <w:rFonts w:ascii="Times New Roman" w:hAnsi="Times New Roman" w:cs="Times New Roman"/>
          <w:b/>
          <w:bCs/>
          <w:sz w:val="21"/>
          <w:szCs w:val="28"/>
        </w:rPr>
        <w:t>2. Information we collect</w:t>
      </w:r>
    </w:p>
    <w:p w14:paraId="194B1421"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 xml:space="preserve">Enquiry information: your name, company or </w:t>
      </w:r>
      <w:proofErr w:type="spellStart"/>
      <w:r w:rsidRPr="006A17A6">
        <w:rPr>
          <w:rFonts w:ascii="Times New Roman" w:hAnsi="Times New Roman" w:cs="Times New Roman"/>
          <w:sz w:val="21"/>
          <w:szCs w:val="28"/>
        </w:rPr>
        <w:t>organisation</w:t>
      </w:r>
      <w:proofErr w:type="spellEnd"/>
      <w:r w:rsidRPr="006A17A6">
        <w:rPr>
          <w:rFonts w:ascii="Times New Roman" w:hAnsi="Times New Roman" w:cs="Times New Roman"/>
          <w:sz w:val="21"/>
          <w:szCs w:val="28"/>
        </w:rPr>
        <w:t>, work email address, project type, message and any information you choose to include.</w:t>
      </w:r>
    </w:p>
    <w:p w14:paraId="704FE364"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Correspondence and relationship information: our communications with you and details needed to respond, prepare a proposal, discuss archive licensing, or take steps towards a contract.</w:t>
      </w:r>
    </w:p>
    <w:p w14:paraId="43D37661"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Technical and usage information: IP address, browser and device information, pages visited, referral information, approximate location, security events and similar website logs.</w:t>
      </w:r>
    </w:p>
    <w:p w14:paraId="2271353E"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Consent and preference information: choices made through our privacy and cookie controls.</w:t>
      </w:r>
    </w:p>
    <w:p w14:paraId="6C14425E"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Information from third parties: for example, when a colleague introduces you, you contact us through a social platform, or a service provider supplies security or aggregate website statistics.</w:t>
      </w:r>
    </w:p>
    <w:p w14:paraId="60430EDA" w14:textId="7D81A11F" w:rsid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Please do not include confidential, special category, criminal-offence or other sensitive personal information in the general website enquiry form unless it is genuinely necessary and you have agreed an appropriate secure method with us.</w:t>
      </w:r>
      <w:r w:rsidRPr="006A17A6">
        <w:rPr>
          <w:rFonts w:ascii="Times New Roman" w:hAnsi="Times New Roman" w:cs="Times New Roman"/>
          <w:sz w:val="21"/>
          <w:szCs w:val="28"/>
        </w:rPr>
        <w:br/>
      </w:r>
      <w:r w:rsidRPr="006A17A6">
        <w:rPr>
          <w:rFonts w:ascii="Times New Roman" w:hAnsi="Times New Roman" w:cs="Times New Roman"/>
          <w:sz w:val="21"/>
          <w:szCs w:val="28"/>
        </w:rPr>
        <w:br/>
      </w:r>
    </w:p>
    <w:p w14:paraId="7A775028" w14:textId="77777777" w:rsidR="006A17A6" w:rsidRDefault="006A17A6" w:rsidP="006A17A6">
      <w:pPr>
        <w:rPr>
          <w:rFonts w:ascii="Times New Roman" w:hAnsi="Times New Roman" w:cs="Times New Roman"/>
          <w:sz w:val="21"/>
          <w:szCs w:val="28"/>
        </w:rPr>
      </w:pPr>
    </w:p>
    <w:p w14:paraId="3172892E" w14:textId="77777777" w:rsidR="006A17A6" w:rsidRPr="006A17A6" w:rsidRDefault="006A17A6" w:rsidP="006A17A6">
      <w:pPr>
        <w:rPr>
          <w:rFonts w:ascii="Times New Roman" w:hAnsi="Times New Roman" w:cs="Times New Roman"/>
          <w:sz w:val="21"/>
          <w:szCs w:val="28"/>
        </w:rPr>
      </w:pPr>
    </w:p>
    <w:p w14:paraId="079DA108" w14:textId="77777777" w:rsidR="006A17A6" w:rsidRPr="006A17A6" w:rsidRDefault="006A17A6" w:rsidP="006A17A6">
      <w:pPr>
        <w:rPr>
          <w:rFonts w:ascii="Times New Roman" w:hAnsi="Times New Roman" w:cs="Times New Roman"/>
          <w:b/>
          <w:bCs/>
          <w:sz w:val="21"/>
          <w:szCs w:val="28"/>
        </w:rPr>
      </w:pPr>
      <w:r w:rsidRPr="006A17A6">
        <w:rPr>
          <w:rFonts w:ascii="Times New Roman" w:hAnsi="Times New Roman" w:cs="Times New Roman"/>
          <w:b/>
          <w:bCs/>
          <w:sz w:val="21"/>
          <w:szCs w:val="28"/>
        </w:rPr>
        <w:lastRenderedPageBreak/>
        <w:t xml:space="preserve">3. How and </w:t>
      </w:r>
      <w:proofErr w:type="gramStart"/>
      <w:r w:rsidRPr="006A17A6">
        <w:rPr>
          <w:rFonts w:ascii="Times New Roman" w:hAnsi="Times New Roman" w:cs="Times New Roman"/>
          <w:b/>
          <w:bCs/>
          <w:sz w:val="21"/>
          <w:szCs w:val="28"/>
        </w:rPr>
        <w:t>why</w:t>
      </w:r>
      <w:proofErr w:type="gramEnd"/>
      <w:r w:rsidRPr="006A17A6">
        <w:rPr>
          <w:rFonts w:ascii="Times New Roman" w:hAnsi="Times New Roman" w:cs="Times New Roman"/>
          <w:b/>
          <w:bCs/>
          <w:sz w:val="21"/>
          <w:szCs w:val="28"/>
        </w:rPr>
        <w:t xml:space="preserve"> we use personal information</w:t>
      </w:r>
    </w:p>
    <w:tbl>
      <w:tblPr>
        <w:tblStyle w:val="TableGrid"/>
        <w:tblW w:w="0" w:type="auto"/>
        <w:jc w:val="center"/>
        <w:tblLayout w:type="fixed"/>
        <w:tblLook w:val="04A0" w:firstRow="1" w:lastRow="0" w:firstColumn="1" w:lastColumn="0" w:noHBand="0" w:noVBand="1"/>
      </w:tblPr>
      <w:tblGrid>
        <w:gridCol w:w="3384"/>
        <w:gridCol w:w="3024"/>
        <w:gridCol w:w="3456"/>
      </w:tblGrid>
      <w:tr w:rsidR="006A17A6" w:rsidRPr="006A17A6" w14:paraId="1143CD91" w14:textId="77777777" w:rsidTr="00894E00">
        <w:trPr>
          <w:tblHeader/>
          <w:jc w:val="center"/>
        </w:trPr>
        <w:tc>
          <w:tcPr>
            <w:tcW w:w="3384" w:type="dxa"/>
            <w:shd w:val="clear" w:color="auto" w:fill="172A3A"/>
            <w:tcMar>
              <w:top w:w="90" w:type="dxa"/>
              <w:left w:w="100" w:type="dxa"/>
              <w:bottom w:w="90" w:type="dxa"/>
              <w:right w:w="100" w:type="dxa"/>
            </w:tcMar>
            <w:vAlign w:val="center"/>
          </w:tcPr>
          <w:p w14:paraId="45376F98"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b/>
                <w:sz w:val="21"/>
                <w:szCs w:val="28"/>
              </w:rPr>
              <w:t>Purpose</w:t>
            </w:r>
          </w:p>
        </w:tc>
        <w:tc>
          <w:tcPr>
            <w:tcW w:w="3024" w:type="dxa"/>
            <w:shd w:val="clear" w:color="auto" w:fill="172A3A"/>
            <w:tcMar>
              <w:top w:w="90" w:type="dxa"/>
              <w:left w:w="100" w:type="dxa"/>
              <w:bottom w:w="90" w:type="dxa"/>
              <w:right w:w="100" w:type="dxa"/>
            </w:tcMar>
            <w:vAlign w:val="center"/>
          </w:tcPr>
          <w:p w14:paraId="7AC10331"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b/>
                <w:sz w:val="21"/>
                <w:szCs w:val="28"/>
              </w:rPr>
              <w:t>Typical information</w:t>
            </w:r>
          </w:p>
        </w:tc>
        <w:tc>
          <w:tcPr>
            <w:tcW w:w="3456" w:type="dxa"/>
            <w:shd w:val="clear" w:color="auto" w:fill="172A3A"/>
            <w:tcMar>
              <w:top w:w="90" w:type="dxa"/>
              <w:left w:w="100" w:type="dxa"/>
              <w:bottom w:w="90" w:type="dxa"/>
              <w:right w:w="100" w:type="dxa"/>
            </w:tcMar>
            <w:vAlign w:val="center"/>
          </w:tcPr>
          <w:p w14:paraId="59A45AFF"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b/>
                <w:sz w:val="21"/>
                <w:szCs w:val="28"/>
              </w:rPr>
              <w:t>Lawful basis</w:t>
            </w:r>
          </w:p>
        </w:tc>
      </w:tr>
      <w:tr w:rsidR="006A17A6" w:rsidRPr="006A17A6" w14:paraId="4D248CC8" w14:textId="77777777" w:rsidTr="00894E00">
        <w:trPr>
          <w:jc w:val="center"/>
        </w:trPr>
        <w:tc>
          <w:tcPr>
            <w:tcW w:w="3384" w:type="dxa"/>
            <w:tcMar>
              <w:top w:w="90" w:type="dxa"/>
              <w:left w:w="100" w:type="dxa"/>
              <w:bottom w:w="90" w:type="dxa"/>
              <w:right w:w="100" w:type="dxa"/>
            </w:tcMar>
          </w:tcPr>
          <w:p w14:paraId="713200D9"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Respond to enquiries, arrange calls, prepare proposals and take steps towards providing services</w:t>
            </w:r>
          </w:p>
        </w:tc>
        <w:tc>
          <w:tcPr>
            <w:tcW w:w="3024" w:type="dxa"/>
            <w:tcMar>
              <w:top w:w="90" w:type="dxa"/>
              <w:left w:w="100" w:type="dxa"/>
              <w:bottom w:w="90" w:type="dxa"/>
              <w:right w:w="100" w:type="dxa"/>
            </w:tcMar>
          </w:tcPr>
          <w:p w14:paraId="2657887C"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Contact, company, project and correspondence information</w:t>
            </w:r>
          </w:p>
        </w:tc>
        <w:tc>
          <w:tcPr>
            <w:tcW w:w="3456" w:type="dxa"/>
            <w:tcMar>
              <w:top w:w="90" w:type="dxa"/>
              <w:left w:w="100" w:type="dxa"/>
              <w:bottom w:w="90" w:type="dxa"/>
              <w:right w:w="100" w:type="dxa"/>
            </w:tcMar>
          </w:tcPr>
          <w:p w14:paraId="071BB612"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Steps at your request before entering a contract; performance of a contract; and/or our legitimate interests in responding to business enquiries</w:t>
            </w:r>
          </w:p>
        </w:tc>
      </w:tr>
      <w:tr w:rsidR="006A17A6" w:rsidRPr="006A17A6" w14:paraId="36442023" w14:textId="77777777" w:rsidTr="00894E00">
        <w:trPr>
          <w:jc w:val="center"/>
        </w:trPr>
        <w:tc>
          <w:tcPr>
            <w:tcW w:w="3384" w:type="dxa"/>
            <w:shd w:val="clear" w:color="auto" w:fill="EEF1F3"/>
            <w:tcMar>
              <w:top w:w="90" w:type="dxa"/>
              <w:left w:w="100" w:type="dxa"/>
              <w:bottom w:w="90" w:type="dxa"/>
              <w:right w:w="100" w:type="dxa"/>
            </w:tcMar>
          </w:tcPr>
          <w:p w14:paraId="0E39AFFF"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Manage client, supplier and archive-licensing relationships</w:t>
            </w:r>
          </w:p>
        </w:tc>
        <w:tc>
          <w:tcPr>
            <w:tcW w:w="3024" w:type="dxa"/>
            <w:shd w:val="clear" w:color="auto" w:fill="EEF1F3"/>
            <w:tcMar>
              <w:top w:w="90" w:type="dxa"/>
              <w:left w:w="100" w:type="dxa"/>
              <w:bottom w:w="90" w:type="dxa"/>
              <w:right w:w="100" w:type="dxa"/>
            </w:tcMar>
          </w:tcPr>
          <w:p w14:paraId="56218D39"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Contact, commercial, project and correspondence information</w:t>
            </w:r>
          </w:p>
        </w:tc>
        <w:tc>
          <w:tcPr>
            <w:tcW w:w="3456" w:type="dxa"/>
            <w:shd w:val="clear" w:color="auto" w:fill="EEF1F3"/>
            <w:tcMar>
              <w:top w:w="90" w:type="dxa"/>
              <w:left w:w="100" w:type="dxa"/>
              <w:bottom w:w="90" w:type="dxa"/>
              <w:right w:w="100" w:type="dxa"/>
            </w:tcMar>
          </w:tcPr>
          <w:p w14:paraId="60339766"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Performance of a contract; legal obligations; and our legitimate interests in managing professional relationships</w:t>
            </w:r>
          </w:p>
        </w:tc>
      </w:tr>
      <w:tr w:rsidR="006A17A6" w:rsidRPr="006A17A6" w14:paraId="453E3149" w14:textId="77777777" w:rsidTr="00894E00">
        <w:trPr>
          <w:jc w:val="center"/>
        </w:trPr>
        <w:tc>
          <w:tcPr>
            <w:tcW w:w="3384" w:type="dxa"/>
            <w:tcMar>
              <w:top w:w="90" w:type="dxa"/>
              <w:left w:w="100" w:type="dxa"/>
              <w:bottom w:w="90" w:type="dxa"/>
              <w:right w:w="100" w:type="dxa"/>
            </w:tcMar>
          </w:tcPr>
          <w:p w14:paraId="6E91B0C2"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Operate, secure and troubleshoot the website and prevent spam, fraud or abuse</w:t>
            </w:r>
          </w:p>
        </w:tc>
        <w:tc>
          <w:tcPr>
            <w:tcW w:w="3024" w:type="dxa"/>
            <w:tcMar>
              <w:top w:w="90" w:type="dxa"/>
              <w:left w:w="100" w:type="dxa"/>
              <w:bottom w:w="90" w:type="dxa"/>
              <w:right w:w="100" w:type="dxa"/>
            </w:tcMar>
          </w:tcPr>
          <w:p w14:paraId="6636FEB5"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Technical logs, device information and security events</w:t>
            </w:r>
          </w:p>
        </w:tc>
        <w:tc>
          <w:tcPr>
            <w:tcW w:w="3456" w:type="dxa"/>
            <w:tcMar>
              <w:top w:w="90" w:type="dxa"/>
              <w:left w:w="100" w:type="dxa"/>
              <w:bottom w:w="90" w:type="dxa"/>
              <w:right w:w="100" w:type="dxa"/>
            </w:tcMar>
          </w:tcPr>
          <w:p w14:paraId="66D645BC"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Our legitimate interests in maintaining a secure and reliable website; and legal obligations where applicable</w:t>
            </w:r>
          </w:p>
        </w:tc>
      </w:tr>
      <w:tr w:rsidR="006A17A6" w:rsidRPr="006A17A6" w14:paraId="6A79E30D" w14:textId="77777777" w:rsidTr="00894E00">
        <w:trPr>
          <w:jc w:val="center"/>
        </w:trPr>
        <w:tc>
          <w:tcPr>
            <w:tcW w:w="3384" w:type="dxa"/>
            <w:shd w:val="clear" w:color="auto" w:fill="EEF1F3"/>
            <w:tcMar>
              <w:top w:w="90" w:type="dxa"/>
              <w:left w:w="100" w:type="dxa"/>
              <w:bottom w:w="90" w:type="dxa"/>
              <w:right w:w="100" w:type="dxa"/>
            </w:tcMar>
          </w:tcPr>
          <w:p w14:paraId="7DF59E40"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Understand and improve website use</w:t>
            </w:r>
          </w:p>
        </w:tc>
        <w:tc>
          <w:tcPr>
            <w:tcW w:w="3024" w:type="dxa"/>
            <w:shd w:val="clear" w:color="auto" w:fill="EEF1F3"/>
            <w:tcMar>
              <w:top w:w="90" w:type="dxa"/>
              <w:left w:w="100" w:type="dxa"/>
              <w:bottom w:w="90" w:type="dxa"/>
              <w:right w:w="100" w:type="dxa"/>
            </w:tcMar>
          </w:tcPr>
          <w:p w14:paraId="52C4EA32"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Usage, device and referral information</w:t>
            </w:r>
          </w:p>
        </w:tc>
        <w:tc>
          <w:tcPr>
            <w:tcW w:w="3456" w:type="dxa"/>
            <w:shd w:val="clear" w:color="auto" w:fill="EEF1F3"/>
            <w:tcMar>
              <w:top w:w="90" w:type="dxa"/>
              <w:left w:w="100" w:type="dxa"/>
              <w:bottom w:w="90" w:type="dxa"/>
              <w:right w:w="100" w:type="dxa"/>
            </w:tcMar>
          </w:tcPr>
          <w:p w14:paraId="67595E0C"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 xml:space="preserve">Consent where required. For qualifying privacy-preserving aggregate statistics, our legitimate interests may apply where the PECR statistical-purpose exception is </w:t>
            </w:r>
            <w:proofErr w:type="gramStart"/>
            <w:r w:rsidRPr="006A17A6">
              <w:rPr>
                <w:rFonts w:ascii="Times New Roman" w:hAnsi="Times New Roman" w:cs="Times New Roman"/>
                <w:sz w:val="21"/>
                <w:szCs w:val="28"/>
              </w:rPr>
              <w:t>used</w:t>
            </w:r>
            <w:proofErr w:type="gramEnd"/>
            <w:r w:rsidRPr="006A17A6">
              <w:rPr>
                <w:rFonts w:ascii="Times New Roman" w:hAnsi="Times New Roman" w:cs="Times New Roman"/>
                <w:sz w:val="21"/>
                <w:szCs w:val="28"/>
              </w:rPr>
              <w:t xml:space="preserve"> and visitors receive clear information and a simple free means to object</w:t>
            </w:r>
          </w:p>
        </w:tc>
      </w:tr>
      <w:tr w:rsidR="006A17A6" w:rsidRPr="006A17A6" w14:paraId="5C6D20E0" w14:textId="77777777" w:rsidTr="00894E00">
        <w:trPr>
          <w:jc w:val="center"/>
        </w:trPr>
        <w:tc>
          <w:tcPr>
            <w:tcW w:w="3384" w:type="dxa"/>
            <w:tcMar>
              <w:top w:w="90" w:type="dxa"/>
              <w:left w:w="100" w:type="dxa"/>
              <w:bottom w:w="90" w:type="dxa"/>
              <w:right w:w="100" w:type="dxa"/>
            </w:tcMar>
          </w:tcPr>
          <w:p w14:paraId="61084AC1"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Remember and evidence privacy choices</w:t>
            </w:r>
          </w:p>
        </w:tc>
        <w:tc>
          <w:tcPr>
            <w:tcW w:w="3024" w:type="dxa"/>
            <w:tcMar>
              <w:top w:w="90" w:type="dxa"/>
              <w:left w:w="100" w:type="dxa"/>
              <w:bottom w:w="90" w:type="dxa"/>
              <w:right w:w="100" w:type="dxa"/>
            </w:tcMar>
          </w:tcPr>
          <w:p w14:paraId="1628B092"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Consent and preference records</w:t>
            </w:r>
          </w:p>
        </w:tc>
        <w:tc>
          <w:tcPr>
            <w:tcW w:w="3456" w:type="dxa"/>
            <w:tcMar>
              <w:top w:w="90" w:type="dxa"/>
              <w:left w:w="100" w:type="dxa"/>
              <w:bottom w:w="90" w:type="dxa"/>
              <w:right w:w="100" w:type="dxa"/>
            </w:tcMar>
          </w:tcPr>
          <w:p w14:paraId="320A9E71"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Legal obligation and our legitimate interests in demonstrating compliance</w:t>
            </w:r>
          </w:p>
        </w:tc>
      </w:tr>
      <w:tr w:rsidR="006A17A6" w:rsidRPr="006A17A6" w14:paraId="5A5800D6" w14:textId="77777777" w:rsidTr="00894E00">
        <w:trPr>
          <w:jc w:val="center"/>
        </w:trPr>
        <w:tc>
          <w:tcPr>
            <w:tcW w:w="3384" w:type="dxa"/>
            <w:shd w:val="clear" w:color="auto" w:fill="EEF1F3"/>
            <w:tcMar>
              <w:top w:w="90" w:type="dxa"/>
              <w:left w:w="100" w:type="dxa"/>
              <w:bottom w:w="90" w:type="dxa"/>
              <w:right w:w="100" w:type="dxa"/>
            </w:tcMar>
          </w:tcPr>
          <w:p w14:paraId="61932AAF"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Send marketing or updates, if introduced</w:t>
            </w:r>
          </w:p>
        </w:tc>
        <w:tc>
          <w:tcPr>
            <w:tcW w:w="3024" w:type="dxa"/>
            <w:shd w:val="clear" w:color="auto" w:fill="EEF1F3"/>
            <w:tcMar>
              <w:top w:w="90" w:type="dxa"/>
              <w:left w:w="100" w:type="dxa"/>
              <w:bottom w:w="90" w:type="dxa"/>
              <w:right w:w="100" w:type="dxa"/>
            </w:tcMar>
          </w:tcPr>
          <w:p w14:paraId="65D95855"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Contact details and preferences</w:t>
            </w:r>
          </w:p>
        </w:tc>
        <w:tc>
          <w:tcPr>
            <w:tcW w:w="3456" w:type="dxa"/>
            <w:shd w:val="clear" w:color="auto" w:fill="EEF1F3"/>
            <w:tcMar>
              <w:top w:w="90" w:type="dxa"/>
              <w:left w:w="100" w:type="dxa"/>
              <w:bottom w:w="90" w:type="dxa"/>
              <w:right w:w="100" w:type="dxa"/>
            </w:tcMar>
          </w:tcPr>
          <w:p w14:paraId="5E1EB022"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Consent, or legitimate interests where the PECR business-contact or soft opt-in rules lawfully permit this. You can object at any time</w:t>
            </w:r>
          </w:p>
        </w:tc>
      </w:tr>
      <w:tr w:rsidR="006A17A6" w:rsidRPr="006A17A6" w14:paraId="4BADC59F" w14:textId="77777777" w:rsidTr="00894E00">
        <w:trPr>
          <w:jc w:val="center"/>
        </w:trPr>
        <w:tc>
          <w:tcPr>
            <w:tcW w:w="3384" w:type="dxa"/>
            <w:tcMar>
              <w:top w:w="90" w:type="dxa"/>
              <w:left w:w="100" w:type="dxa"/>
              <w:bottom w:w="90" w:type="dxa"/>
              <w:right w:w="100" w:type="dxa"/>
            </w:tcMar>
          </w:tcPr>
          <w:p w14:paraId="7D24EE93"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Establish, exercise or defend legal claims and meet regulatory requirements</w:t>
            </w:r>
          </w:p>
        </w:tc>
        <w:tc>
          <w:tcPr>
            <w:tcW w:w="3024" w:type="dxa"/>
            <w:tcMar>
              <w:top w:w="90" w:type="dxa"/>
              <w:left w:w="100" w:type="dxa"/>
              <w:bottom w:w="90" w:type="dxa"/>
              <w:right w:w="100" w:type="dxa"/>
            </w:tcMar>
          </w:tcPr>
          <w:p w14:paraId="0CE17FA2"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Information relevant to the issue</w:t>
            </w:r>
          </w:p>
        </w:tc>
        <w:tc>
          <w:tcPr>
            <w:tcW w:w="3456" w:type="dxa"/>
            <w:tcMar>
              <w:top w:w="90" w:type="dxa"/>
              <w:left w:w="100" w:type="dxa"/>
              <w:bottom w:w="90" w:type="dxa"/>
              <w:right w:w="100" w:type="dxa"/>
            </w:tcMar>
          </w:tcPr>
          <w:p w14:paraId="41EA117D"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Legal obligation and/or legitimate interests</w:t>
            </w:r>
          </w:p>
        </w:tc>
      </w:tr>
    </w:tbl>
    <w:p w14:paraId="64833D1A" w14:textId="77777777" w:rsidR="006A17A6" w:rsidRPr="006A17A6" w:rsidRDefault="006A17A6" w:rsidP="006A17A6">
      <w:pPr>
        <w:rPr>
          <w:rFonts w:ascii="Times New Roman" w:hAnsi="Times New Roman" w:cs="Times New Roman"/>
          <w:sz w:val="21"/>
          <w:szCs w:val="28"/>
        </w:rPr>
      </w:pPr>
    </w:p>
    <w:p w14:paraId="19CBEE35" w14:textId="77777777" w:rsid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Where we rely on legitimate interests, those interests are stated above. We consider necessity, proportionality and the effect on your rights before relying on that basis. Where we rely on consent, you may withdraw it at any time without affecting earlier lawful processing.</w:t>
      </w:r>
    </w:p>
    <w:p w14:paraId="796C2031" w14:textId="77777777" w:rsidR="006A17A6" w:rsidRDefault="006A17A6" w:rsidP="006A17A6">
      <w:pPr>
        <w:rPr>
          <w:rFonts w:ascii="Times New Roman" w:hAnsi="Times New Roman" w:cs="Times New Roman"/>
          <w:sz w:val="21"/>
          <w:szCs w:val="28"/>
        </w:rPr>
      </w:pPr>
    </w:p>
    <w:p w14:paraId="7FA1748F" w14:textId="77777777" w:rsidR="006A17A6" w:rsidRDefault="006A17A6" w:rsidP="006A17A6">
      <w:pPr>
        <w:rPr>
          <w:rFonts w:ascii="Times New Roman" w:hAnsi="Times New Roman" w:cs="Times New Roman"/>
          <w:sz w:val="21"/>
          <w:szCs w:val="28"/>
        </w:rPr>
      </w:pPr>
    </w:p>
    <w:p w14:paraId="05DDE487" w14:textId="77777777" w:rsidR="006A17A6" w:rsidRDefault="006A17A6" w:rsidP="006A17A6">
      <w:pPr>
        <w:rPr>
          <w:rFonts w:ascii="Times New Roman" w:hAnsi="Times New Roman" w:cs="Times New Roman"/>
          <w:sz w:val="21"/>
          <w:szCs w:val="28"/>
        </w:rPr>
      </w:pPr>
    </w:p>
    <w:p w14:paraId="61170413" w14:textId="77777777" w:rsidR="006A17A6" w:rsidRDefault="006A17A6" w:rsidP="006A17A6">
      <w:pPr>
        <w:rPr>
          <w:rFonts w:ascii="Times New Roman" w:hAnsi="Times New Roman" w:cs="Times New Roman"/>
          <w:sz w:val="21"/>
          <w:szCs w:val="28"/>
        </w:rPr>
      </w:pPr>
    </w:p>
    <w:p w14:paraId="7B6B8061" w14:textId="77777777" w:rsidR="006A17A6" w:rsidRDefault="006A17A6" w:rsidP="006A17A6">
      <w:pPr>
        <w:rPr>
          <w:rFonts w:ascii="Times New Roman" w:hAnsi="Times New Roman" w:cs="Times New Roman"/>
          <w:sz w:val="21"/>
          <w:szCs w:val="28"/>
        </w:rPr>
      </w:pPr>
    </w:p>
    <w:p w14:paraId="4E2B5381" w14:textId="77777777" w:rsidR="006A17A6" w:rsidRDefault="006A17A6" w:rsidP="006A17A6">
      <w:pPr>
        <w:rPr>
          <w:rFonts w:ascii="Times New Roman" w:hAnsi="Times New Roman" w:cs="Times New Roman"/>
          <w:sz w:val="21"/>
          <w:szCs w:val="28"/>
        </w:rPr>
      </w:pPr>
    </w:p>
    <w:p w14:paraId="092AE735" w14:textId="77777777" w:rsidR="006A17A6" w:rsidRDefault="006A17A6" w:rsidP="006A17A6">
      <w:pPr>
        <w:rPr>
          <w:rFonts w:ascii="Times New Roman" w:hAnsi="Times New Roman" w:cs="Times New Roman"/>
          <w:sz w:val="21"/>
          <w:szCs w:val="28"/>
        </w:rPr>
      </w:pPr>
    </w:p>
    <w:p w14:paraId="3C62B1C7" w14:textId="77777777" w:rsidR="006A17A6" w:rsidRDefault="006A17A6" w:rsidP="006A17A6">
      <w:pPr>
        <w:rPr>
          <w:rFonts w:ascii="Times New Roman" w:hAnsi="Times New Roman" w:cs="Times New Roman"/>
          <w:sz w:val="21"/>
          <w:szCs w:val="28"/>
        </w:rPr>
      </w:pPr>
    </w:p>
    <w:p w14:paraId="209B4930" w14:textId="77777777" w:rsidR="006A17A6" w:rsidRDefault="006A17A6" w:rsidP="006A17A6">
      <w:pPr>
        <w:rPr>
          <w:rFonts w:ascii="Times New Roman" w:hAnsi="Times New Roman" w:cs="Times New Roman"/>
          <w:sz w:val="21"/>
          <w:szCs w:val="28"/>
        </w:rPr>
      </w:pPr>
    </w:p>
    <w:p w14:paraId="1B1E872A" w14:textId="77777777" w:rsidR="006A17A6" w:rsidRPr="006A17A6" w:rsidRDefault="006A17A6" w:rsidP="006A17A6">
      <w:pPr>
        <w:rPr>
          <w:rFonts w:ascii="Times New Roman" w:hAnsi="Times New Roman" w:cs="Times New Roman"/>
          <w:sz w:val="21"/>
          <w:szCs w:val="28"/>
        </w:rPr>
      </w:pPr>
    </w:p>
    <w:p w14:paraId="3F7E1FFA" w14:textId="77777777" w:rsidR="006A17A6" w:rsidRPr="006A17A6" w:rsidRDefault="006A17A6" w:rsidP="006A17A6">
      <w:pPr>
        <w:rPr>
          <w:rFonts w:ascii="Times New Roman" w:hAnsi="Times New Roman" w:cs="Times New Roman"/>
          <w:b/>
          <w:bCs/>
          <w:sz w:val="21"/>
          <w:szCs w:val="28"/>
        </w:rPr>
      </w:pPr>
      <w:r w:rsidRPr="006A17A6">
        <w:rPr>
          <w:rFonts w:ascii="Times New Roman" w:hAnsi="Times New Roman" w:cs="Times New Roman"/>
          <w:b/>
          <w:bCs/>
          <w:sz w:val="21"/>
          <w:szCs w:val="28"/>
        </w:rPr>
        <w:lastRenderedPageBreak/>
        <w:t>4. Cookies and similar technologies</w:t>
      </w:r>
    </w:p>
    <w:p w14:paraId="649D808D"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We use cookies and similar storage or access technologies for essential functions, privacy choices, security and, where enabled, analytics. Non-essential technologies are not activated unless the required consent has been obtained. Our Cookie Policy gives more detail and explains how to change your choices. A Cookie Settings control should remain available on the website.</w:t>
      </w:r>
    </w:p>
    <w:p w14:paraId="09598D0C" w14:textId="77777777" w:rsidR="006A17A6" w:rsidRPr="006A17A6" w:rsidRDefault="006A17A6" w:rsidP="006A17A6">
      <w:pPr>
        <w:rPr>
          <w:rFonts w:ascii="Times New Roman" w:hAnsi="Times New Roman" w:cs="Times New Roman"/>
          <w:b/>
          <w:bCs/>
          <w:sz w:val="21"/>
          <w:szCs w:val="28"/>
        </w:rPr>
      </w:pPr>
      <w:r w:rsidRPr="006A17A6">
        <w:rPr>
          <w:rFonts w:ascii="Times New Roman" w:hAnsi="Times New Roman" w:cs="Times New Roman"/>
          <w:b/>
          <w:bCs/>
          <w:sz w:val="21"/>
          <w:szCs w:val="28"/>
        </w:rPr>
        <w:t>5. Sharing personal information</w:t>
      </w:r>
    </w:p>
    <w:p w14:paraId="4B84C772"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We may share personal information only where reasonably necessary with:</w:t>
      </w:r>
    </w:p>
    <w:p w14:paraId="3FE44232"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website hosting, content delivery, form, consent-management, security, analytics, IT and communications providers acting for us;</w:t>
      </w:r>
    </w:p>
    <w:p w14:paraId="32CC5394"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professional advisers, insurers, auditors and other service providers subject to appropriate confidentiality duties;</w:t>
      </w:r>
    </w:p>
    <w:p w14:paraId="63AF1F51"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clients, production partners, travel providers or archive-rights partners where this is needed to progress the enquiry and you would reasonably expect it;</w:t>
      </w:r>
    </w:p>
    <w:p w14:paraId="50515C5D"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courts, regulators, law-enforcement bodies or public authorities where disclosure is required or permitted by law; and</w:t>
      </w:r>
    </w:p>
    <w:p w14:paraId="5C5131E0"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a purchaser, investor or successor in connection with a genuine corporate transaction, subject to appropriate safeguards.</w:t>
      </w:r>
    </w:p>
    <w:p w14:paraId="31F35344"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 xml:space="preserve">The website currently uses services supplied by </w:t>
      </w:r>
      <w:proofErr w:type="spellStart"/>
      <w:r w:rsidRPr="006A17A6">
        <w:rPr>
          <w:rFonts w:ascii="Times New Roman" w:hAnsi="Times New Roman" w:cs="Times New Roman"/>
          <w:sz w:val="21"/>
          <w:szCs w:val="28"/>
        </w:rPr>
        <w:t>Webflow</w:t>
      </w:r>
      <w:proofErr w:type="spellEnd"/>
      <w:r w:rsidRPr="006A17A6">
        <w:rPr>
          <w:rFonts w:ascii="Times New Roman" w:hAnsi="Times New Roman" w:cs="Times New Roman"/>
          <w:sz w:val="21"/>
          <w:szCs w:val="28"/>
        </w:rPr>
        <w:t xml:space="preserve">, Ketch, Cloudflare, Google and </w:t>
      </w:r>
      <w:proofErr w:type="spellStart"/>
      <w:r w:rsidRPr="006A17A6">
        <w:rPr>
          <w:rFonts w:ascii="Times New Roman" w:hAnsi="Times New Roman" w:cs="Times New Roman"/>
          <w:sz w:val="21"/>
          <w:szCs w:val="28"/>
        </w:rPr>
        <w:t>Elfsight</w:t>
      </w:r>
      <w:proofErr w:type="spellEnd"/>
      <w:r w:rsidRPr="006A17A6">
        <w:rPr>
          <w:rFonts w:ascii="Times New Roman" w:hAnsi="Times New Roman" w:cs="Times New Roman"/>
          <w:sz w:val="21"/>
          <w:szCs w:val="28"/>
        </w:rPr>
        <w:t xml:space="preserve">. The services </w:t>
      </w:r>
      <w:proofErr w:type="gramStart"/>
      <w:r w:rsidRPr="006A17A6">
        <w:rPr>
          <w:rFonts w:ascii="Times New Roman" w:hAnsi="Times New Roman" w:cs="Times New Roman"/>
          <w:sz w:val="21"/>
          <w:szCs w:val="28"/>
        </w:rPr>
        <w:t>actually enabled</w:t>
      </w:r>
      <w:proofErr w:type="gramEnd"/>
      <w:r w:rsidRPr="006A17A6">
        <w:rPr>
          <w:rFonts w:ascii="Times New Roman" w:hAnsi="Times New Roman" w:cs="Times New Roman"/>
          <w:sz w:val="21"/>
          <w:szCs w:val="28"/>
        </w:rPr>
        <w:t>, their purposes and available choices should be kept under review and reflected in the Cookie Policy and consent panel. We do not sell personal information.</w:t>
      </w:r>
    </w:p>
    <w:p w14:paraId="5ECE18F7" w14:textId="77777777" w:rsidR="006A17A6" w:rsidRPr="006A17A6" w:rsidRDefault="006A17A6" w:rsidP="006A17A6">
      <w:pPr>
        <w:rPr>
          <w:rFonts w:ascii="Times New Roman" w:hAnsi="Times New Roman" w:cs="Times New Roman"/>
          <w:b/>
          <w:bCs/>
          <w:sz w:val="21"/>
          <w:szCs w:val="28"/>
        </w:rPr>
      </w:pPr>
      <w:r w:rsidRPr="006A17A6">
        <w:rPr>
          <w:rFonts w:ascii="Times New Roman" w:hAnsi="Times New Roman" w:cs="Times New Roman"/>
          <w:b/>
          <w:bCs/>
          <w:sz w:val="21"/>
          <w:szCs w:val="28"/>
        </w:rPr>
        <w:t>6. International transfers</w:t>
      </w:r>
    </w:p>
    <w:p w14:paraId="32F63162" w14:textId="32574E24"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Some suppliers may process information outside the United Kingdom. Where UK data protection law requires safeguards, we use an applicable UK adequacy regulation, the UK International Data Transfer Agreement, the UK Addendum to approved standard contractual clauses, or another lawful safeguard. You may contact us for further information about safeguards relevant to your information.</w:t>
      </w:r>
    </w:p>
    <w:p w14:paraId="63CA65DF" w14:textId="77777777" w:rsidR="006A17A6" w:rsidRPr="006A17A6" w:rsidRDefault="006A17A6" w:rsidP="006A17A6">
      <w:pPr>
        <w:rPr>
          <w:rFonts w:ascii="Times New Roman" w:hAnsi="Times New Roman" w:cs="Times New Roman"/>
          <w:b/>
          <w:bCs/>
          <w:sz w:val="21"/>
          <w:szCs w:val="28"/>
        </w:rPr>
      </w:pPr>
      <w:r w:rsidRPr="006A17A6">
        <w:rPr>
          <w:rFonts w:ascii="Times New Roman" w:hAnsi="Times New Roman" w:cs="Times New Roman"/>
          <w:b/>
          <w:bCs/>
          <w:sz w:val="21"/>
          <w:szCs w:val="28"/>
        </w:rPr>
        <w:t>7. How long we keep information</w:t>
      </w:r>
    </w:p>
    <w:tbl>
      <w:tblPr>
        <w:tblStyle w:val="TableGrid"/>
        <w:tblW w:w="0" w:type="auto"/>
        <w:jc w:val="center"/>
        <w:tblLayout w:type="fixed"/>
        <w:tblLook w:val="04A0" w:firstRow="1" w:lastRow="0" w:firstColumn="1" w:lastColumn="0" w:noHBand="0" w:noVBand="1"/>
      </w:tblPr>
      <w:tblGrid>
        <w:gridCol w:w="4032"/>
        <w:gridCol w:w="5832"/>
      </w:tblGrid>
      <w:tr w:rsidR="006A17A6" w:rsidRPr="006A17A6" w14:paraId="43162D60" w14:textId="77777777" w:rsidTr="00894E00">
        <w:trPr>
          <w:tblHeader/>
          <w:jc w:val="center"/>
        </w:trPr>
        <w:tc>
          <w:tcPr>
            <w:tcW w:w="4032" w:type="dxa"/>
            <w:shd w:val="clear" w:color="auto" w:fill="172A3A"/>
            <w:tcMar>
              <w:top w:w="90" w:type="dxa"/>
              <w:left w:w="100" w:type="dxa"/>
              <w:bottom w:w="90" w:type="dxa"/>
              <w:right w:w="100" w:type="dxa"/>
            </w:tcMar>
            <w:vAlign w:val="center"/>
          </w:tcPr>
          <w:p w14:paraId="66B308CE"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b/>
                <w:sz w:val="21"/>
                <w:szCs w:val="28"/>
              </w:rPr>
              <w:t>Record</w:t>
            </w:r>
          </w:p>
        </w:tc>
        <w:tc>
          <w:tcPr>
            <w:tcW w:w="5832" w:type="dxa"/>
            <w:shd w:val="clear" w:color="auto" w:fill="172A3A"/>
            <w:tcMar>
              <w:top w:w="90" w:type="dxa"/>
              <w:left w:w="100" w:type="dxa"/>
              <w:bottom w:w="90" w:type="dxa"/>
              <w:right w:w="100" w:type="dxa"/>
            </w:tcMar>
            <w:vAlign w:val="center"/>
          </w:tcPr>
          <w:p w14:paraId="7D65BD25"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b/>
                <w:sz w:val="21"/>
                <w:szCs w:val="28"/>
              </w:rPr>
              <w:t>Typical retention</w:t>
            </w:r>
          </w:p>
        </w:tc>
      </w:tr>
      <w:tr w:rsidR="006A17A6" w:rsidRPr="006A17A6" w14:paraId="5ED1C727" w14:textId="77777777" w:rsidTr="00894E00">
        <w:trPr>
          <w:jc w:val="center"/>
        </w:trPr>
        <w:tc>
          <w:tcPr>
            <w:tcW w:w="4032" w:type="dxa"/>
            <w:tcMar>
              <w:top w:w="90" w:type="dxa"/>
              <w:left w:w="100" w:type="dxa"/>
              <w:bottom w:w="90" w:type="dxa"/>
              <w:right w:w="100" w:type="dxa"/>
            </w:tcMar>
          </w:tcPr>
          <w:p w14:paraId="44D79C28"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Website enquiries that do not become a client or supplier relationship</w:t>
            </w:r>
          </w:p>
        </w:tc>
        <w:tc>
          <w:tcPr>
            <w:tcW w:w="5832" w:type="dxa"/>
            <w:tcMar>
              <w:top w:w="90" w:type="dxa"/>
              <w:left w:w="100" w:type="dxa"/>
              <w:bottom w:w="90" w:type="dxa"/>
              <w:right w:w="100" w:type="dxa"/>
            </w:tcMar>
          </w:tcPr>
          <w:p w14:paraId="1E8E9408"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Up to 24 months after the last meaningful contact, unless a longer period is needed for a legal claim or you ask us to retain it</w:t>
            </w:r>
          </w:p>
        </w:tc>
      </w:tr>
      <w:tr w:rsidR="006A17A6" w:rsidRPr="006A17A6" w14:paraId="76A06D60" w14:textId="77777777" w:rsidTr="00894E00">
        <w:trPr>
          <w:jc w:val="center"/>
        </w:trPr>
        <w:tc>
          <w:tcPr>
            <w:tcW w:w="4032" w:type="dxa"/>
            <w:shd w:val="clear" w:color="auto" w:fill="EEF1F3"/>
            <w:tcMar>
              <w:top w:w="90" w:type="dxa"/>
              <w:left w:w="100" w:type="dxa"/>
              <w:bottom w:w="90" w:type="dxa"/>
              <w:right w:w="100" w:type="dxa"/>
            </w:tcMar>
          </w:tcPr>
          <w:p w14:paraId="30D2119D"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Contract, project, licensing and financial records</w:t>
            </w:r>
          </w:p>
        </w:tc>
        <w:tc>
          <w:tcPr>
            <w:tcW w:w="5832" w:type="dxa"/>
            <w:shd w:val="clear" w:color="auto" w:fill="EEF1F3"/>
            <w:tcMar>
              <w:top w:w="90" w:type="dxa"/>
              <w:left w:w="100" w:type="dxa"/>
              <w:bottom w:w="90" w:type="dxa"/>
              <w:right w:w="100" w:type="dxa"/>
            </w:tcMar>
          </w:tcPr>
          <w:p w14:paraId="05FA83D6"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Normally six years after the end of the relevant relationship or accounting period, subject to contractual, tax, insurance, rights-management and legal requirements</w:t>
            </w:r>
          </w:p>
        </w:tc>
      </w:tr>
      <w:tr w:rsidR="006A17A6" w:rsidRPr="006A17A6" w14:paraId="04C96701" w14:textId="77777777" w:rsidTr="00894E00">
        <w:trPr>
          <w:jc w:val="center"/>
        </w:trPr>
        <w:tc>
          <w:tcPr>
            <w:tcW w:w="4032" w:type="dxa"/>
            <w:tcMar>
              <w:top w:w="90" w:type="dxa"/>
              <w:left w:w="100" w:type="dxa"/>
              <w:bottom w:w="90" w:type="dxa"/>
              <w:right w:w="100" w:type="dxa"/>
            </w:tcMar>
          </w:tcPr>
          <w:p w14:paraId="0390E467"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Routine technical and security logs</w:t>
            </w:r>
          </w:p>
        </w:tc>
        <w:tc>
          <w:tcPr>
            <w:tcW w:w="5832" w:type="dxa"/>
            <w:tcMar>
              <w:top w:w="90" w:type="dxa"/>
              <w:left w:w="100" w:type="dxa"/>
              <w:bottom w:w="90" w:type="dxa"/>
              <w:right w:w="100" w:type="dxa"/>
            </w:tcMar>
          </w:tcPr>
          <w:p w14:paraId="689705E1"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Normally up to 12 months, unless an incident requires longer retention</w:t>
            </w:r>
          </w:p>
        </w:tc>
      </w:tr>
      <w:tr w:rsidR="006A17A6" w:rsidRPr="006A17A6" w14:paraId="35B24474" w14:textId="77777777" w:rsidTr="00894E00">
        <w:trPr>
          <w:jc w:val="center"/>
        </w:trPr>
        <w:tc>
          <w:tcPr>
            <w:tcW w:w="4032" w:type="dxa"/>
            <w:shd w:val="clear" w:color="auto" w:fill="EEF1F3"/>
            <w:tcMar>
              <w:top w:w="90" w:type="dxa"/>
              <w:left w:w="100" w:type="dxa"/>
              <w:bottom w:w="90" w:type="dxa"/>
              <w:right w:w="100" w:type="dxa"/>
            </w:tcMar>
          </w:tcPr>
          <w:p w14:paraId="3D8131CF"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Cookie and consent records</w:t>
            </w:r>
          </w:p>
        </w:tc>
        <w:tc>
          <w:tcPr>
            <w:tcW w:w="5832" w:type="dxa"/>
            <w:shd w:val="clear" w:color="auto" w:fill="EEF1F3"/>
            <w:tcMar>
              <w:top w:w="90" w:type="dxa"/>
              <w:left w:w="100" w:type="dxa"/>
              <w:bottom w:w="90" w:type="dxa"/>
              <w:right w:w="100" w:type="dxa"/>
            </w:tcMar>
          </w:tcPr>
          <w:p w14:paraId="20609EA1"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For the period stated in the Cookie Policy or consent platform, and as reasonably required to record and demonstrate your choices</w:t>
            </w:r>
          </w:p>
        </w:tc>
      </w:tr>
      <w:tr w:rsidR="006A17A6" w:rsidRPr="006A17A6" w14:paraId="484231D0" w14:textId="77777777" w:rsidTr="00894E00">
        <w:trPr>
          <w:jc w:val="center"/>
        </w:trPr>
        <w:tc>
          <w:tcPr>
            <w:tcW w:w="4032" w:type="dxa"/>
            <w:tcMar>
              <w:top w:w="90" w:type="dxa"/>
              <w:left w:w="100" w:type="dxa"/>
              <w:bottom w:w="90" w:type="dxa"/>
              <w:right w:w="100" w:type="dxa"/>
            </w:tcMar>
          </w:tcPr>
          <w:p w14:paraId="12F8F84D"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Suppression records for marketing objections</w:t>
            </w:r>
          </w:p>
        </w:tc>
        <w:tc>
          <w:tcPr>
            <w:tcW w:w="5832" w:type="dxa"/>
            <w:tcMar>
              <w:top w:w="90" w:type="dxa"/>
              <w:left w:w="100" w:type="dxa"/>
              <w:bottom w:w="90" w:type="dxa"/>
              <w:right w:w="100" w:type="dxa"/>
            </w:tcMar>
          </w:tcPr>
          <w:p w14:paraId="745A537F" w14:textId="77777777" w:rsidR="006A17A6" w:rsidRPr="006A17A6" w:rsidRDefault="006A17A6" w:rsidP="006A17A6">
            <w:pPr>
              <w:rPr>
                <w:rFonts w:ascii="Times New Roman" w:hAnsi="Times New Roman" w:cs="Times New Roman"/>
                <w:sz w:val="21"/>
                <w:szCs w:val="28"/>
              </w:rPr>
            </w:pPr>
            <w:proofErr w:type="gramStart"/>
            <w:r w:rsidRPr="006A17A6">
              <w:rPr>
                <w:rFonts w:ascii="Times New Roman" w:hAnsi="Times New Roman" w:cs="Times New Roman"/>
                <w:sz w:val="21"/>
                <w:szCs w:val="28"/>
              </w:rPr>
              <w:t>As long as</w:t>
            </w:r>
            <w:proofErr w:type="gramEnd"/>
            <w:r w:rsidRPr="006A17A6">
              <w:rPr>
                <w:rFonts w:ascii="Times New Roman" w:hAnsi="Times New Roman" w:cs="Times New Roman"/>
                <w:sz w:val="21"/>
                <w:szCs w:val="28"/>
              </w:rPr>
              <w:t xml:space="preserve"> reasonably necessary to ensure we respect the objection</w:t>
            </w:r>
          </w:p>
        </w:tc>
      </w:tr>
    </w:tbl>
    <w:p w14:paraId="2E7DCA03" w14:textId="77777777" w:rsidR="006A17A6" w:rsidRPr="006A17A6" w:rsidRDefault="006A17A6" w:rsidP="006A17A6">
      <w:pPr>
        <w:rPr>
          <w:rFonts w:ascii="Times New Roman" w:hAnsi="Times New Roman" w:cs="Times New Roman"/>
          <w:sz w:val="21"/>
          <w:szCs w:val="28"/>
        </w:rPr>
      </w:pPr>
    </w:p>
    <w:p w14:paraId="2ABB9993"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 xml:space="preserve">We may keep information longer where required by law, to preserve archive or intellectual-property records, or to establish, exercise or defend legal claims. We may retain </w:t>
      </w:r>
      <w:proofErr w:type="spellStart"/>
      <w:r w:rsidRPr="006A17A6">
        <w:rPr>
          <w:rFonts w:ascii="Times New Roman" w:hAnsi="Times New Roman" w:cs="Times New Roman"/>
          <w:sz w:val="21"/>
          <w:szCs w:val="28"/>
        </w:rPr>
        <w:t>anonymised</w:t>
      </w:r>
      <w:proofErr w:type="spellEnd"/>
      <w:r w:rsidRPr="006A17A6">
        <w:rPr>
          <w:rFonts w:ascii="Times New Roman" w:hAnsi="Times New Roman" w:cs="Times New Roman"/>
          <w:sz w:val="21"/>
          <w:szCs w:val="28"/>
        </w:rPr>
        <w:t xml:space="preserve"> information that no longer identifies anyone.</w:t>
      </w:r>
    </w:p>
    <w:p w14:paraId="53494B7D" w14:textId="77777777" w:rsidR="006A17A6" w:rsidRDefault="006A17A6" w:rsidP="006A17A6">
      <w:pPr>
        <w:rPr>
          <w:rFonts w:ascii="Times New Roman" w:hAnsi="Times New Roman" w:cs="Times New Roman"/>
          <w:b/>
          <w:bCs/>
          <w:sz w:val="21"/>
          <w:szCs w:val="28"/>
        </w:rPr>
      </w:pPr>
    </w:p>
    <w:p w14:paraId="1F9D7EA0" w14:textId="77777777" w:rsidR="006A17A6" w:rsidRDefault="006A17A6" w:rsidP="006A17A6">
      <w:pPr>
        <w:rPr>
          <w:rFonts w:ascii="Times New Roman" w:hAnsi="Times New Roman" w:cs="Times New Roman"/>
          <w:b/>
          <w:bCs/>
          <w:sz w:val="21"/>
          <w:szCs w:val="28"/>
        </w:rPr>
      </w:pPr>
    </w:p>
    <w:p w14:paraId="06E08972" w14:textId="77777777" w:rsidR="006A17A6" w:rsidRDefault="006A17A6" w:rsidP="006A17A6">
      <w:pPr>
        <w:rPr>
          <w:rFonts w:ascii="Times New Roman" w:hAnsi="Times New Roman" w:cs="Times New Roman"/>
          <w:b/>
          <w:bCs/>
          <w:sz w:val="21"/>
          <w:szCs w:val="28"/>
        </w:rPr>
      </w:pPr>
    </w:p>
    <w:p w14:paraId="79FF76FD" w14:textId="780F87FA" w:rsidR="006A17A6" w:rsidRPr="006A17A6" w:rsidRDefault="006A17A6" w:rsidP="006A17A6">
      <w:pPr>
        <w:rPr>
          <w:rFonts w:ascii="Times New Roman" w:hAnsi="Times New Roman" w:cs="Times New Roman"/>
          <w:b/>
          <w:bCs/>
          <w:sz w:val="21"/>
          <w:szCs w:val="28"/>
        </w:rPr>
      </w:pPr>
      <w:r w:rsidRPr="006A17A6">
        <w:rPr>
          <w:rFonts w:ascii="Times New Roman" w:hAnsi="Times New Roman" w:cs="Times New Roman"/>
          <w:b/>
          <w:bCs/>
          <w:sz w:val="21"/>
          <w:szCs w:val="28"/>
        </w:rPr>
        <w:lastRenderedPageBreak/>
        <w:t>8. Security</w:t>
      </w:r>
    </w:p>
    <w:p w14:paraId="5884B8E7"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 xml:space="preserve">We use appropriate technical and </w:t>
      </w:r>
      <w:proofErr w:type="spellStart"/>
      <w:r w:rsidRPr="006A17A6">
        <w:rPr>
          <w:rFonts w:ascii="Times New Roman" w:hAnsi="Times New Roman" w:cs="Times New Roman"/>
          <w:sz w:val="21"/>
          <w:szCs w:val="28"/>
        </w:rPr>
        <w:t>organisational</w:t>
      </w:r>
      <w:proofErr w:type="spellEnd"/>
      <w:r w:rsidRPr="006A17A6">
        <w:rPr>
          <w:rFonts w:ascii="Times New Roman" w:hAnsi="Times New Roman" w:cs="Times New Roman"/>
          <w:sz w:val="21"/>
          <w:szCs w:val="28"/>
        </w:rPr>
        <w:t xml:space="preserve"> measures designed to protect personal information. No internet transmission or storage system is completely secure. Please use the contact details below if you believe information has been misdirected or compromised.</w:t>
      </w:r>
    </w:p>
    <w:p w14:paraId="76B64C75" w14:textId="77777777" w:rsidR="006A17A6" w:rsidRPr="006A17A6" w:rsidRDefault="006A17A6" w:rsidP="006A17A6">
      <w:pPr>
        <w:rPr>
          <w:rFonts w:ascii="Times New Roman" w:hAnsi="Times New Roman" w:cs="Times New Roman"/>
          <w:b/>
          <w:bCs/>
          <w:sz w:val="21"/>
          <w:szCs w:val="28"/>
        </w:rPr>
      </w:pPr>
      <w:r w:rsidRPr="006A17A6">
        <w:rPr>
          <w:rFonts w:ascii="Times New Roman" w:hAnsi="Times New Roman" w:cs="Times New Roman"/>
          <w:b/>
          <w:bCs/>
          <w:sz w:val="21"/>
          <w:szCs w:val="28"/>
        </w:rPr>
        <w:t>9. Your rights</w:t>
      </w:r>
    </w:p>
    <w:p w14:paraId="4AA01CD7"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Depending on the circumstances, you may have rights to be informed; obtain access; correct inaccurate information; request erasure or restriction; receive certain information in a portable form; object to processing based on legitimate interests; object absolutely to direct marketing; withdraw consent; and ask for human review of certain automated decisions. These rights are subject to legal conditions and exemptions.</w:t>
      </w:r>
    </w:p>
    <w:p w14:paraId="7B7F3300"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To exercise a right or make a data protection complaint, email info@hayfisher.com, telephone +44 (0)1905 794 411, or write to our trading address. We may ask for proportionate information to verify your identity. We will respond without undue delay and normally within one month. We will acknowledge a data protection complaint within 30 days, investigate it appropriately, keep you informed and communicate the outcome without undue delay.</w:t>
      </w:r>
    </w:p>
    <w:p w14:paraId="59D49177"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You may also complain to the Information Commissioner’s Office (ICO) at ico.org.uk. We would welcome the opportunity to address your concern first, but this does not affect your right to contact the ICO.</w:t>
      </w:r>
    </w:p>
    <w:p w14:paraId="4ADD75D8" w14:textId="77777777" w:rsidR="006A17A6" w:rsidRPr="006A17A6" w:rsidRDefault="006A17A6" w:rsidP="006A17A6">
      <w:pPr>
        <w:rPr>
          <w:rFonts w:ascii="Times New Roman" w:hAnsi="Times New Roman" w:cs="Times New Roman"/>
          <w:b/>
          <w:bCs/>
          <w:sz w:val="21"/>
          <w:szCs w:val="28"/>
        </w:rPr>
      </w:pPr>
      <w:r w:rsidRPr="006A17A6">
        <w:rPr>
          <w:rFonts w:ascii="Times New Roman" w:hAnsi="Times New Roman" w:cs="Times New Roman"/>
          <w:b/>
          <w:bCs/>
          <w:sz w:val="21"/>
          <w:szCs w:val="28"/>
        </w:rPr>
        <w:t>10. Children</w:t>
      </w:r>
    </w:p>
    <w:p w14:paraId="2CFEC3B9"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 xml:space="preserve">This business website is not directed at </w:t>
      </w:r>
      <w:proofErr w:type="gramStart"/>
      <w:r w:rsidRPr="006A17A6">
        <w:rPr>
          <w:rFonts w:ascii="Times New Roman" w:hAnsi="Times New Roman" w:cs="Times New Roman"/>
          <w:sz w:val="21"/>
          <w:szCs w:val="28"/>
        </w:rPr>
        <w:t>children</w:t>
      </w:r>
      <w:proofErr w:type="gramEnd"/>
      <w:r w:rsidRPr="006A17A6">
        <w:rPr>
          <w:rFonts w:ascii="Times New Roman" w:hAnsi="Times New Roman" w:cs="Times New Roman"/>
          <w:sz w:val="21"/>
          <w:szCs w:val="28"/>
        </w:rPr>
        <w:t xml:space="preserve"> and we do not knowingly use it to collect personal information from children. If you believe a child has supplied information through the site, please contact us.</w:t>
      </w:r>
    </w:p>
    <w:p w14:paraId="44A76B65" w14:textId="77777777" w:rsidR="006A17A6" w:rsidRPr="006A17A6" w:rsidRDefault="006A17A6" w:rsidP="006A17A6">
      <w:pPr>
        <w:rPr>
          <w:rFonts w:ascii="Times New Roman" w:hAnsi="Times New Roman" w:cs="Times New Roman"/>
          <w:b/>
          <w:bCs/>
          <w:sz w:val="21"/>
          <w:szCs w:val="28"/>
        </w:rPr>
      </w:pPr>
      <w:r w:rsidRPr="006A17A6">
        <w:rPr>
          <w:rFonts w:ascii="Times New Roman" w:hAnsi="Times New Roman" w:cs="Times New Roman"/>
          <w:b/>
          <w:bCs/>
          <w:sz w:val="21"/>
          <w:szCs w:val="28"/>
        </w:rPr>
        <w:t>11. Automated decisions</w:t>
      </w:r>
    </w:p>
    <w:p w14:paraId="65CFDDB4"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We do not use information collected through the website to make solely automated decisions that produce legal or similarly significant effects about you.</w:t>
      </w:r>
    </w:p>
    <w:p w14:paraId="72791E53" w14:textId="77777777" w:rsidR="006A17A6" w:rsidRPr="006A17A6" w:rsidRDefault="006A17A6" w:rsidP="006A17A6">
      <w:pPr>
        <w:rPr>
          <w:rFonts w:ascii="Times New Roman" w:hAnsi="Times New Roman" w:cs="Times New Roman"/>
          <w:b/>
          <w:bCs/>
          <w:sz w:val="21"/>
          <w:szCs w:val="28"/>
        </w:rPr>
      </w:pPr>
      <w:r w:rsidRPr="006A17A6">
        <w:rPr>
          <w:rFonts w:ascii="Times New Roman" w:hAnsi="Times New Roman" w:cs="Times New Roman"/>
          <w:b/>
          <w:bCs/>
          <w:sz w:val="21"/>
          <w:szCs w:val="28"/>
        </w:rPr>
        <w:t>12. Other websites and social media</w:t>
      </w:r>
    </w:p>
    <w:p w14:paraId="2B8D517C"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 xml:space="preserve">Our website links to third-party websites and social-media services. Those </w:t>
      </w:r>
      <w:proofErr w:type="spellStart"/>
      <w:r w:rsidRPr="006A17A6">
        <w:rPr>
          <w:rFonts w:ascii="Times New Roman" w:hAnsi="Times New Roman" w:cs="Times New Roman"/>
          <w:sz w:val="21"/>
          <w:szCs w:val="28"/>
        </w:rPr>
        <w:t>organisations</w:t>
      </w:r>
      <w:proofErr w:type="spellEnd"/>
      <w:r w:rsidRPr="006A17A6">
        <w:rPr>
          <w:rFonts w:ascii="Times New Roman" w:hAnsi="Times New Roman" w:cs="Times New Roman"/>
          <w:sz w:val="21"/>
          <w:szCs w:val="28"/>
        </w:rPr>
        <w:t xml:space="preserve"> control their own processing when you follow a link or use their service. Please read their privacy information. We are not responsible for third-party privacy practices.</w:t>
      </w:r>
    </w:p>
    <w:p w14:paraId="677BDB22" w14:textId="77777777" w:rsidR="006A17A6" w:rsidRPr="006A17A6" w:rsidRDefault="006A17A6" w:rsidP="006A17A6">
      <w:pPr>
        <w:rPr>
          <w:rFonts w:ascii="Times New Roman" w:hAnsi="Times New Roman" w:cs="Times New Roman"/>
          <w:b/>
          <w:bCs/>
          <w:sz w:val="21"/>
          <w:szCs w:val="28"/>
        </w:rPr>
      </w:pPr>
      <w:r w:rsidRPr="006A17A6">
        <w:rPr>
          <w:rFonts w:ascii="Times New Roman" w:hAnsi="Times New Roman" w:cs="Times New Roman"/>
          <w:b/>
          <w:bCs/>
          <w:sz w:val="21"/>
          <w:szCs w:val="28"/>
        </w:rPr>
        <w:t>13. Changes to this notice</w:t>
      </w:r>
    </w:p>
    <w:p w14:paraId="1592A66F"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We may update this notice when our website, suppliers or legal obligations change. The current version will be published on hayfisher.com with its effective date. This version is effective from 9 September 2026.</w:t>
      </w:r>
    </w:p>
    <w:p w14:paraId="3607A633" w14:textId="75E22920" w:rsidR="006A17A6" w:rsidRPr="006A17A6" w:rsidRDefault="006A17A6" w:rsidP="006A17A6">
      <w:pPr>
        <w:rPr>
          <w:rFonts w:ascii="Times New Roman" w:hAnsi="Times New Roman" w:cs="Times New Roman"/>
          <w:b/>
          <w:bCs/>
          <w:sz w:val="21"/>
          <w:szCs w:val="28"/>
        </w:rPr>
      </w:pPr>
      <w:r w:rsidRPr="006A17A6">
        <w:rPr>
          <w:rFonts w:ascii="Times New Roman" w:hAnsi="Times New Roman" w:cs="Times New Roman"/>
          <w:b/>
          <w:bCs/>
          <w:sz w:val="21"/>
          <w:szCs w:val="28"/>
        </w:rPr>
        <w:br/>
      </w:r>
      <w:r w:rsidRPr="006A17A6">
        <w:rPr>
          <w:rFonts w:ascii="Times New Roman" w:hAnsi="Times New Roman" w:cs="Times New Roman"/>
          <w:b/>
          <w:bCs/>
          <w:sz w:val="21"/>
          <w:szCs w:val="28"/>
        </w:rPr>
        <w:br/>
      </w:r>
      <w:r w:rsidRPr="006A17A6">
        <w:rPr>
          <w:rFonts w:ascii="Times New Roman" w:hAnsi="Times New Roman" w:cs="Times New Roman"/>
          <w:b/>
          <w:bCs/>
          <w:sz w:val="21"/>
          <w:szCs w:val="28"/>
        </w:rPr>
        <w:br/>
      </w:r>
      <w:r w:rsidRPr="006A17A6">
        <w:rPr>
          <w:rFonts w:ascii="Times New Roman" w:hAnsi="Times New Roman" w:cs="Times New Roman"/>
          <w:b/>
          <w:bCs/>
          <w:sz w:val="21"/>
          <w:szCs w:val="28"/>
        </w:rPr>
        <w:br/>
      </w:r>
      <w:r w:rsidRPr="006A17A6">
        <w:rPr>
          <w:rFonts w:ascii="Times New Roman" w:hAnsi="Times New Roman" w:cs="Times New Roman"/>
          <w:b/>
          <w:bCs/>
          <w:sz w:val="21"/>
          <w:szCs w:val="28"/>
        </w:rPr>
        <w:t>Contact details</w:t>
      </w:r>
    </w:p>
    <w:p w14:paraId="5E7FBD01"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Neville Hay Limited trading as Hayfisher Productions</w:t>
      </w:r>
    </w:p>
    <w:p w14:paraId="6582BE55"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Trading address: Unit 4 Roman Way, Droitwich, Worcestershire, WR9 9AJ</w:t>
      </w:r>
    </w:p>
    <w:p w14:paraId="63CC9D17"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Registered office: First Floor Black Country House, Rounds Green Road, Oldbury, West Midlands, B69 2DG</w:t>
      </w:r>
    </w:p>
    <w:p w14:paraId="3BB36FDF"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Company number: 00178223 (registered in England and Wales)</w:t>
      </w:r>
    </w:p>
    <w:p w14:paraId="6DD782CB"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Email: info@hayfisher.com</w:t>
      </w:r>
    </w:p>
    <w:p w14:paraId="7FC19C34" w14:textId="77777777" w:rsidR="006A17A6" w:rsidRPr="006A17A6" w:rsidRDefault="006A17A6" w:rsidP="006A17A6">
      <w:pPr>
        <w:rPr>
          <w:rFonts w:ascii="Times New Roman" w:hAnsi="Times New Roman" w:cs="Times New Roman"/>
          <w:sz w:val="21"/>
          <w:szCs w:val="28"/>
        </w:rPr>
      </w:pPr>
      <w:r w:rsidRPr="006A17A6">
        <w:rPr>
          <w:rFonts w:ascii="Times New Roman" w:hAnsi="Times New Roman" w:cs="Times New Roman"/>
          <w:sz w:val="21"/>
          <w:szCs w:val="28"/>
        </w:rPr>
        <w:t>Telephone: +44 (0)1905 794 411</w:t>
      </w:r>
    </w:p>
    <w:p w14:paraId="511BE421" w14:textId="27CE4896" w:rsidR="00D63495" w:rsidRPr="006A17A6" w:rsidRDefault="00D63495" w:rsidP="006A17A6">
      <w:pPr>
        <w:rPr>
          <w:rFonts w:ascii="Times New Roman" w:hAnsi="Times New Roman" w:cs="Times New Roman"/>
          <w:sz w:val="21"/>
          <w:szCs w:val="28"/>
        </w:rPr>
      </w:pPr>
    </w:p>
    <w:sectPr w:rsidR="00D63495" w:rsidRPr="006A17A6" w:rsidSect="00034616">
      <w:headerReference w:type="default" r:id="rId8"/>
      <w:footerReference w:type="default" r:id="rId9"/>
      <w:pgSz w:w="11905" w:h="16838"/>
      <w:pgMar w:top="1037" w:right="1123" w:bottom="936" w:left="112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EDC17A1" w14:textId="77777777" w:rsidR="00A15DAD" w:rsidRDefault="00A15DAD">
      <w:pPr>
        <w:spacing w:after="0" w:line="240" w:lineRule="auto"/>
      </w:pPr>
      <w:r>
        <w:separator/>
      </w:r>
    </w:p>
  </w:endnote>
  <w:endnote w:type="continuationSeparator" w:id="0">
    <w:p w14:paraId="7311A458" w14:textId="77777777" w:rsidR="00A15DAD" w:rsidRDefault="00A15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B0D72F" w14:textId="77777777" w:rsidR="00D63495" w:rsidRDefault="00000000">
    <w:pPr>
      <w:pStyle w:val="Footer"/>
    </w:pPr>
    <w:proofErr w:type="gramStart"/>
    <w:r>
      <w:rPr>
        <w:color w:val="64727D"/>
        <w:sz w:val="16"/>
      </w:rPr>
      <w:t>HAYFISHER  |</w:t>
    </w:r>
    <w:proofErr w:type="gramEnd"/>
    <w:r>
      <w:rPr>
        <w:color w:val="64727D"/>
        <w:sz w:val="16"/>
      </w:rPr>
      <w:t xml:space="preserve">  </w:t>
    </w:r>
    <w:proofErr w:type="gramStart"/>
    <w:r>
      <w:rPr>
        <w:color w:val="64727D"/>
        <w:sz w:val="16"/>
      </w:rPr>
      <w:t>info@hayfisher.com  |</w:t>
    </w:r>
    <w:proofErr w:type="gramEnd"/>
    <w:r>
      <w:rPr>
        <w:color w:val="64727D"/>
        <w:sz w:val="16"/>
      </w:rPr>
      <w:t xml:space="preserve">  </w:t>
    </w:r>
    <w:r>
      <w:fldChar w:fldCharType="begin"/>
    </w:r>
    <w:r>
      <w:instrText>PAGE</w:instrText>
    </w:r>
    <w:r>
      <w:fldChar w:fldCharType="separate"/>
    </w:r>
    <w:r w:rsidR="006A17A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F23A77F" w14:textId="77777777" w:rsidR="00A15DAD" w:rsidRDefault="00A15DAD">
      <w:pPr>
        <w:spacing w:after="0" w:line="240" w:lineRule="auto"/>
      </w:pPr>
      <w:r>
        <w:separator/>
      </w:r>
    </w:p>
  </w:footnote>
  <w:footnote w:type="continuationSeparator" w:id="0">
    <w:p w14:paraId="614D8F5B" w14:textId="77777777" w:rsidR="00A15DAD" w:rsidRDefault="00A15D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FCB9A9" w14:textId="1929B67B" w:rsidR="006A17A6" w:rsidRDefault="006A17A6">
    <w:pPr>
      <w:pStyle w:val="Header"/>
    </w:pPr>
    <w:r>
      <w:rPr>
        <w:noProof/>
      </w:rPr>
      <w:drawing>
        <wp:anchor distT="0" distB="0" distL="114300" distR="114300" simplePos="0" relativeHeight="251658240" behindDoc="1" locked="0" layoutInCell="1" allowOverlap="1" wp14:anchorId="704A5C54" wp14:editId="515A1EF8">
          <wp:simplePos x="0" y="0"/>
          <wp:positionH relativeFrom="column">
            <wp:posOffset>2199906</wp:posOffset>
          </wp:positionH>
          <wp:positionV relativeFrom="paragraph">
            <wp:posOffset>-318770</wp:posOffset>
          </wp:positionV>
          <wp:extent cx="1594884" cy="511869"/>
          <wp:effectExtent l="0" t="0" r="5715" b="0"/>
          <wp:wrapNone/>
          <wp:docPr id="988665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665222" name="Picture 988665222"/>
                  <pic:cNvPicPr/>
                </pic:nvPicPr>
                <pic:blipFill>
                  <a:blip r:embed="rId1"/>
                  <a:stretch>
                    <a:fillRect/>
                  </a:stretch>
                </pic:blipFill>
                <pic:spPr>
                  <a:xfrm>
                    <a:off x="0" y="0"/>
                    <a:ext cx="1594884" cy="5118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724A1A4"/>
    <w:lvl w:ilvl="0">
      <w:start w:val="1"/>
      <w:numFmt w:val="bullet"/>
      <w:pStyle w:val="ListBullet"/>
      <w:lvlText w:val=""/>
      <w:lvlJc w:val="left"/>
      <w:pPr>
        <w:tabs>
          <w:tab w:val="num" w:pos="360"/>
        </w:tabs>
        <w:ind w:left="360" w:hanging="360"/>
      </w:pPr>
      <w:rPr>
        <w:rFonts w:ascii="Symbol" w:hAnsi="Symbol" w:hint="default"/>
      </w:rPr>
    </w:lvl>
  </w:abstractNum>
  <w:num w:numId="1" w16cid:durableId="927999392">
    <w:abstractNumId w:val="8"/>
  </w:num>
  <w:num w:numId="2" w16cid:durableId="596980104">
    <w:abstractNumId w:val="6"/>
  </w:num>
  <w:num w:numId="3" w16cid:durableId="1417287607">
    <w:abstractNumId w:val="5"/>
  </w:num>
  <w:num w:numId="4" w16cid:durableId="1767384459">
    <w:abstractNumId w:val="4"/>
  </w:num>
  <w:num w:numId="5" w16cid:durableId="1877355793">
    <w:abstractNumId w:val="7"/>
  </w:num>
  <w:num w:numId="6" w16cid:durableId="893585972">
    <w:abstractNumId w:val="3"/>
  </w:num>
  <w:num w:numId="7" w16cid:durableId="147870818">
    <w:abstractNumId w:val="2"/>
  </w:num>
  <w:num w:numId="8" w16cid:durableId="2093428047">
    <w:abstractNumId w:val="1"/>
  </w:num>
  <w:num w:numId="9" w16cid:durableId="50483231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A17A6"/>
    <w:rsid w:val="00A15DAD"/>
    <w:rsid w:val="00AA1D8D"/>
    <w:rsid w:val="00B47730"/>
    <w:rsid w:val="00CB0664"/>
    <w:rsid w:val="00D63495"/>
    <w:rsid w:val="00DD53B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4AC269"/>
  <w14:defaultImageDpi w14:val="300"/>
  <w15:docId w15:val="{0A512526-19F9-6449-B604-ADB698B08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10" w:line="257" w:lineRule="auto"/>
    </w:pPr>
    <w:rPr>
      <w:rFonts w:ascii="Arial" w:hAnsi="Arial"/>
      <w:color w:val="20262B"/>
      <w:sz w:val="19"/>
    </w:rPr>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b/>
      <w:bCs/>
      <w:color w:val="172A3A"/>
      <w:sz w:val="30"/>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b/>
      <w:bCs/>
      <w:color w:val="F36C21"/>
      <w:sz w:val="22"/>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b/>
      <w:bCs/>
      <w:color w:val="172A3A"/>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b/>
      <w:color w:val="172A3A"/>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240"/>
    </w:pPr>
    <w:rPr>
      <w:rFonts w:asciiTheme="majorHAnsi" w:eastAsiaTheme="majorEastAsia" w:hAnsiTheme="majorHAnsi" w:cstheme="majorBidi"/>
      <w:i/>
      <w:iCs/>
      <w:color w:val="64727D"/>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1402</Words>
  <Characters>7997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9381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George Hay</cp:lastModifiedBy>
  <cp:revision>2</cp:revision>
  <dcterms:created xsi:type="dcterms:W3CDTF">2026-09-09T14:01:00Z</dcterms:created>
  <dcterms:modified xsi:type="dcterms:W3CDTF">2026-09-09T14:01:00Z</dcterms:modified>
  <cp:category/>
</cp:coreProperties>
</file>