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95" w:rsidRDefault="00833595">
      <w:pPr>
        <w:rPr>
          <w:rFonts w:ascii="Tahoma" w:hAnsi="Tahoma" w:cs="Tahoma"/>
          <w:b/>
          <w:sz w:val="20"/>
          <w:szCs w:val="20"/>
        </w:rPr>
      </w:pPr>
    </w:p>
    <w:p w:rsidR="003473B0" w:rsidRPr="001F3A38" w:rsidRDefault="003473B0">
      <w:pPr>
        <w:rPr>
          <w:rFonts w:ascii="Tahoma" w:hAnsi="Tahoma" w:cs="Tahoma"/>
          <w:b/>
          <w:sz w:val="20"/>
          <w:szCs w:val="20"/>
        </w:rPr>
      </w:pPr>
    </w:p>
    <w:p w:rsidR="003473B0" w:rsidRPr="003473B0" w:rsidRDefault="003473B0" w:rsidP="003473B0">
      <w:pPr>
        <w:spacing w:after="0"/>
        <w:ind w:left="-567" w:right="-612"/>
        <w:jc w:val="center"/>
        <w:rPr>
          <w:rFonts w:ascii="Tahoma" w:hAnsi="Tahoma" w:cs="Tahoma"/>
          <w:b/>
          <w:szCs w:val="20"/>
        </w:rPr>
      </w:pPr>
      <w:r w:rsidRPr="003473B0">
        <w:rPr>
          <w:rFonts w:ascii="Tahoma" w:hAnsi="Tahoma" w:cs="Tahoma"/>
          <w:b/>
          <w:szCs w:val="20"/>
        </w:rPr>
        <w:t>TARIFFS FOR INTERNATIONAL TRANSACTIONS</w:t>
      </w:r>
    </w:p>
    <w:p w:rsidR="00B83EAB" w:rsidRDefault="003473B0" w:rsidP="003473B0">
      <w:pPr>
        <w:spacing w:after="0"/>
        <w:ind w:left="-567" w:right="-612"/>
        <w:jc w:val="center"/>
        <w:rPr>
          <w:rFonts w:ascii="Tahoma" w:hAnsi="Tahoma" w:cs="Tahoma"/>
          <w:b/>
          <w:szCs w:val="20"/>
        </w:rPr>
      </w:pPr>
      <w:r w:rsidRPr="003473B0">
        <w:rPr>
          <w:rFonts w:ascii="Tahoma" w:hAnsi="Tahoma" w:cs="Tahoma"/>
          <w:b/>
          <w:szCs w:val="20"/>
        </w:rPr>
        <w:t>– CLEARING OF INTERNATIONAL PAYMENTS</w:t>
      </w:r>
      <w:r w:rsidRPr="003473B0">
        <w:rPr>
          <w:rFonts w:ascii="Tahoma" w:hAnsi="Tahoma" w:cs="Tahoma"/>
          <w:b/>
          <w:szCs w:val="20"/>
        </w:rPr>
        <w:cr/>
      </w:r>
    </w:p>
    <w:p w:rsidR="00CB5C1C" w:rsidRPr="00CB5C1C" w:rsidRDefault="00CB5C1C" w:rsidP="00CB5C1C">
      <w:pPr>
        <w:spacing w:after="0"/>
        <w:ind w:left="-567" w:right="-612"/>
        <w:jc w:val="both"/>
        <w:rPr>
          <w:rFonts w:ascii="Tahoma" w:hAnsi="Tahoma" w:cs="Tahoma"/>
          <w:i/>
          <w:szCs w:val="20"/>
          <w:lang w:val="sr-Latn-ME"/>
        </w:rPr>
      </w:pPr>
      <w:r w:rsidRPr="00CB5C1C">
        <w:rPr>
          <w:rFonts w:ascii="Tahoma" w:hAnsi="Tahoma" w:cs="Tahoma"/>
          <w:i/>
          <w:szCs w:val="20"/>
          <w:lang w:val="sr-Latn-ME"/>
        </w:rPr>
        <w:t>Tariffs relate to transactions with clients of Banks in Republic of Serbia and Bosnia and Herzegovina,</w:t>
      </w:r>
    </w:p>
    <w:p w:rsidR="00CB5C1C" w:rsidRPr="00CB5C1C" w:rsidRDefault="00CB5C1C" w:rsidP="00CB5C1C">
      <w:pPr>
        <w:spacing w:after="0"/>
        <w:ind w:left="-567" w:right="-612"/>
        <w:jc w:val="both"/>
        <w:rPr>
          <w:rFonts w:ascii="Tahoma" w:hAnsi="Tahoma" w:cs="Tahoma"/>
          <w:i/>
          <w:szCs w:val="20"/>
          <w:lang w:val="sr-Latn-ME"/>
        </w:rPr>
      </w:pPr>
      <w:r w:rsidRPr="00CB5C1C">
        <w:rPr>
          <w:rFonts w:ascii="Tahoma" w:hAnsi="Tahoma" w:cs="Tahoma"/>
          <w:i/>
          <w:szCs w:val="20"/>
          <w:lang w:val="sr-Latn-ME"/>
        </w:rPr>
        <w:t>participants of International Clearing System.</w:t>
      </w:r>
    </w:p>
    <w:p w:rsidR="00CB5C1C" w:rsidRPr="00CB5C1C" w:rsidRDefault="00CB5C1C" w:rsidP="00CB5C1C">
      <w:pPr>
        <w:spacing w:after="0"/>
        <w:ind w:left="-567" w:right="-612"/>
        <w:jc w:val="both"/>
        <w:rPr>
          <w:rFonts w:ascii="Tahoma" w:hAnsi="Tahoma" w:cs="Tahoma"/>
          <w:i/>
          <w:szCs w:val="20"/>
          <w:lang w:val="sr-Latn-ME"/>
        </w:rPr>
      </w:pPr>
      <w:r w:rsidRPr="00CB5C1C">
        <w:rPr>
          <w:rFonts w:ascii="Tahoma" w:hAnsi="Tahoma" w:cs="Tahoma"/>
          <w:i/>
          <w:szCs w:val="20"/>
          <w:lang w:val="sr-Latn-ME"/>
        </w:rPr>
        <w:t>List of participants can be found on the website of Clearing Operator, National Bank of Serbia, on the</w:t>
      </w:r>
    </w:p>
    <w:p w:rsidR="00CB5C1C" w:rsidRPr="00CB5C1C" w:rsidRDefault="00CB5C1C" w:rsidP="00CB5C1C">
      <w:pPr>
        <w:spacing w:after="0" w:line="240" w:lineRule="auto"/>
        <w:ind w:left="-567" w:right="-612"/>
        <w:jc w:val="both"/>
        <w:rPr>
          <w:rFonts w:ascii="Tahoma" w:hAnsi="Tahoma" w:cs="Tahoma"/>
          <w:i/>
          <w:szCs w:val="20"/>
          <w:lang w:val="sr-Latn-ME"/>
        </w:rPr>
      </w:pPr>
      <w:r w:rsidRPr="00CB5C1C">
        <w:rPr>
          <w:rFonts w:ascii="Tahoma" w:hAnsi="Tahoma" w:cs="Tahoma"/>
          <w:i/>
          <w:szCs w:val="20"/>
          <w:lang w:val="sr-Latn-ME"/>
        </w:rPr>
        <w:t>following link:</w:t>
      </w:r>
    </w:p>
    <w:p w:rsidR="00B83EAB" w:rsidRPr="003473B0" w:rsidRDefault="00E9115E" w:rsidP="00CB5C1C">
      <w:pPr>
        <w:spacing w:after="0" w:line="240" w:lineRule="auto"/>
        <w:ind w:left="-567" w:right="-612"/>
        <w:jc w:val="both"/>
        <w:rPr>
          <w:rFonts w:ascii="Tahoma" w:hAnsi="Tahoma" w:cs="Tahoma"/>
        </w:rPr>
      </w:pPr>
      <w:hyperlink r:id="rId6" w:history="1">
        <w:r w:rsidR="00B83EAB" w:rsidRPr="003473B0">
          <w:rPr>
            <w:rStyle w:val="Hyperlink"/>
            <w:rFonts w:ascii="Tahoma" w:hAnsi="Tahoma" w:cs="Tahoma"/>
          </w:rPr>
          <w:t>https://www.nbs.rs/export/sites/NBS_site/documents/platni-sistem/banke_u_medjunarodnom_pp.pdf</w:t>
        </w:r>
      </w:hyperlink>
    </w:p>
    <w:p w:rsidR="00B83EAB" w:rsidRDefault="00B83EAB" w:rsidP="00B83EAB">
      <w:pPr>
        <w:spacing w:after="0" w:line="240" w:lineRule="auto"/>
        <w:ind w:left="-567" w:right="-612"/>
        <w:jc w:val="both"/>
      </w:pPr>
    </w:p>
    <w:p w:rsidR="00B83EAB" w:rsidRDefault="00CB5C1C" w:rsidP="00CB5C1C">
      <w:pPr>
        <w:spacing w:after="0" w:line="240" w:lineRule="auto"/>
        <w:ind w:left="-567" w:right="-612"/>
        <w:jc w:val="both"/>
        <w:rPr>
          <w:rFonts w:ascii="Tahoma" w:hAnsi="Tahoma" w:cs="Tahoma"/>
        </w:rPr>
      </w:pPr>
      <w:r w:rsidRPr="00CB5C1C">
        <w:rPr>
          <w:rFonts w:ascii="Tahoma" w:hAnsi="Tahoma" w:cs="Tahoma"/>
        </w:rPr>
        <w:t>The Bank calculates and charges service fees for international payment transactions with Banks</w:t>
      </w:r>
      <w:r>
        <w:rPr>
          <w:rFonts w:ascii="Tahoma" w:hAnsi="Tahoma" w:cs="Tahoma"/>
        </w:rPr>
        <w:t xml:space="preserve"> </w:t>
      </w:r>
      <w:r w:rsidRPr="00CB5C1C">
        <w:rPr>
          <w:rFonts w:ascii="Tahoma" w:hAnsi="Tahoma" w:cs="Tahoma"/>
        </w:rPr>
        <w:t>from Republic of Serbia and Bosnia and Herzegovina, participants of International Clearing</w:t>
      </w:r>
      <w:r>
        <w:rPr>
          <w:rFonts w:ascii="Tahoma" w:hAnsi="Tahoma" w:cs="Tahoma"/>
        </w:rPr>
        <w:t xml:space="preserve"> </w:t>
      </w:r>
      <w:r w:rsidRPr="00CB5C1C">
        <w:rPr>
          <w:rFonts w:ascii="Tahoma" w:hAnsi="Tahoma" w:cs="Tahoma"/>
        </w:rPr>
        <w:t>system, for legal entities and natural persons, residents and non-residents, in advance (when</w:t>
      </w:r>
      <w:r>
        <w:rPr>
          <w:rFonts w:ascii="Tahoma" w:hAnsi="Tahoma" w:cs="Tahoma"/>
        </w:rPr>
        <w:t xml:space="preserve"> </w:t>
      </w:r>
      <w:r w:rsidRPr="00CB5C1C">
        <w:rPr>
          <w:rFonts w:ascii="Tahoma" w:hAnsi="Tahoma" w:cs="Tahoma"/>
        </w:rPr>
        <w:t>executing transactions), according to the following tariff rates and types of services:</w:t>
      </w:r>
    </w:p>
    <w:p w:rsidR="00CB5C1C" w:rsidRDefault="00CB5C1C" w:rsidP="00CB5C1C">
      <w:pPr>
        <w:spacing w:after="0" w:line="240" w:lineRule="auto"/>
        <w:ind w:left="-567" w:right="-612"/>
        <w:jc w:val="both"/>
        <w:rPr>
          <w:rFonts w:ascii="Tahoma" w:hAnsi="Tahoma" w:cs="Tahoma"/>
          <w:szCs w:val="20"/>
          <w:lang w:val="sr-Latn-ME"/>
        </w:rPr>
      </w:pPr>
    </w:p>
    <w:p w:rsidR="00B83EAB" w:rsidRPr="002B26E2" w:rsidRDefault="00B83EAB" w:rsidP="00B83EAB">
      <w:pPr>
        <w:spacing w:after="0" w:line="240" w:lineRule="auto"/>
        <w:ind w:left="-567" w:right="-612"/>
        <w:jc w:val="both"/>
        <w:rPr>
          <w:rFonts w:ascii="Tahoma" w:hAnsi="Tahoma" w:cs="Tahoma"/>
          <w:sz w:val="2"/>
          <w:szCs w:val="20"/>
          <w:lang w:val="sr-Latn-ME"/>
        </w:rPr>
      </w:pPr>
    </w:p>
    <w:tbl>
      <w:tblPr>
        <w:tblStyle w:val="TableGrid"/>
        <w:tblW w:w="10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039"/>
        <w:gridCol w:w="3221"/>
      </w:tblGrid>
      <w:tr w:rsidR="009E0B36" w:rsidRPr="001F3A38" w:rsidTr="00CB5C1C">
        <w:tc>
          <w:tcPr>
            <w:tcW w:w="1134" w:type="dxa"/>
            <w:shd w:val="clear" w:color="auto" w:fill="1F3864" w:themeFill="accent5" w:themeFillShade="80"/>
            <w:vAlign w:val="center"/>
          </w:tcPr>
          <w:p w:rsidR="009E0B36" w:rsidRPr="003473B0" w:rsidRDefault="00CB5C1C" w:rsidP="00F52F4F">
            <w:pPr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Tariff position</w:t>
            </w:r>
          </w:p>
        </w:tc>
        <w:tc>
          <w:tcPr>
            <w:tcW w:w="4820" w:type="dxa"/>
            <w:shd w:val="clear" w:color="auto" w:fill="1F3864" w:themeFill="accent5" w:themeFillShade="80"/>
            <w:vAlign w:val="center"/>
          </w:tcPr>
          <w:p w:rsidR="009E0B36" w:rsidRPr="003473B0" w:rsidRDefault="00CB5C1C" w:rsidP="002B26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Type of service</w:t>
            </w:r>
          </w:p>
        </w:tc>
        <w:tc>
          <w:tcPr>
            <w:tcW w:w="1039" w:type="dxa"/>
            <w:shd w:val="clear" w:color="auto" w:fill="1F3864" w:themeFill="accent5" w:themeFillShade="80"/>
            <w:vAlign w:val="center"/>
          </w:tcPr>
          <w:p w:rsidR="009E0B36" w:rsidRPr="003473B0" w:rsidRDefault="00CB5C1C" w:rsidP="002B26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Based on</w:t>
            </w:r>
          </w:p>
        </w:tc>
        <w:tc>
          <w:tcPr>
            <w:tcW w:w="3221" w:type="dxa"/>
            <w:shd w:val="clear" w:color="auto" w:fill="1F3864" w:themeFill="accent5" w:themeFillShade="80"/>
            <w:vAlign w:val="center"/>
          </w:tcPr>
          <w:p w:rsidR="009E0B36" w:rsidRPr="003473B0" w:rsidRDefault="00CB5C1C" w:rsidP="002B26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Applicable fees</w:t>
            </w:r>
          </w:p>
        </w:tc>
      </w:tr>
      <w:tr w:rsidR="009E0B36" w:rsidRPr="001F3A38" w:rsidTr="00CB5C1C">
        <w:trPr>
          <w:trHeight w:val="624"/>
        </w:trPr>
        <w:tc>
          <w:tcPr>
            <w:tcW w:w="1134" w:type="dxa"/>
            <w:shd w:val="clear" w:color="auto" w:fill="F4B083" w:themeFill="accent2" w:themeFillTint="99"/>
            <w:vAlign w:val="center"/>
          </w:tcPr>
          <w:p w:rsidR="009E0B36" w:rsidRPr="003473B0" w:rsidRDefault="00993A24" w:rsidP="00F52F4F">
            <w:pPr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9080" w:type="dxa"/>
            <w:gridSpan w:val="3"/>
            <w:shd w:val="clear" w:color="auto" w:fill="F4B083" w:themeFill="accent2" w:themeFillTint="99"/>
            <w:vAlign w:val="center"/>
          </w:tcPr>
          <w:p w:rsidR="00CB5C1C" w:rsidRPr="00CB5C1C" w:rsidRDefault="00CB5C1C" w:rsidP="00CB5C1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B5C1C">
              <w:rPr>
                <w:rFonts w:ascii="Tahoma" w:hAnsi="Tahoma" w:cs="Tahoma"/>
                <w:b/>
                <w:sz w:val="20"/>
              </w:rPr>
              <w:t>INTERNATIONAL INFLOWS</w:t>
            </w:r>
          </w:p>
          <w:p w:rsidR="009E0B36" w:rsidRPr="00CB5C1C" w:rsidRDefault="00CB5C1C" w:rsidP="00CB5C1C">
            <w:pPr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CB5C1C">
              <w:rPr>
                <w:rFonts w:ascii="Tahoma" w:hAnsi="Tahoma" w:cs="Tahoma"/>
                <w:sz w:val="20"/>
              </w:rPr>
              <w:t>(FROM BANKS FROM RS AND BA, PARTICIPANTS OF INTL CLEARING SYSTEM)</w:t>
            </w:r>
          </w:p>
        </w:tc>
      </w:tr>
      <w:tr w:rsidR="009E0B36" w:rsidRPr="00147DBF" w:rsidTr="00CB5C1C">
        <w:trPr>
          <w:trHeight w:val="567"/>
        </w:trPr>
        <w:tc>
          <w:tcPr>
            <w:tcW w:w="1134" w:type="dxa"/>
            <w:vAlign w:val="center"/>
          </w:tcPr>
          <w:p w:rsidR="009E0B36" w:rsidRPr="003473B0" w:rsidRDefault="00B83EAB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1.1</w:t>
            </w:r>
          </w:p>
        </w:tc>
        <w:tc>
          <w:tcPr>
            <w:tcW w:w="4820" w:type="dxa"/>
            <w:vAlign w:val="center"/>
          </w:tcPr>
          <w:p w:rsidR="00CB5C1C" w:rsidRPr="00CB5C1C" w:rsidRDefault="00CB5C1C" w:rsidP="00CB5C1C">
            <w:pPr>
              <w:rPr>
                <w:rFonts w:ascii="Tahoma" w:hAnsi="Tahoma" w:cs="Tahoma"/>
                <w:sz w:val="20"/>
              </w:rPr>
            </w:pPr>
            <w:r w:rsidRPr="00CB5C1C">
              <w:rPr>
                <w:rFonts w:ascii="Tahoma" w:hAnsi="Tahoma" w:cs="Tahoma"/>
                <w:sz w:val="20"/>
              </w:rPr>
              <w:t>Inflow in favor of the international bank</w:t>
            </w:r>
          </w:p>
          <w:p w:rsidR="009E0B36" w:rsidRPr="003473B0" w:rsidRDefault="00CB5C1C" w:rsidP="00CB5C1C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CB5C1C">
              <w:rPr>
                <w:rFonts w:ascii="Tahoma" w:hAnsi="Tahoma" w:cs="Tahoma"/>
                <w:sz w:val="20"/>
              </w:rPr>
              <w:t xml:space="preserve">account with charges option </w:t>
            </w:r>
            <w:r w:rsidR="00C153BF">
              <w:rPr>
                <w:rFonts w:ascii="Tahoma" w:hAnsi="Tahoma" w:cs="Tahoma"/>
                <w:sz w:val="20"/>
              </w:rPr>
              <w:t>SHAR (</w:t>
            </w:r>
            <w:r w:rsidRPr="00CB5C1C">
              <w:rPr>
                <w:rFonts w:ascii="Tahoma" w:hAnsi="Tahoma" w:cs="Tahoma"/>
                <w:sz w:val="20"/>
              </w:rPr>
              <w:t>SHA</w:t>
            </w:r>
            <w:r w:rsidR="00C153BF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039" w:type="dxa"/>
            <w:vAlign w:val="center"/>
          </w:tcPr>
          <w:p w:rsidR="009E0B36" w:rsidRPr="003473B0" w:rsidRDefault="00CB5C1C" w:rsidP="00147DBF">
            <w:pPr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9E0B36" w:rsidRPr="003473B0" w:rsidRDefault="00B83EAB" w:rsidP="00CB5C1C">
            <w:pPr>
              <w:jc w:val="right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</w:rPr>
              <w:t>0</w:t>
            </w:r>
            <w:r w:rsidR="00CB5C1C">
              <w:rPr>
                <w:rFonts w:ascii="Tahoma" w:hAnsi="Tahoma" w:cs="Tahoma"/>
                <w:sz w:val="20"/>
                <w:szCs w:val="20"/>
              </w:rPr>
              <w:t>.10% (min 2.</w:t>
            </w:r>
            <w:r w:rsidRPr="003473B0">
              <w:rPr>
                <w:rFonts w:ascii="Tahoma" w:hAnsi="Tahoma" w:cs="Tahoma"/>
                <w:sz w:val="20"/>
                <w:szCs w:val="20"/>
              </w:rPr>
              <w:t>50 €)</w:t>
            </w:r>
          </w:p>
        </w:tc>
      </w:tr>
      <w:tr w:rsidR="009E0B36" w:rsidRPr="00147DBF" w:rsidTr="00CB5C1C">
        <w:trPr>
          <w:trHeight w:val="624"/>
        </w:trPr>
        <w:tc>
          <w:tcPr>
            <w:tcW w:w="1134" w:type="dxa"/>
            <w:shd w:val="clear" w:color="auto" w:fill="F4B083" w:themeFill="accent2" w:themeFillTint="99"/>
            <w:vAlign w:val="center"/>
          </w:tcPr>
          <w:p w:rsidR="009E0B36" w:rsidRPr="003473B0" w:rsidRDefault="00993A24" w:rsidP="004E4316">
            <w:pPr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9080" w:type="dxa"/>
            <w:gridSpan w:val="3"/>
            <w:shd w:val="clear" w:color="auto" w:fill="F4B083" w:themeFill="accent2" w:themeFillTint="99"/>
            <w:vAlign w:val="center"/>
          </w:tcPr>
          <w:p w:rsidR="00CB5C1C" w:rsidRPr="00CB5C1C" w:rsidRDefault="00CB5C1C" w:rsidP="00CB5C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5C1C">
              <w:rPr>
                <w:rFonts w:ascii="Tahoma" w:hAnsi="Tahoma" w:cs="Tahoma"/>
                <w:b/>
                <w:sz w:val="20"/>
                <w:szCs w:val="20"/>
              </w:rPr>
              <w:t>INTERNATIONAL PAYMENTS</w:t>
            </w:r>
          </w:p>
          <w:p w:rsidR="00B83EAB" w:rsidRPr="00CB5C1C" w:rsidRDefault="00CB5C1C" w:rsidP="00CB5C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(TO BANKS FROM RS AND BA, PARTICIPANTS OF INTL CLEARING SYSTEM)</w:t>
            </w:r>
          </w:p>
        </w:tc>
      </w:tr>
      <w:tr w:rsidR="009E0B36" w:rsidRPr="00147DBF" w:rsidTr="00CB5C1C">
        <w:trPr>
          <w:trHeight w:val="567"/>
        </w:trPr>
        <w:tc>
          <w:tcPr>
            <w:tcW w:w="1134" w:type="dxa"/>
            <w:vAlign w:val="center"/>
          </w:tcPr>
          <w:p w:rsidR="009E0B36" w:rsidRPr="003473B0" w:rsidRDefault="00B83EAB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2.1</w:t>
            </w:r>
          </w:p>
        </w:tc>
        <w:tc>
          <w:tcPr>
            <w:tcW w:w="4820" w:type="dxa"/>
            <w:vAlign w:val="center"/>
          </w:tcPr>
          <w:p w:rsidR="00CB5C1C" w:rsidRPr="00CB5C1C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International payments for amounts up to</w:t>
            </w:r>
          </w:p>
          <w:p w:rsidR="009E0B36" w:rsidRPr="003473B0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500.00 €</w:t>
            </w:r>
          </w:p>
        </w:tc>
        <w:tc>
          <w:tcPr>
            <w:tcW w:w="1039" w:type="dxa"/>
            <w:vAlign w:val="center"/>
          </w:tcPr>
          <w:p w:rsidR="009E0B36" w:rsidRPr="003473B0" w:rsidRDefault="00CB5C1C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9E0B36" w:rsidRPr="003473B0" w:rsidRDefault="00CB5C1C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  <w:r w:rsidR="00B83EAB" w:rsidRPr="003473B0">
              <w:rPr>
                <w:rFonts w:ascii="Tahoma" w:hAnsi="Tahoma" w:cs="Tahoma"/>
                <w:sz w:val="20"/>
                <w:szCs w:val="20"/>
              </w:rPr>
              <w:t>00 €</w:t>
            </w:r>
          </w:p>
        </w:tc>
      </w:tr>
      <w:tr w:rsidR="009E0B36" w:rsidRPr="00147DBF" w:rsidTr="00CB5C1C">
        <w:trPr>
          <w:trHeight w:val="567"/>
        </w:trPr>
        <w:tc>
          <w:tcPr>
            <w:tcW w:w="1134" w:type="dxa"/>
            <w:vAlign w:val="center"/>
          </w:tcPr>
          <w:p w:rsidR="009E0B36" w:rsidRPr="003473B0" w:rsidRDefault="00B83EAB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2.2</w:t>
            </w:r>
          </w:p>
        </w:tc>
        <w:tc>
          <w:tcPr>
            <w:tcW w:w="4820" w:type="dxa"/>
            <w:vAlign w:val="center"/>
          </w:tcPr>
          <w:p w:rsidR="00CB5C1C" w:rsidRPr="00CB5C1C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International payments for amounts from</w:t>
            </w:r>
          </w:p>
          <w:p w:rsidR="009E0B36" w:rsidRPr="003473B0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500.01 to 1,000.00 €</w:t>
            </w:r>
          </w:p>
        </w:tc>
        <w:tc>
          <w:tcPr>
            <w:tcW w:w="1039" w:type="dxa"/>
            <w:vAlign w:val="center"/>
          </w:tcPr>
          <w:p w:rsidR="009E0B36" w:rsidRPr="003473B0" w:rsidRDefault="00CB5C1C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9E0B36" w:rsidRPr="003473B0" w:rsidRDefault="00B83EAB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473B0">
              <w:rPr>
                <w:rFonts w:ascii="Tahoma" w:hAnsi="Tahoma" w:cs="Tahoma"/>
                <w:sz w:val="20"/>
                <w:szCs w:val="20"/>
              </w:rPr>
              <w:t>5</w:t>
            </w:r>
            <w:r w:rsidR="00CB5C1C">
              <w:rPr>
                <w:rFonts w:ascii="Tahoma" w:hAnsi="Tahoma" w:cs="Tahoma"/>
                <w:sz w:val="20"/>
                <w:szCs w:val="20"/>
              </w:rPr>
              <w:t>.</w:t>
            </w:r>
            <w:r w:rsidR="00147DBF" w:rsidRPr="003473B0">
              <w:rPr>
                <w:rFonts w:ascii="Tahoma" w:hAnsi="Tahoma" w:cs="Tahoma"/>
                <w:sz w:val="20"/>
                <w:szCs w:val="20"/>
              </w:rPr>
              <w:t>00 €</w:t>
            </w:r>
          </w:p>
        </w:tc>
      </w:tr>
      <w:tr w:rsidR="009E0B36" w:rsidRPr="00147DBF" w:rsidTr="00CB5C1C">
        <w:trPr>
          <w:trHeight w:val="567"/>
        </w:trPr>
        <w:tc>
          <w:tcPr>
            <w:tcW w:w="1134" w:type="dxa"/>
            <w:vAlign w:val="center"/>
          </w:tcPr>
          <w:p w:rsidR="009E0B36" w:rsidRPr="003473B0" w:rsidRDefault="00B83EAB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 w:rsidR="00AC1641"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4820" w:type="dxa"/>
            <w:vAlign w:val="center"/>
          </w:tcPr>
          <w:p w:rsidR="00CB5C1C" w:rsidRPr="00CB5C1C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International payments for amounts from</w:t>
            </w:r>
          </w:p>
          <w:p w:rsidR="009E0B36" w:rsidRPr="003473B0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1,000.01 to 5,000.00 €</w:t>
            </w:r>
          </w:p>
        </w:tc>
        <w:tc>
          <w:tcPr>
            <w:tcW w:w="1039" w:type="dxa"/>
            <w:vAlign w:val="center"/>
          </w:tcPr>
          <w:p w:rsidR="009E0B36" w:rsidRPr="003473B0" w:rsidRDefault="00CB5C1C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9E0B36" w:rsidRPr="003473B0" w:rsidRDefault="00CB5C1C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  <w:r w:rsidR="00B83EAB" w:rsidRPr="003473B0">
              <w:rPr>
                <w:rFonts w:ascii="Tahoma" w:hAnsi="Tahoma" w:cs="Tahoma"/>
                <w:sz w:val="20"/>
                <w:szCs w:val="20"/>
              </w:rPr>
              <w:t>00 €</w:t>
            </w:r>
          </w:p>
        </w:tc>
      </w:tr>
      <w:tr w:rsidR="009E0B36" w:rsidRPr="00147DBF" w:rsidTr="00CB5C1C">
        <w:trPr>
          <w:trHeight w:val="567"/>
        </w:trPr>
        <w:tc>
          <w:tcPr>
            <w:tcW w:w="1134" w:type="dxa"/>
            <w:vAlign w:val="center"/>
          </w:tcPr>
          <w:p w:rsidR="009E0B36" w:rsidRPr="003473B0" w:rsidRDefault="00B83EAB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 w:rsidR="00AC1641"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4820" w:type="dxa"/>
            <w:vAlign w:val="center"/>
          </w:tcPr>
          <w:p w:rsidR="00CB5C1C" w:rsidRPr="00CB5C1C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International payments for amounts from</w:t>
            </w:r>
          </w:p>
          <w:p w:rsidR="009E0B36" w:rsidRPr="003473B0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5,000.01 to 20,000.00 €</w:t>
            </w:r>
          </w:p>
        </w:tc>
        <w:tc>
          <w:tcPr>
            <w:tcW w:w="1039" w:type="dxa"/>
            <w:vAlign w:val="center"/>
          </w:tcPr>
          <w:p w:rsidR="009E0B36" w:rsidRPr="003473B0" w:rsidRDefault="00CB5C1C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9E0B36" w:rsidRPr="003473B0" w:rsidRDefault="00CB5C1C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0.20% (min 10.</w:t>
            </w:r>
            <w:r w:rsidR="00B83EAB" w:rsidRPr="003473B0">
              <w:rPr>
                <w:rFonts w:ascii="Tahoma" w:hAnsi="Tahoma" w:cs="Tahoma"/>
                <w:sz w:val="20"/>
                <w:szCs w:val="20"/>
              </w:rPr>
              <w:t>00 €)</w:t>
            </w:r>
          </w:p>
        </w:tc>
      </w:tr>
      <w:tr w:rsidR="009E0B36" w:rsidRPr="00147DBF" w:rsidTr="00CB5C1C">
        <w:trPr>
          <w:trHeight w:val="567"/>
        </w:trPr>
        <w:tc>
          <w:tcPr>
            <w:tcW w:w="1134" w:type="dxa"/>
            <w:vAlign w:val="center"/>
          </w:tcPr>
          <w:p w:rsidR="009E0B36" w:rsidRPr="003473B0" w:rsidRDefault="00B83EAB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 w:rsidR="00AC1641"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4820" w:type="dxa"/>
            <w:vAlign w:val="center"/>
          </w:tcPr>
          <w:p w:rsidR="00CB5C1C" w:rsidRPr="00CB5C1C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International payments for amounts from</w:t>
            </w:r>
          </w:p>
          <w:p w:rsidR="009E0B36" w:rsidRPr="003473B0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20,000.01 to 100,000.00 €</w:t>
            </w:r>
          </w:p>
        </w:tc>
        <w:tc>
          <w:tcPr>
            <w:tcW w:w="1039" w:type="dxa"/>
            <w:vAlign w:val="center"/>
          </w:tcPr>
          <w:p w:rsidR="009E0B36" w:rsidRPr="003473B0" w:rsidRDefault="00CB5C1C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9E0B36" w:rsidRPr="003473B0" w:rsidRDefault="00CB5C1C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0.15% (min 40.</w:t>
            </w:r>
            <w:r w:rsidR="00B83EAB" w:rsidRPr="003473B0">
              <w:rPr>
                <w:rFonts w:ascii="Tahoma" w:hAnsi="Tahoma" w:cs="Tahoma"/>
                <w:sz w:val="20"/>
                <w:szCs w:val="20"/>
              </w:rPr>
              <w:t>00 €)</w:t>
            </w:r>
          </w:p>
        </w:tc>
      </w:tr>
      <w:tr w:rsidR="009E0B36" w:rsidRPr="00147DBF" w:rsidTr="00CB5C1C">
        <w:trPr>
          <w:trHeight w:val="567"/>
        </w:trPr>
        <w:tc>
          <w:tcPr>
            <w:tcW w:w="1134" w:type="dxa"/>
            <w:vAlign w:val="center"/>
          </w:tcPr>
          <w:p w:rsidR="009E0B36" w:rsidRPr="003473B0" w:rsidRDefault="00B83EAB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2</w:t>
            </w:r>
            <w:r w:rsidR="00AC1641" w:rsidRPr="003473B0">
              <w:rPr>
                <w:rFonts w:ascii="Tahoma" w:hAnsi="Tahoma" w:cs="Tahoma"/>
                <w:sz w:val="20"/>
                <w:szCs w:val="20"/>
                <w:lang w:val="sr-Latn-ME"/>
              </w:rPr>
              <w:t>.6</w:t>
            </w:r>
          </w:p>
        </w:tc>
        <w:tc>
          <w:tcPr>
            <w:tcW w:w="4820" w:type="dxa"/>
            <w:vAlign w:val="center"/>
          </w:tcPr>
          <w:p w:rsidR="00CB5C1C" w:rsidRPr="00CB5C1C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International payments for amounts over</w:t>
            </w:r>
          </w:p>
          <w:p w:rsidR="009E0B36" w:rsidRPr="003473B0" w:rsidRDefault="00CB5C1C" w:rsidP="00CB5C1C">
            <w:pPr>
              <w:rPr>
                <w:rFonts w:ascii="Tahoma" w:hAnsi="Tahoma" w:cs="Tahoma"/>
                <w:sz w:val="20"/>
                <w:szCs w:val="20"/>
              </w:rPr>
            </w:pPr>
            <w:r w:rsidRPr="00CB5C1C">
              <w:rPr>
                <w:rFonts w:ascii="Tahoma" w:hAnsi="Tahoma" w:cs="Tahoma"/>
                <w:sz w:val="20"/>
                <w:szCs w:val="20"/>
              </w:rPr>
              <w:t>100,000.01 €</w:t>
            </w:r>
          </w:p>
        </w:tc>
        <w:tc>
          <w:tcPr>
            <w:tcW w:w="1039" w:type="dxa"/>
            <w:vAlign w:val="center"/>
          </w:tcPr>
          <w:p w:rsidR="009E0B36" w:rsidRPr="003473B0" w:rsidRDefault="00CB5C1C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9E0B36" w:rsidRPr="003473B0" w:rsidRDefault="00CB5C1C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0.10% (min 150.</w:t>
            </w:r>
            <w:r w:rsidR="00B83EAB" w:rsidRPr="003473B0">
              <w:rPr>
                <w:rFonts w:ascii="Tahoma" w:hAnsi="Tahoma" w:cs="Tahoma"/>
                <w:sz w:val="20"/>
                <w:szCs w:val="20"/>
              </w:rPr>
              <w:t>00 €)</w:t>
            </w:r>
          </w:p>
        </w:tc>
      </w:tr>
      <w:tr w:rsidR="008B37FE" w:rsidRPr="00147DBF" w:rsidTr="00CB5C1C">
        <w:trPr>
          <w:trHeight w:val="567"/>
        </w:trPr>
        <w:tc>
          <w:tcPr>
            <w:tcW w:w="1134" w:type="dxa"/>
            <w:vAlign w:val="center"/>
          </w:tcPr>
          <w:p w:rsidR="008B37FE" w:rsidRPr="003473B0" w:rsidRDefault="008B37FE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4820" w:type="dxa"/>
            <w:vAlign w:val="center"/>
          </w:tcPr>
          <w:p w:rsidR="008B37FE" w:rsidRPr="00CB5C1C" w:rsidRDefault="008B37FE" w:rsidP="00CB5C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Compliance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c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osts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fee r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elated to the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implementation of c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ustomer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due d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iligence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m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easures for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i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nternational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payments e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>xceeding 1,000 €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– a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pplicable to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non-resident l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egal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e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>ntities</w:t>
            </w:r>
          </w:p>
        </w:tc>
        <w:tc>
          <w:tcPr>
            <w:tcW w:w="1039" w:type="dxa"/>
            <w:vAlign w:val="center"/>
          </w:tcPr>
          <w:p w:rsidR="008B37FE" w:rsidRDefault="008B37FE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21" w:type="dxa"/>
            <w:vAlign w:val="center"/>
          </w:tcPr>
          <w:p w:rsidR="008B37FE" w:rsidRDefault="008B37FE" w:rsidP="008B37F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0,30%</w:t>
            </w:r>
          </w:p>
          <w:p w:rsidR="008B37FE" w:rsidRDefault="008B37FE" w:rsidP="008B37F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A73027">
              <w:rPr>
                <w:rFonts w:ascii="Tahoma" w:hAnsi="Tahoma" w:cs="Tahoma"/>
                <w:sz w:val="20"/>
                <w:szCs w:val="20"/>
              </w:rPr>
              <w:t>The maximum total fee for international payments is 0.50% of the payment amount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</w:tbl>
    <w:p w:rsidR="009E0B36" w:rsidRPr="001F3A38" w:rsidRDefault="009E0B36" w:rsidP="009E0B36">
      <w:pPr>
        <w:jc w:val="both"/>
        <w:rPr>
          <w:rFonts w:ascii="Tahoma" w:hAnsi="Tahoma" w:cs="Tahoma"/>
          <w:sz w:val="20"/>
          <w:szCs w:val="20"/>
          <w:lang w:val="sr-Latn-ME"/>
        </w:rPr>
      </w:pPr>
    </w:p>
    <w:p w:rsidR="00CB5C1C" w:rsidRPr="00CB5C1C" w:rsidRDefault="00CB5C1C" w:rsidP="00CB5C1C">
      <w:pPr>
        <w:spacing w:after="0" w:line="240" w:lineRule="auto"/>
        <w:ind w:left="-567" w:right="-612"/>
        <w:jc w:val="both"/>
        <w:rPr>
          <w:rFonts w:ascii="Tahoma" w:hAnsi="Tahoma" w:cs="Tahoma"/>
          <w:szCs w:val="20"/>
        </w:rPr>
      </w:pPr>
      <w:r w:rsidRPr="00CB5C1C">
        <w:rPr>
          <w:rFonts w:ascii="Tahoma" w:hAnsi="Tahoma" w:cs="Tahoma"/>
          <w:szCs w:val="20"/>
        </w:rPr>
        <w:t xml:space="preserve">Fees relate to only possible payment option </w:t>
      </w:r>
      <w:r w:rsidR="00C153BF">
        <w:rPr>
          <w:rFonts w:ascii="Tahoma" w:hAnsi="Tahoma" w:cs="Tahoma"/>
          <w:szCs w:val="20"/>
        </w:rPr>
        <w:t>SHAR (</w:t>
      </w:r>
      <w:r w:rsidRPr="00CB5C1C">
        <w:rPr>
          <w:rFonts w:ascii="Tahoma" w:hAnsi="Tahoma" w:cs="Tahoma"/>
          <w:szCs w:val="20"/>
        </w:rPr>
        <w:t>SHA</w:t>
      </w:r>
      <w:r w:rsidR="00C153BF">
        <w:rPr>
          <w:rFonts w:ascii="Tahoma" w:hAnsi="Tahoma" w:cs="Tahoma"/>
          <w:szCs w:val="20"/>
        </w:rPr>
        <w:t>)</w:t>
      </w:r>
      <w:r w:rsidRPr="00CB5C1C">
        <w:rPr>
          <w:rFonts w:ascii="Tahoma" w:hAnsi="Tahoma" w:cs="Tahoma"/>
          <w:szCs w:val="20"/>
        </w:rPr>
        <w:t>.</w:t>
      </w:r>
    </w:p>
    <w:p w:rsidR="001F3A38" w:rsidRPr="003473B0" w:rsidRDefault="00CB5C1C" w:rsidP="00CB5C1C">
      <w:pPr>
        <w:spacing w:after="0" w:line="240" w:lineRule="auto"/>
        <w:ind w:left="-567" w:right="-612"/>
        <w:jc w:val="both"/>
        <w:rPr>
          <w:rFonts w:ascii="Tahoma" w:hAnsi="Tahoma" w:cs="Tahoma"/>
          <w:szCs w:val="20"/>
          <w:lang w:val="sr-Latn-ME"/>
        </w:rPr>
      </w:pPr>
      <w:r w:rsidRPr="00CB5C1C">
        <w:rPr>
          <w:rFonts w:ascii="Tahoma" w:hAnsi="Tahoma" w:cs="Tahoma"/>
          <w:szCs w:val="20"/>
        </w:rPr>
        <w:t>Fees may be altered by the decision of the Management Board members.</w:t>
      </w:r>
    </w:p>
    <w:sectPr w:rsidR="001F3A38" w:rsidRPr="003473B0" w:rsidSect="00446348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15E" w:rsidRDefault="00E9115E" w:rsidP="009E0B36">
      <w:pPr>
        <w:spacing w:after="0" w:line="240" w:lineRule="auto"/>
      </w:pPr>
      <w:r>
        <w:separator/>
      </w:r>
    </w:p>
  </w:endnote>
  <w:endnote w:type="continuationSeparator" w:id="0">
    <w:p w:rsidR="00E9115E" w:rsidRDefault="00E9115E" w:rsidP="009E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B0" w:rsidRDefault="003473B0">
    <w:pPr>
      <w:pStyle w:val="Footer"/>
    </w:pPr>
    <w:r w:rsidRPr="003473B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-3175</wp:posOffset>
          </wp:positionV>
          <wp:extent cx="5696745" cy="161948"/>
          <wp:effectExtent l="0" t="0" r="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6745" cy="161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15E" w:rsidRDefault="00E9115E" w:rsidP="009E0B36">
      <w:pPr>
        <w:spacing w:after="0" w:line="240" w:lineRule="auto"/>
      </w:pPr>
      <w:r>
        <w:separator/>
      </w:r>
    </w:p>
  </w:footnote>
  <w:footnote w:type="continuationSeparator" w:id="0">
    <w:p w:rsidR="00E9115E" w:rsidRDefault="00E9115E" w:rsidP="009E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36" w:rsidRDefault="009E0B36" w:rsidP="009E0B36">
    <w:pPr>
      <w:pStyle w:val="Header"/>
      <w:jc w:val="center"/>
    </w:pPr>
    <w:r>
      <w:rPr>
        <w:noProof/>
      </w:rPr>
      <w:drawing>
        <wp:inline distT="0" distB="0" distL="0" distR="0" wp14:anchorId="1870A043" wp14:editId="33C0DAE5">
          <wp:extent cx="5270500" cy="543560"/>
          <wp:effectExtent l="0" t="0" r="1270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al-Capital-Bank---mem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7"/>
    <w:rsid w:val="000B21B9"/>
    <w:rsid w:val="00147DBF"/>
    <w:rsid w:val="001D3B38"/>
    <w:rsid w:val="001F3A38"/>
    <w:rsid w:val="00216B90"/>
    <w:rsid w:val="002B26E2"/>
    <w:rsid w:val="003473B0"/>
    <w:rsid w:val="003D3DBA"/>
    <w:rsid w:val="003E63A1"/>
    <w:rsid w:val="00446348"/>
    <w:rsid w:val="004E4316"/>
    <w:rsid w:val="00586255"/>
    <w:rsid w:val="00833595"/>
    <w:rsid w:val="008A6947"/>
    <w:rsid w:val="008B37FE"/>
    <w:rsid w:val="0096063B"/>
    <w:rsid w:val="00993A24"/>
    <w:rsid w:val="009E0B36"/>
    <w:rsid w:val="00AC1641"/>
    <w:rsid w:val="00B83EAB"/>
    <w:rsid w:val="00BD6DB9"/>
    <w:rsid w:val="00C153BF"/>
    <w:rsid w:val="00CB5C1C"/>
    <w:rsid w:val="00D17F4C"/>
    <w:rsid w:val="00E9115E"/>
    <w:rsid w:val="00F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18D5"/>
  <w15:chartTrackingRefBased/>
  <w15:docId w15:val="{DF1CF296-3819-4C73-B240-C4C5814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36"/>
  </w:style>
  <w:style w:type="paragraph" w:styleId="Footer">
    <w:name w:val="footer"/>
    <w:basedOn w:val="Normal"/>
    <w:link w:val="FooterChar"/>
    <w:uiPriority w:val="99"/>
    <w:unhideWhenUsed/>
    <w:rsid w:val="009E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36"/>
  </w:style>
  <w:style w:type="table" w:styleId="TableGrid">
    <w:name w:val="Table Grid"/>
    <w:basedOn w:val="TableNormal"/>
    <w:uiPriority w:val="39"/>
    <w:rsid w:val="009E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3E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bs.rs/export/sites/NBS_site/documents/platni-sistem/banke_u_medjunarodnom_p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Zorić</dc:creator>
  <cp:keywords/>
  <dc:description/>
  <cp:lastModifiedBy>Ana Jovanović</cp:lastModifiedBy>
  <cp:revision>5</cp:revision>
  <cp:lastPrinted>2024-07-05T10:53:00Z</cp:lastPrinted>
  <dcterms:created xsi:type="dcterms:W3CDTF">2024-07-05T10:53:00Z</dcterms:created>
  <dcterms:modified xsi:type="dcterms:W3CDTF">2025-11-26T10:56:00Z</dcterms:modified>
</cp:coreProperties>
</file>