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1CCF" w14:textId="77777777" w:rsidR="002E0FBF" w:rsidRPr="00105A8A" w:rsidRDefault="00000000">
      <w:pPr>
        <w:spacing w:before="700" w:after="200"/>
        <w:jc w:val="center"/>
        <w:rPr>
          <w:rFonts w:ascii="Open Sauce One" w:hAnsi="Open Sauce One"/>
        </w:rPr>
      </w:pPr>
      <w:r w:rsidRPr="00105A8A">
        <w:rPr>
          <w:rFonts w:ascii="Open Sauce One" w:eastAsia="Bookman Old Style" w:hAnsi="Open Sauce One" w:cs="Bookman Old Style"/>
          <w:b/>
          <w:bCs/>
          <w:color w:val="292876"/>
          <w:sz w:val="52"/>
          <w:szCs w:val="52"/>
        </w:rPr>
        <w:t>CONVERTIBLE NOTE</w:t>
      </w:r>
    </w:p>
    <w:p w14:paraId="05A1F05E" w14:textId="77777777" w:rsidR="002E0FBF" w:rsidRPr="00105A8A" w:rsidRDefault="00000000">
      <w:pPr>
        <w:spacing w:after="700"/>
        <w:jc w:val="center"/>
        <w:rPr>
          <w:rFonts w:ascii="Open Sauce One" w:hAnsi="Open Sauce One"/>
        </w:rPr>
      </w:pPr>
      <w:r w:rsidRPr="00105A8A">
        <w:rPr>
          <w:rFonts w:ascii="Open Sauce One" w:hAnsi="Open Sauce One"/>
          <w:i/>
          <w:iCs/>
          <w:color w:val="633DA5"/>
          <w:sz w:val="22"/>
          <w:szCs w:val="22"/>
        </w:rPr>
        <w:t xml:space="preserve">US Market </w:t>
      </w:r>
      <w:proofErr w:type="gramStart"/>
      <w:r w:rsidRPr="00105A8A">
        <w:rPr>
          <w:rFonts w:ascii="Open Sauce One" w:hAnsi="Open Sauce One"/>
          <w:i/>
          <w:iCs/>
          <w:color w:val="633DA5"/>
          <w:sz w:val="22"/>
          <w:szCs w:val="22"/>
        </w:rPr>
        <w:t>Standard  |</w:t>
      </w:r>
      <w:proofErr w:type="gramEnd"/>
      <w:r w:rsidRPr="00105A8A">
        <w:rPr>
          <w:rFonts w:ascii="Open Sauce One" w:hAnsi="Open Sauce One"/>
          <w:i/>
          <w:iCs/>
          <w:color w:val="633DA5"/>
          <w:sz w:val="22"/>
          <w:szCs w:val="22"/>
        </w:rPr>
        <w:t xml:space="preserve">  Convertible Promissory </w:t>
      </w:r>
      <w:proofErr w:type="gramStart"/>
      <w:r w:rsidRPr="00105A8A">
        <w:rPr>
          <w:rFonts w:ascii="Open Sauce One" w:hAnsi="Open Sauce One"/>
          <w:i/>
          <w:iCs/>
          <w:color w:val="633DA5"/>
          <w:sz w:val="22"/>
          <w:szCs w:val="22"/>
        </w:rPr>
        <w:t>Note  •</w:t>
      </w:r>
      <w:proofErr w:type="gramEnd"/>
      <w:r w:rsidRPr="00105A8A">
        <w:rPr>
          <w:rFonts w:ascii="Open Sauce One" w:hAnsi="Open Sauce One"/>
          <w:i/>
          <w:iCs/>
          <w:color w:val="633DA5"/>
          <w:sz w:val="22"/>
          <w:szCs w:val="22"/>
        </w:rPr>
        <w:t xml:space="preserve">  Reg D Rule 506(b) / Section 4(a)(2)</w:t>
      </w:r>
    </w:p>
    <w:p w14:paraId="308EFE59" w14:textId="77777777" w:rsidR="002E0FBF" w:rsidRPr="00105A8A" w:rsidRDefault="002E0FBF">
      <w:pPr>
        <w:pBdr>
          <w:bottom w:val="single" w:sz="16" w:space="1" w:color="FFCD5D"/>
        </w:pBdr>
        <w:spacing w:after="600"/>
        <w:rPr>
          <w:rFonts w:ascii="Open Sauce One" w:hAnsi="Open Sauce One"/>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4000"/>
      </w:tblGrid>
      <w:tr w:rsidR="002E0FBF" w:rsidRPr="00105A8A" w14:paraId="0AA4D881" w14:textId="77777777">
        <w:tblPrEx>
          <w:tblCellMar>
            <w:top w:w="0" w:type="dxa"/>
            <w:bottom w:w="0" w:type="dxa"/>
          </w:tblCellMar>
        </w:tblPrEx>
        <w:trPr>
          <w:jc w:val="center"/>
        </w:trPr>
        <w:tc>
          <w:tcPr>
            <w:tcW w:w="3200" w:type="dxa"/>
            <w:tcBorders>
              <w:top w:val="none" w:sz="0" w:space="0" w:color="FFFFFF"/>
              <w:left w:val="none" w:sz="0" w:space="0" w:color="FFFFFF"/>
              <w:bottom w:val="none" w:sz="0" w:space="0" w:color="FFFFFF"/>
              <w:right w:val="none" w:sz="0" w:space="0" w:color="FFFFFF"/>
            </w:tcBorders>
            <w:tcMar>
              <w:top w:w="140" w:type="dxa"/>
              <w:left w:w="100" w:type="dxa"/>
              <w:bottom w:w="140" w:type="dxa"/>
              <w:right w:w="100" w:type="dxa"/>
            </w:tcMar>
          </w:tcPr>
          <w:p w14:paraId="78C058A5" w14:textId="77777777" w:rsidR="002E0FBF" w:rsidRPr="00105A8A" w:rsidRDefault="00000000">
            <w:pPr>
              <w:rPr>
                <w:rFonts w:ascii="Open Sauce One" w:hAnsi="Open Sauce One"/>
              </w:rPr>
            </w:pPr>
            <w:r w:rsidRPr="00105A8A">
              <w:rPr>
                <w:rFonts w:ascii="Open Sauce One" w:hAnsi="Open Sauce One"/>
                <w:b/>
                <w:bCs/>
                <w:color w:val="5A5A5A"/>
                <w:spacing w:val="15"/>
                <w:sz w:val="16"/>
                <w:szCs w:val="16"/>
              </w:rPr>
              <w:t>COMPANY</w:t>
            </w:r>
          </w:p>
        </w:tc>
        <w:tc>
          <w:tcPr>
            <w:tcW w:w="4000" w:type="dxa"/>
            <w:tcBorders>
              <w:top w:val="none" w:sz="0" w:space="0" w:color="FFFFFF"/>
              <w:left w:val="none" w:sz="0" w:space="0" w:color="FFFFFF"/>
              <w:bottom w:val="single" w:sz="4" w:space="0" w:color="C9C2DD"/>
              <w:right w:val="none" w:sz="0" w:space="0" w:color="FFFFFF"/>
            </w:tcBorders>
            <w:tcMar>
              <w:top w:w="140" w:type="dxa"/>
              <w:left w:w="100" w:type="dxa"/>
              <w:bottom w:w="140" w:type="dxa"/>
              <w:right w:w="100" w:type="dxa"/>
            </w:tcMar>
          </w:tcPr>
          <w:p w14:paraId="0615BA9D" w14:textId="77777777" w:rsidR="002E0FBF" w:rsidRPr="00105A8A" w:rsidRDefault="00000000">
            <w:pPr>
              <w:rPr>
                <w:rFonts w:ascii="Open Sauce One" w:hAnsi="Open Sauce One"/>
              </w:rPr>
            </w:pPr>
            <w:r w:rsidRPr="00105A8A">
              <w:rPr>
                <w:rFonts w:ascii="Open Sauce One" w:hAnsi="Open Sauce One"/>
                <w:sz w:val="19"/>
                <w:szCs w:val="19"/>
              </w:rPr>
              <w:t xml:space="preserve"> </w:t>
            </w:r>
          </w:p>
        </w:tc>
      </w:tr>
      <w:tr w:rsidR="002E0FBF" w:rsidRPr="00105A8A" w14:paraId="0ED6B2AE" w14:textId="77777777">
        <w:tblPrEx>
          <w:tblCellMar>
            <w:top w:w="0" w:type="dxa"/>
            <w:bottom w:w="0" w:type="dxa"/>
          </w:tblCellMar>
        </w:tblPrEx>
        <w:trPr>
          <w:jc w:val="center"/>
        </w:trPr>
        <w:tc>
          <w:tcPr>
            <w:tcW w:w="3200" w:type="dxa"/>
            <w:tcBorders>
              <w:top w:val="none" w:sz="0" w:space="0" w:color="FFFFFF"/>
              <w:left w:val="none" w:sz="0" w:space="0" w:color="FFFFFF"/>
              <w:bottom w:val="none" w:sz="0" w:space="0" w:color="FFFFFF"/>
              <w:right w:val="none" w:sz="0" w:space="0" w:color="FFFFFF"/>
            </w:tcBorders>
            <w:tcMar>
              <w:top w:w="140" w:type="dxa"/>
              <w:left w:w="100" w:type="dxa"/>
              <w:bottom w:w="140" w:type="dxa"/>
              <w:right w:w="100" w:type="dxa"/>
            </w:tcMar>
          </w:tcPr>
          <w:p w14:paraId="71127A91" w14:textId="77777777" w:rsidR="002E0FBF" w:rsidRPr="00105A8A" w:rsidRDefault="00000000">
            <w:pPr>
              <w:rPr>
                <w:rFonts w:ascii="Open Sauce One" w:hAnsi="Open Sauce One"/>
              </w:rPr>
            </w:pPr>
            <w:r w:rsidRPr="00105A8A">
              <w:rPr>
                <w:rFonts w:ascii="Open Sauce One" w:hAnsi="Open Sauce One"/>
                <w:b/>
                <w:bCs/>
                <w:color w:val="5A5A5A"/>
                <w:spacing w:val="15"/>
                <w:sz w:val="16"/>
                <w:szCs w:val="16"/>
              </w:rPr>
              <w:t>INVESTOR / HOLDER</w:t>
            </w:r>
          </w:p>
        </w:tc>
        <w:tc>
          <w:tcPr>
            <w:tcW w:w="4000" w:type="dxa"/>
            <w:tcBorders>
              <w:top w:val="none" w:sz="0" w:space="0" w:color="FFFFFF"/>
              <w:left w:val="none" w:sz="0" w:space="0" w:color="FFFFFF"/>
              <w:bottom w:val="single" w:sz="4" w:space="0" w:color="C9C2DD"/>
              <w:right w:val="none" w:sz="0" w:space="0" w:color="FFFFFF"/>
            </w:tcBorders>
            <w:tcMar>
              <w:top w:w="140" w:type="dxa"/>
              <w:left w:w="100" w:type="dxa"/>
              <w:bottom w:w="140" w:type="dxa"/>
              <w:right w:w="100" w:type="dxa"/>
            </w:tcMar>
          </w:tcPr>
          <w:p w14:paraId="6CF5053C" w14:textId="77777777" w:rsidR="002E0FBF" w:rsidRPr="00105A8A" w:rsidRDefault="00000000">
            <w:pPr>
              <w:rPr>
                <w:rFonts w:ascii="Open Sauce One" w:hAnsi="Open Sauce One"/>
              </w:rPr>
            </w:pPr>
            <w:r w:rsidRPr="00105A8A">
              <w:rPr>
                <w:rFonts w:ascii="Open Sauce One" w:hAnsi="Open Sauce One"/>
                <w:sz w:val="19"/>
                <w:szCs w:val="19"/>
              </w:rPr>
              <w:t xml:space="preserve"> </w:t>
            </w:r>
          </w:p>
        </w:tc>
      </w:tr>
      <w:tr w:rsidR="002E0FBF" w:rsidRPr="00105A8A" w14:paraId="1EAF43D9" w14:textId="77777777">
        <w:tblPrEx>
          <w:tblCellMar>
            <w:top w:w="0" w:type="dxa"/>
            <w:bottom w:w="0" w:type="dxa"/>
          </w:tblCellMar>
        </w:tblPrEx>
        <w:trPr>
          <w:jc w:val="center"/>
        </w:trPr>
        <w:tc>
          <w:tcPr>
            <w:tcW w:w="3200" w:type="dxa"/>
            <w:tcBorders>
              <w:top w:val="none" w:sz="0" w:space="0" w:color="FFFFFF"/>
              <w:left w:val="none" w:sz="0" w:space="0" w:color="FFFFFF"/>
              <w:bottom w:val="none" w:sz="0" w:space="0" w:color="FFFFFF"/>
              <w:right w:val="none" w:sz="0" w:space="0" w:color="FFFFFF"/>
            </w:tcBorders>
            <w:tcMar>
              <w:top w:w="140" w:type="dxa"/>
              <w:left w:w="100" w:type="dxa"/>
              <w:bottom w:w="140" w:type="dxa"/>
              <w:right w:w="100" w:type="dxa"/>
            </w:tcMar>
          </w:tcPr>
          <w:p w14:paraId="5D9175A1" w14:textId="77777777" w:rsidR="002E0FBF" w:rsidRPr="00105A8A" w:rsidRDefault="00000000">
            <w:pPr>
              <w:rPr>
                <w:rFonts w:ascii="Open Sauce One" w:hAnsi="Open Sauce One"/>
              </w:rPr>
            </w:pPr>
            <w:r w:rsidRPr="00105A8A">
              <w:rPr>
                <w:rFonts w:ascii="Open Sauce One" w:hAnsi="Open Sauce One"/>
                <w:b/>
                <w:bCs/>
                <w:color w:val="5A5A5A"/>
                <w:spacing w:val="15"/>
                <w:sz w:val="16"/>
                <w:szCs w:val="16"/>
              </w:rPr>
              <w:t>PRINCIPAL AMOUNT</w:t>
            </w:r>
          </w:p>
        </w:tc>
        <w:tc>
          <w:tcPr>
            <w:tcW w:w="4000" w:type="dxa"/>
            <w:tcBorders>
              <w:top w:val="none" w:sz="0" w:space="0" w:color="FFFFFF"/>
              <w:left w:val="none" w:sz="0" w:space="0" w:color="FFFFFF"/>
              <w:bottom w:val="single" w:sz="4" w:space="0" w:color="C9C2DD"/>
              <w:right w:val="none" w:sz="0" w:space="0" w:color="FFFFFF"/>
            </w:tcBorders>
            <w:tcMar>
              <w:top w:w="140" w:type="dxa"/>
              <w:left w:w="100" w:type="dxa"/>
              <w:bottom w:w="140" w:type="dxa"/>
              <w:right w:w="100" w:type="dxa"/>
            </w:tcMar>
          </w:tcPr>
          <w:p w14:paraId="305A9913" w14:textId="77777777" w:rsidR="002E0FBF" w:rsidRPr="00105A8A" w:rsidRDefault="00000000">
            <w:pPr>
              <w:rPr>
                <w:rFonts w:ascii="Open Sauce One" w:hAnsi="Open Sauce One"/>
              </w:rPr>
            </w:pPr>
            <w:r w:rsidRPr="00105A8A">
              <w:rPr>
                <w:rFonts w:ascii="Open Sauce One" w:hAnsi="Open Sauce One"/>
                <w:sz w:val="19"/>
                <w:szCs w:val="19"/>
              </w:rPr>
              <w:t>$[_______________]</w:t>
            </w:r>
          </w:p>
        </w:tc>
      </w:tr>
      <w:tr w:rsidR="002E0FBF" w:rsidRPr="00105A8A" w14:paraId="3DBFC7C5" w14:textId="77777777">
        <w:tblPrEx>
          <w:tblCellMar>
            <w:top w:w="0" w:type="dxa"/>
            <w:bottom w:w="0" w:type="dxa"/>
          </w:tblCellMar>
        </w:tblPrEx>
        <w:trPr>
          <w:jc w:val="center"/>
        </w:trPr>
        <w:tc>
          <w:tcPr>
            <w:tcW w:w="3200" w:type="dxa"/>
            <w:tcBorders>
              <w:top w:val="none" w:sz="0" w:space="0" w:color="FFFFFF"/>
              <w:left w:val="none" w:sz="0" w:space="0" w:color="FFFFFF"/>
              <w:bottom w:val="none" w:sz="0" w:space="0" w:color="FFFFFF"/>
              <w:right w:val="none" w:sz="0" w:space="0" w:color="FFFFFF"/>
            </w:tcBorders>
            <w:tcMar>
              <w:top w:w="140" w:type="dxa"/>
              <w:left w:w="100" w:type="dxa"/>
              <w:bottom w:w="140" w:type="dxa"/>
              <w:right w:w="100" w:type="dxa"/>
            </w:tcMar>
          </w:tcPr>
          <w:p w14:paraId="44CA9C6C" w14:textId="77777777" w:rsidR="002E0FBF" w:rsidRPr="00105A8A" w:rsidRDefault="00000000">
            <w:pPr>
              <w:rPr>
                <w:rFonts w:ascii="Open Sauce One" w:hAnsi="Open Sauce One"/>
              </w:rPr>
            </w:pPr>
            <w:r w:rsidRPr="00105A8A">
              <w:rPr>
                <w:rFonts w:ascii="Open Sauce One" w:hAnsi="Open Sauce One"/>
                <w:b/>
                <w:bCs/>
                <w:color w:val="5A5A5A"/>
                <w:spacing w:val="15"/>
                <w:sz w:val="16"/>
                <w:szCs w:val="16"/>
              </w:rPr>
              <w:t>ISSUE DATE</w:t>
            </w:r>
          </w:p>
        </w:tc>
        <w:tc>
          <w:tcPr>
            <w:tcW w:w="4000" w:type="dxa"/>
            <w:tcBorders>
              <w:top w:val="none" w:sz="0" w:space="0" w:color="FFFFFF"/>
              <w:left w:val="none" w:sz="0" w:space="0" w:color="FFFFFF"/>
              <w:bottom w:val="single" w:sz="4" w:space="0" w:color="C9C2DD"/>
              <w:right w:val="none" w:sz="0" w:space="0" w:color="FFFFFF"/>
            </w:tcBorders>
            <w:tcMar>
              <w:top w:w="140" w:type="dxa"/>
              <w:left w:w="100" w:type="dxa"/>
              <w:bottom w:w="140" w:type="dxa"/>
              <w:right w:w="100" w:type="dxa"/>
            </w:tcMar>
          </w:tcPr>
          <w:p w14:paraId="2BDFA4BE" w14:textId="77777777" w:rsidR="002E0FBF" w:rsidRPr="00105A8A" w:rsidRDefault="00000000">
            <w:pPr>
              <w:rPr>
                <w:rFonts w:ascii="Open Sauce One" w:hAnsi="Open Sauce One"/>
              </w:rPr>
            </w:pPr>
            <w:r w:rsidRPr="00105A8A">
              <w:rPr>
                <w:rFonts w:ascii="Open Sauce One" w:hAnsi="Open Sauce One"/>
                <w:sz w:val="19"/>
                <w:szCs w:val="19"/>
              </w:rPr>
              <w:t>[_______________]</w:t>
            </w:r>
          </w:p>
        </w:tc>
      </w:tr>
    </w:tbl>
    <w:p w14:paraId="015F93A2" w14:textId="77777777" w:rsidR="002E0FBF" w:rsidRPr="00105A8A" w:rsidRDefault="002E0FBF">
      <w:pPr>
        <w:spacing w:after="40"/>
        <w:rPr>
          <w:rFonts w:ascii="Open Sauce One" w:hAnsi="Open Sauce One"/>
        </w:rPr>
      </w:pPr>
    </w:p>
    <w:p w14:paraId="4AAF50C5" w14:textId="77777777" w:rsidR="002E0FBF" w:rsidRPr="00105A8A" w:rsidRDefault="002E0FBF">
      <w:pPr>
        <w:spacing w:after="40"/>
        <w:rPr>
          <w:rFonts w:ascii="Open Sauce One" w:hAnsi="Open Sauce One"/>
        </w:rPr>
      </w:pPr>
    </w:p>
    <w:p w14:paraId="42BA61C5" w14:textId="77777777" w:rsidR="002E0FBF" w:rsidRPr="00105A8A" w:rsidRDefault="00000000">
      <w:pPr>
        <w:pBdr>
          <w:top w:val="single" w:sz="4" w:space="8" w:color="D9D3E8"/>
        </w:pBdr>
        <w:spacing w:before="500"/>
        <w:rPr>
          <w:rFonts w:ascii="Open Sauce One" w:hAnsi="Open Sauce One"/>
          <w:color w:val="EE0000"/>
        </w:rPr>
      </w:pPr>
      <w:r w:rsidRPr="00105A8A">
        <w:rPr>
          <w:rFonts w:ascii="Open Sauce One" w:hAnsi="Open Sauce One"/>
          <w:i/>
          <w:iCs/>
          <w:color w:val="EE0000"/>
          <w:sz w:val="16"/>
          <w:szCs w:val="16"/>
        </w:rPr>
        <w:t xml:space="preserve">This document is a market-standard template provided for informational purposes only and does not constitute legal, tax, or financial advice. </w:t>
      </w:r>
      <w:proofErr w:type="spellStart"/>
      <w:r w:rsidRPr="00105A8A">
        <w:rPr>
          <w:rFonts w:ascii="Open Sauce One" w:hAnsi="Open Sauce One"/>
          <w:i/>
          <w:iCs/>
          <w:color w:val="EE0000"/>
          <w:sz w:val="16"/>
          <w:szCs w:val="16"/>
        </w:rPr>
        <w:t>Qapita</w:t>
      </w:r>
      <w:proofErr w:type="spellEnd"/>
      <w:r w:rsidRPr="00105A8A">
        <w:rPr>
          <w:rFonts w:ascii="Open Sauce One" w:hAnsi="Open Sauce One"/>
          <w:i/>
          <w:iCs/>
          <w:color w:val="EE0000"/>
          <w:sz w:val="16"/>
          <w:szCs w:val="16"/>
        </w:rPr>
        <w:t xml:space="preserve"> recommends that both companies and investors engage qualified independent legal counsel before executing any financing document. Bracketed placeholders </w:t>
      </w:r>
      <w:proofErr w:type="gramStart"/>
      <w:r w:rsidRPr="00105A8A">
        <w:rPr>
          <w:rFonts w:ascii="Open Sauce One" w:hAnsi="Open Sauce One"/>
          <w:i/>
          <w:iCs/>
          <w:color w:val="EE0000"/>
          <w:sz w:val="16"/>
          <w:szCs w:val="16"/>
        </w:rPr>
        <w:t>[ ]</w:t>
      </w:r>
      <w:proofErr w:type="gramEnd"/>
      <w:r w:rsidRPr="00105A8A">
        <w:rPr>
          <w:rFonts w:ascii="Open Sauce One" w:hAnsi="Open Sauce One"/>
          <w:i/>
          <w:iCs/>
          <w:color w:val="EE0000"/>
          <w:sz w:val="16"/>
          <w:szCs w:val="16"/>
        </w:rPr>
        <w:t xml:space="preserve"> must be completed and reviewed prior to signing.</w:t>
      </w:r>
    </w:p>
    <w:p w14:paraId="03459D75" w14:textId="77777777" w:rsidR="002E0FBF" w:rsidRPr="00105A8A" w:rsidRDefault="00000000">
      <w:pPr>
        <w:rPr>
          <w:rFonts w:ascii="Open Sauce One" w:hAnsi="Open Sauce One"/>
        </w:rPr>
      </w:pPr>
      <w:r w:rsidRPr="00105A8A">
        <w:rPr>
          <w:rFonts w:ascii="Open Sauce One" w:hAnsi="Open Sauce One"/>
        </w:rPr>
        <w:br w:type="page"/>
      </w:r>
    </w:p>
    <w:p w14:paraId="20B651A5" w14:textId="77777777" w:rsidR="002E0FBF" w:rsidRPr="00105A8A" w:rsidRDefault="00000000">
      <w:pPr>
        <w:pStyle w:val="Heading1"/>
        <w:pBdr>
          <w:bottom w:val="single" w:sz="10" w:space="5" w:color="633DA5"/>
        </w:pBdr>
        <w:spacing w:before="260" w:after="160"/>
        <w:rPr>
          <w:rFonts w:ascii="Open Sauce One" w:hAnsi="Open Sauce One"/>
        </w:rPr>
      </w:pPr>
      <w:r w:rsidRPr="00105A8A">
        <w:rPr>
          <w:rFonts w:ascii="Open Sauce One" w:eastAsia="Bookman Old Style" w:hAnsi="Open Sauce One" w:cs="Bookman Old Style"/>
          <w:b/>
          <w:bCs/>
          <w:color w:val="292876"/>
          <w:sz w:val="27"/>
          <w:szCs w:val="27"/>
        </w:rPr>
        <w:lastRenderedPageBreak/>
        <w:t>How to Use This Template</w:t>
      </w:r>
    </w:p>
    <w:p w14:paraId="0D66ED01"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This Convertible Note is drafted in the form of a single, standalone note. It is intended for a company issuing one or more substantially identical notes as part of the same seed or bridge financing, on a several (not joint) basis with each Holder. If more than one Holder is participating, the Company should keep a schedule of Holders and issue one signed original per Holder, with the amendment/waiver provisions in Section 9 allowing the Company and a majority-in-interest of Holders to amend all notes in the series together.</w:t>
      </w:r>
    </w:p>
    <w:p w14:paraId="409F0379"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Bracketed [placeholders] must be completed before execution, and every italicized drafting note should be reviewed and deleted by counsel. This template synthesizes conventions from Fenwick &amp; West's and Practical Law's standard seed-stage convertible note term sheets, the SEC EDGAR filed Convertible Note Agreement precedent (aQuantive, Inc., Exhibit 4.2), and structural elements common to KISS-style convertible instruments used in Southeast Asia, adapted to reflect 2026 US market terms.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E0FBF" w:rsidRPr="00105A8A" w14:paraId="5E627ED0" w14:textId="77777777">
        <w:tblPrEx>
          <w:tblCellMar>
            <w:top w:w="0" w:type="dxa"/>
            <w:bottom w:w="0" w:type="dxa"/>
          </w:tblCellMar>
        </w:tblPrEx>
        <w:tc>
          <w:tcPr>
            <w:tcW w:w="9360" w:type="dxa"/>
            <w:tcBorders>
              <w:top w:val="single" w:sz="4" w:space="0" w:color="222222"/>
              <w:left w:val="single" w:sz="28" w:space="0" w:color="B72894"/>
              <w:bottom w:val="single" w:sz="4" w:space="0" w:color="222222"/>
              <w:right w:val="single" w:sz="4" w:space="0" w:color="222222"/>
            </w:tcBorders>
            <w:shd w:val="clear" w:color="auto" w:fill="FFF9E9"/>
            <w:tcMar>
              <w:top w:w="160" w:type="dxa"/>
              <w:left w:w="220" w:type="dxa"/>
              <w:bottom w:w="160" w:type="dxa"/>
              <w:right w:w="220" w:type="dxa"/>
            </w:tcMar>
          </w:tcPr>
          <w:p w14:paraId="2F551711" w14:textId="77777777" w:rsidR="002E0FBF" w:rsidRPr="00105A8A" w:rsidRDefault="00000000">
            <w:pPr>
              <w:spacing w:after="60"/>
              <w:rPr>
                <w:rFonts w:ascii="Open Sauce One" w:hAnsi="Open Sauce One"/>
              </w:rPr>
            </w:pPr>
            <w:r w:rsidRPr="00105A8A">
              <w:rPr>
                <w:rFonts w:ascii="Open Sauce One" w:eastAsia="Bookman Old Style" w:hAnsi="Open Sauce One" w:cs="Bookman Old Style"/>
                <w:b/>
                <w:bCs/>
                <w:color w:val="292876"/>
                <w:sz w:val="17"/>
                <w:szCs w:val="17"/>
              </w:rPr>
              <w:t>SEC / REGULATORY NOTE</w:t>
            </w:r>
          </w:p>
          <w:p w14:paraId="6E62C668" w14:textId="77777777" w:rsidR="002E0FBF" w:rsidRPr="00105A8A" w:rsidRDefault="00000000">
            <w:pPr>
              <w:spacing w:line="264" w:lineRule="auto"/>
              <w:rPr>
                <w:rFonts w:ascii="Open Sauce One" w:hAnsi="Open Sauce One"/>
              </w:rPr>
            </w:pPr>
            <w:r w:rsidRPr="00105A8A">
              <w:rPr>
                <w:rFonts w:ascii="Open Sauce One" w:hAnsi="Open Sauce One"/>
                <w:i/>
                <w:iCs/>
                <w:sz w:val="18"/>
                <w:szCs w:val="18"/>
              </w:rPr>
              <w:t>This Note is intended to be offered and sold in reliance on the exemption from registration under Section 4(a)(2) of the Securities Act of 1933 and Rule 506(b) of Regulation D. The Company must reasonably believe each Holder is an “accredited investor” (or limit non-accredited participants to no more than 35 and satisfy the enhanced disclosure requirements of Rule 506(b)), avoid general solicitation, and file a Form D with the SEC within 15 calendar days of the first sale, together with any required state Blue Sky notice filings.</w:t>
            </w:r>
          </w:p>
        </w:tc>
      </w:tr>
    </w:tbl>
    <w:p w14:paraId="03A7D54C" w14:textId="77777777" w:rsidR="002E0FBF" w:rsidRPr="00105A8A" w:rsidRDefault="002E0FBF">
      <w:pPr>
        <w:spacing w:after="40"/>
        <w:rPr>
          <w:rFonts w:ascii="Open Sauce One" w:hAnsi="Open Sauce One"/>
        </w:rPr>
      </w:pPr>
    </w:p>
    <w:p w14:paraId="0664B6F0"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5F5B6999"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7DADC654"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705C6F59"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246CD98D"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59839EF7"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397844CC"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10F08529"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57E1A99D"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0ED17177"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0E625D09"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50C4DF82"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6793CAFB" w14:textId="77777777" w:rsidR="00105A8A" w:rsidRPr="00105A8A" w:rsidRDefault="00105A8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58AE6F05" w14:textId="2BBF5E5C" w:rsidR="002E0FBF" w:rsidRPr="00105A8A" w:rsidRDefault="00000000">
      <w:pPr>
        <w:pStyle w:val="Heading1"/>
        <w:pBdr>
          <w:bottom w:val="single" w:sz="10" w:space="5" w:color="633DA5"/>
        </w:pBdr>
        <w:spacing w:before="260" w:after="160"/>
        <w:rPr>
          <w:rFonts w:ascii="Open Sauce One" w:hAnsi="Open Sauce One"/>
        </w:rPr>
      </w:pPr>
      <w:r w:rsidRPr="00105A8A">
        <w:rPr>
          <w:rFonts w:ascii="Open Sauce One" w:eastAsia="Bookman Old Style" w:hAnsi="Open Sauce One" w:cs="Bookman Old Style"/>
          <w:b/>
          <w:bCs/>
          <w:color w:val="292876"/>
          <w:sz w:val="27"/>
          <w:szCs w:val="27"/>
        </w:rPr>
        <w:t>Convertible Note</w:t>
      </w:r>
    </w:p>
    <w:p w14:paraId="36E5E550"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THIS CONVERTIBLE NOTE (this “Note”) is issued as of [ISSUE DATE] (the “Issue Date”) by [COMPANY NAME], a [Delaware] corporation (the “Company”), to [INVESTOR NAME] (the “Holder”). This Note is one of a series of similar notes (collectively, the “Notes,” and each holder thereof, a “Holder”) issued by the Company pursuant to substantially identical terms in connection with the Company’s [SEED / BRIDGE] financing (the “Financing”).</w:t>
      </w:r>
    </w:p>
    <w:p w14:paraId="2C9B0761"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FOR VALUE RECEIVED, the Company promises to pay to the Holder, in accordance with the terms set forth below, the principal sum of $[PRINCIPAL AMOUNT] (the “Principal Amount”), together with simple interest accruing on the outstanding Principal Amount from the Issue Date at the rate set forth below, until such Principal Amount and all accrued and unpaid interest thereon (together, the “Outstanding Amount”) is paid or converted in accordance with this Note.</w:t>
      </w:r>
    </w:p>
    <w:p w14:paraId="5276DB7F" w14:textId="77777777" w:rsidR="002E0FBF" w:rsidRPr="00105A8A" w:rsidRDefault="00000000">
      <w:pPr>
        <w:pStyle w:val="Heading2"/>
        <w:spacing w:before="300" w:after="140"/>
        <w:rPr>
          <w:rFonts w:ascii="Open Sauce One" w:hAnsi="Open Sauce One"/>
        </w:rPr>
      </w:pPr>
      <w:r w:rsidRPr="00105A8A">
        <w:rPr>
          <w:rFonts w:ascii="Open Sauce One" w:eastAsia="Bookman Old Style" w:hAnsi="Open Sauce One" w:cs="Bookman Old Style"/>
          <w:b/>
          <w:bCs/>
          <w:color w:val="633DA5"/>
          <w:sz w:val="23"/>
          <w:szCs w:val="23"/>
        </w:rPr>
        <w:t>1.  Key Terms</w:t>
      </w:r>
    </w:p>
    <w:p w14:paraId="34CF6703" w14:textId="77777777" w:rsidR="002E0FBF" w:rsidRPr="00105A8A" w:rsidRDefault="00000000">
      <w:pPr>
        <w:spacing w:before="60" w:after="160" w:line="264" w:lineRule="auto"/>
        <w:rPr>
          <w:rFonts w:ascii="Open Sauce One" w:hAnsi="Open Sauce One"/>
        </w:rPr>
      </w:pPr>
      <w:r w:rsidRPr="00105A8A">
        <w:rPr>
          <w:rFonts w:ascii="Open Sauce One" w:hAnsi="Open Sauce One"/>
          <w:i/>
          <w:iCs/>
          <w:color w:val="5A5A5A"/>
          <w:sz w:val="18"/>
          <w:szCs w:val="18"/>
        </w:rPr>
        <w:t>The table below summarizes the commercial terms of this Note for quick reference. In the event of any conflict between this summary and the operative provisions of Sections 2 through 10, the operative provisions control.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2E0FBF" w:rsidRPr="00105A8A" w14:paraId="0DE61585"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13AFA9B2"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Principal Amount</w:t>
            </w:r>
          </w:p>
        </w:tc>
        <w:tc>
          <w:tcPr>
            <w:tcW w:w="61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550DCFB4"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$[_______________]</w:t>
            </w:r>
          </w:p>
        </w:tc>
      </w:tr>
      <w:tr w:rsidR="002E0FBF" w:rsidRPr="00105A8A" w14:paraId="57FA5C1E"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4ED43CB9"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Interest Rate</w:t>
            </w:r>
          </w:p>
        </w:tc>
        <w:tc>
          <w:tcPr>
            <w:tcW w:w="61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3F2A61E5"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[5–</w:t>
            </w:r>
            <w:proofErr w:type="gramStart"/>
            <w:r w:rsidRPr="00105A8A">
              <w:rPr>
                <w:rFonts w:ascii="Open Sauce One" w:hAnsi="Open Sauce One"/>
                <w:sz w:val="19"/>
                <w:szCs w:val="19"/>
              </w:rPr>
              <w:t>8]%</w:t>
            </w:r>
            <w:proofErr w:type="gramEnd"/>
            <w:r w:rsidRPr="00105A8A">
              <w:rPr>
                <w:rFonts w:ascii="Open Sauce One" w:hAnsi="Open Sauce One"/>
                <w:sz w:val="19"/>
                <w:szCs w:val="19"/>
              </w:rPr>
              <w:t xml:space="preserve"> per annum, simple interest, non-compounding, computed on a 365-day year</w:t>
            </w:r>
          </w:p>
        </w:tc>
      </w:tr>
      <w:tr w:rsidR="002E0FBF" w:rsidRPr="00105A8A" w14:paraId="4189B384"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3AACC124"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Issue Date</w:t>
            </w:r>
          </w:p>
        </w:tc>
        <w:tc>
          <w:tcPr>
            <w:tcW w:w="61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107A5E8B"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[_______________]</w:t>
            </w:r>
          </w:p>
        </w:tc>
      </w:tr>
      <w:tr w:rsidR="002E0FBF" w:rsidRPr="00105A8A" w14:paraId="32125878"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5AB8B18F"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Maturity Date</w:t>
            </w:r>
          </w:p>
        </w:tc>
        <w:tc>
          <w:tcPr>
            <w:tcW w:w="61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7A809649"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The date that is [18–24] months after the Issue Date</w:t>
            </w:r>
          </w:p>
        </w:tc>
      </w:tr>
      <w:tr w:rsidR="002E0FBF" w:rsidRPr="00105A8A" w14:paraId="2E88B4C6"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04D8C771"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Discount Rate</w:t>
            </w:r>
          </w:p>
        </w:tc>
        <w:tc>
          <w:tcPr>
            <w:tcW w:w="61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0B67F758"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[15–</w:t>
            </w:r>
            <w:proofErr w:type="gramStart"/>
            <w:r w:rsidRPr="00105A8A">
              <w:rPr>
                <w:rFonts w:ascii="Open Sauce One" w:hAnsi="Open Sauce One"/>
                <w:sz w:val="19"/>
                <w:szCs w:val="19"/>
              </w:rPr>
              <w:t>25]%</w:t>
            </w:r>
            <w:proofErr w:type="gramEnd"/>
            <w:r w:rsidRPr="00105A8A">
              <w:rPr>
                <w:rFonts w:ascii="Open Sauce One" w:hAnsi="Open Sauce One"/>
                <w:sz w:val="19"/>
                <w:szCs w:val="19"/>
              </w:rPr>
              <w:t xml:space="preserve"> (market standard: 20%) applied to the price per share paid in a Qualified Financing</w:t>
            </w:r>
          </w:p>
        </w:tc>
      </w:tr>
      <w:tr w:rsidR="002E0FBF" w:rsidRPr="00105A8A" w14:paraId="416CC040"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4D8BE68C"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Valuation Cap</w:t>
            </w:r>
          </w:p>
        </w:tc>
        <w:tc>
          <w:tcPr>
            <w:tcW w:w="61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0B1861CE"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 xml:space="preserve">$[_______________] (on a </w:t>
            </w:r>
            <w:proofErr w:type="gramStart"/>
            <w:r w:rsidRPr="00105A8A">
              <w:rPr>
                <w:rFonts w:ascii="Open Sauce One" w:hAnsi="Open Sauce One"/>
                <w:sz w:val="19"/>
                <w:szCs w:val="19"/>
              </w:rPr>
              <w:t>fully-diluted</w:t>
            </w:r>
            <w:proofErr w:type="gramEnd"/>
            <w:r w:rsidRPr="00105A8A">
              <w:rPr>
                <w:rFonts w:ascii="Open Sauce One" w:hAnsi="Open Sauce One"/>
                <w:sz w:val="19"/>
                <w:szCs w:val="19"/>
              </w:rPr>
              <w:t>, as-converted basis, pre-money)</w:t>
            </w:r>
          </w:p>
        </w:tc>
      </w:tr>
      <w:tr w:rsidR="002E0FBF" w:rsidRPr="00105A8A" w14:paraId="2748CF69"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04183BBC"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Qualified Financing Threshold</w:t>
            </w:r>
          </w:p>
        </w:tc>
        <w:tc>
          <w:tcPr>
            <w:tcW w:w="61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30B83EAA"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An equity financing with aggregate gross proceeds to the Company of not less than $[_______________] (excluding conversion of the Notes and other convertible securities)</w:t>
            </w:r>
          </w:p>
        </w:tc>
      </w:tr>
      <w:tr w:rsidR="002E0FBF" w:rsidRPr="00105A8A" w14:paraId="49296803"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2F49A5D8"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 xml:space="preserve">Most </w:t>
            </w:r>
            <w:proofErr w:type="spellStart"/>
            <w:r w:rsidRPr="00105A8A">
              <w:rPr>
                <w:rFonts w:ascii="Open Sauce One" w:eastAsia="Bookman Old Style" w:hAnsi="Open Sauce One" w:cs="Bookman Old Style"/>
                <w:b/>
                <w:bCs/>
                <w:color w:val="292876"/>
                <w:sz w:val="18"/>
                <w:szCs w:val="18"/>
              </w:rPr>
              <w:t>Favored</w:t>
            </w:r>
            <w:proofErr w:type="spellEnd"/>
            <w:r w:rsidRPr="00105A8A">
              <w:rPr>
                <w:rFonts w:ascii="Open Sauce One" w:eastAsia="Bookman Old Style" w:hAnsi="Open Sauce One" w:cs="Bookman Old Style"/>
                <w:b/>
                <w:bCs/>
                <w:color w:val="292876"/>
                <w:sz w:val="18"/>
                <w:szCs w:val="18"/>
              </w:rPr>
              <w:t xml:space="preserve"> Nation</w:t>
            </w:r>
          </w:p>
        </w:tc>
        <w:tc>
          <w:tcPr>
            <w:tcW w:w="61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376C19E0"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[Included] / [Not included] — see Section 4</w:t>
            </w:r>
          </w:p>
        </w:tc>
      </w:tr>
      <w:tr w:rsidR="002E0FBF" w:rsidRPr="00105A8A" w14:paraId="4833832E"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5488196C"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Governing Law</w:t>
            </w:r>
          </w:p>
        </w:tc>
        <w:tc>
          <w:tcPr>
            <w:tcW w:w="61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04443861"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State of Delaware</w:t>
            </w:r>
          </w:p>
        </w:tc>
      </w:tr>
      <w:tr w:rsidR="002E0FBF" w:rsidRPr="00105A8A" w14:paraId="2E71CBCE"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7B3C6069"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SEC Exemption</w:t>
            </w:r>
          </w:p>
        </w:tc>
        <w:tc>
          <w:tcPr>
            <w:tcW w:w="61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564BA124"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Section 4(a)(2) of the Securities Act and Rule 506(b) of Regulation D</w:t>
            </w:r>
          </w:p>
        </w:tc>
      </w:tr>
    </w:tbl>
    <w:p w14:paraId="5EA45CA0" w14:textId="77777777" w:rsidR="002E0FBF" w:rsidRPr="00105A8A" w:rsidRDefault="002E0FBF">
      <w:pPr>
        <w:spacing w:after="40"/>
        <w:rPr>
          <w:rFonts w:ascii="Open Sauce One" w:hAnsi="Open Sauce One"/>
        </w:rPr>
      </w:pPr>
    </w:p>
    <w:p w14:paraId="62824834" w14:textId="77777777" w:rsidR="002E0FBF" w:rsidRPr="00105A8A" w:rsidRDefault="00000000">
      <w:pPr>
        <w:pStyle w:val="Heading2"/>
        <w:spacing w:before="300" w:after="140"/>
        <w:rPr>
          <w:rFonts w:ascii="Open Sauce One" w:hAnsi="Open Sauce One"/>
        </w:rPr>
      </w:pPr>
      <w:r w:rsidRPr="00105A8A">
        <w:rPr>
          <w:rFonts w:ascii="Open Sauce One" w:eastAsia="Bookman Old Style" w:hAnsi="Open Sauce One" w:cs="Bookman Old Style"/>
          <w:b/>
          <w:bCs/>
          <w:color w:val="633DA5"/>
          <w:sz w:val="23"/>
          <w:szCs w:val="23"/>
        </w:rPr>
        <w:t>2.  Principal, Interest and Maturity</w:t>
      </w:r>
    </w:p>
    <w:p w14:paraId="3B18EA2D"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2.1  Interest</w:t>
      </w:r>
      <w:proofErr w:type="gramEnd"/>
    </w:p>
    <w:p w14:paraId="45DCA0C8" w14:textId="77777777" w:rsidR="002E0FBF" w:rsidRPr="00105A8A" w:rsidRDefault="00000000">
      <w:pPr>
        <w:spacing w:after="160" w:line="288" w:lineRule="auto"/>
        <w:jc w:val="both"/>
        <w:rPr>
          <w:rFonts w:ascii="Open Sauce One" w:hAnsi="Open Sauce One"/>
        </w:rPr>
      </w:pPr>
      <w:r w:rsidRPr="00105A8A">
        <w:rPr>
          <w:rFonts w:ascii="Open Sauce One" w:hAnsi="Open Sauce One"/>
        </w:rPr>
        <w:lastRenderedPageBreak/>
        <w:t xml:space="preserve">Interest shall accrue on the outstanding Principal Amount at the Interest Rate set forth in Section 1, computed </w:t>
      </w:r>
      <w:proofErr w:type="gramStart"/>
      <w:r w:rsidRPr="00105A8A">
        <w:rPr>
          <w:rFonts w:ascii="Open Sauce One" w:hAnsi="Open Sauce One"/>
        </w:rPr>
        <w:t>on the basis of</w:t>
      </w:r>
      <w:proofErr w:type="gramEnd"/>
      <w:r w:rsidRPr="00105A8A">
        <w:rPr>
          <w:rFonts w:ascii="Open Sauce One" w:hAnsi="Open Sauce One"/>
        </w:rPr>
        <w:t xml:space="preserve"> a 365-day year for the actual number of days elapsed, from the Issue Date until the Outstanding Amount is repaid or converted in full. Interest is payable solely in the form of additional Notes or through conversion under Section 3, and not in cash, except as provided in Section 2.3.</w:t>
      </w:r>
    </w:p>
    <w:p w14:paraId="3C10E9BB"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2.2  Maturity</w:t>
      </w:r>
      <w:proofErr w:type="gramEnd"/>
    </w:p>
    <w:p w14:paraId="6FE372F0"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Unless earlier converted, prepaid, or accelerated in accordance with this Note, the entire Outstanding Amount shall be due and payable on the Maturity Date, subject to the Holder’s conversion right under Section 3.3. The Company shall notify each Holder in writing not less than 30 days prior to the Maturity Date if the Company does not reasonably expect to consummate a Qualified Financing prior to that date.</w:t>
      </w:r>
    </w:p>
    <w:p w14:paraId="03BD5063"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2.3  Prepayment</w:t>
      </w:r>
      <w:proofErr w:type="gramEnd"/>
    </w:p>
    <w:p w14:paraId="10C1885C"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The Company may not prepay any portion of the Principal Amount or accrued interest under this Note prior to the Maturity Date without the prior written consent of the Majority Holders (as defined in Section 9.2). Any prepayment consented to by the Majority Holders shall be made to all Holders of Notes in the series on a pro rata basis according to their respective outstanding principal amounts.</w:t>
      </w:r>
    </w:p>
    <w:p w14:paraId="6B98F335"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2.4  Use</w:t>
      </w:r>
      <w:proofErr w:type="gramEnd"/>
      <w:r w:rsidRPr="00105A8A">
        <w:rPr>
          <w:rFonts w:ascii="Open Sauce One" w:eastAsia="Bookman Old Style" w:hAnsi="Open Sauce One" w:cs="Bookman Old Style"/>
          <w:b/>
          <w:bCs/>
          <w:color w:val="292876"/>
          <w:sz w:val="21"/>
          <w:szCs w:val="21"/>
        </w:rPr>
        <w:t xml:space="preserve"> of Proceeds</w:t>
      </w:r>
    </w:p>
    <w:p w14:paraId="65B72486"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The Company shall use the proceeds of this Note for [working capital, product development, and other general corporate purposes] and not for any purpose that would cause the offer, sale, or issuance of this Note to violate applicable securities laws.</w:t>
      </w:r>
    </w:p>
    <w:p w14:paraId="3E0114A7" w14:textId="77777777" w:rsidR="002E0FBF" w:rsidRPr="00105A8A" w:rsidRDefault="00000000">
      <w:pPr>
        <w:pStyle w:val="Heading2"/>
        <w:spacing w:before="300" w:after="140"/>
        <w:rPr>
          <w:rFonts w:ascii="Open Sauce One" w:hAnsi="Open Sauce One"/>
        </w:rPr>
      </w:pPr>
      <w:r w:rsidRPr="00105A8A">
        <w:rPr>
          <w:rFonts w:ascii="Open Sauce One" w:eastAsia="Bookman Old Style" w:hAnsi="Open Sauce One" w:cs="Bookman Old Style"/>
          <w:b/>
          <w:bCs/>
          <w:color w:val="633DA5"/>
          <w:sz w:val="23"/>
          <w:szCs w:val="23"/>
        </w:rPr>
        <w:t>3.  Conversion</w:t>
      </w:r>
    </w:p>
    <w:p w14:paraId="4A821AB1"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3.1  Automatic</w:t>
      </w:r>
      <w:proofErr w:type="gramEnd"/>
      <w:r w:rsidRPr="00105A8A">
        <w:rPr>
          <w:rFonts w:ascii="Open Sauce One" w:eastAsia="Bookman Old Style" w:hAnsi="Open Sauce One" w:cs="Bookman Old Style"/>
          <w:b/>
          <w:bCs/>
          <w:color w:val="292876"/>
          <w:sz w:val="21"/>
          <w:szCs w:val="21"/>
        </w:rPr>
        <w:t xml:space="preserve"> Conversion upon a Qualified Financing</w:t>
      </w:r>
    </w:p>
    <w:p w14:paraId="7C46D1D6"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If, prior to the Maturity Date or repayment in full of this Note, the Company issues and sells shares of its Preferred Stock in an equity financing, or series of related financings, with aggregate gross proceeds to the Company of not less than the Qualified Financing Threshold set forth in Section 1 (excluding the conversion of this Note and any other convertible securities) (a “Qualified Financing”), then the Outstanding Amount shall automatically convert, effective immediately prior to the closing of the Qualified Financing, into shares of the same series and class of Preferred Stock issued to investors in the Qualified Financing (the “Financing Preferred”), at a conversion price equal to the lesser of:</w:t>
      </w:r>
    </w:p>
    <w:p w14:paraId="43ED0144"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(a)  the Discount Rate multiplied by the price per share paid by the investors purchasing Financing Preferred in the Qualified Financing; and</w:t>
      </w:r>
    </w:p>
    <w:p w14:paraId="765677B9"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 xml:space="preserve">(b)  the price per share obtained by dividing the Valuation Cap by the Company’s </w:t>
      </w:r>
      <w:proofErr w:type="gramStart"/>
      <w:r w:rsidRPr="00105A8A">
        <w:rPr>
          <w:rFonts w:ascii="Open Sauce One" w:hAnsi="Open Sauce One"/>
        </w:rPr>
        <w:t>fully-diluted</w:t>
      </w:r>
      <w:proofErr w:type="gramEnd"/>
      <w:r w:rsidRPr="00105A8A">
        <w:rPr>
          <w:rFonts w:ascii="Open Sauce One" w:hAnsi="Open Sauce One"/>
        </w:rPr>
        <w:t xml:space="preserve"> capitalization immediately prior to the closing of the Qualified Financing (including all outstanding shares of capital stock, all outstanding options and warrants on an as-exercised basis, and the shares reserved and available for future grant under any equity incentive plan, but excluding the shares issuable upon conversion of this Note and any other convertible securities),</w:t>
      </w:r>
    </w:p>
    <w:p w14:paraId="6E3BF53B"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(the lower of (a) and (b), the “Conversion Price”). The number of shares of Financing Preferred issuable upon such conversion shall equal the Outstanding Amount divided by the Conversion Price. This Note shall receive the same rights, preferences, and privileges (including registration rights, if any) as are granted to other purchasers of Financing Preferred in the Qualified Financing, pursuant to the same definitive agreements executed by such purchasers.</w:t>
      </w:r>
    </w:p>
    <w:p w14:paraId="0D3BD08C"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lastRenderedPageBreak/>
        <w:t>3.2  Optional</w:t>
      </w:r>
      <w:proofErr w:type="gramEnd"/>
      <w:r w:rsidRPr="00105A8A">
        <w:rPr>
          <w:rFonts w:ascii="Open Sauce One" w:eastAsia="Bookman Old Style" w:hAnsi="Open Sauce One" w:cs="Bookman Old Style"/>
          <w:b/>
          <w:bCs/>
          <w:color w:val="292876"/>
          <w:sz w:val="21"/>
          <w:szCs w:val="21"/>
        </w:rPr>
        <w:t xml:space="preserve"> Conversion upon a Change of Control</w:t>
      </w:r>
    </w:p>
    <w:p w14:paraId="4ABC44EE"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If, prior to the Maturity Date or repayment in full of this Note, a Change of Control (as defined below) occurs, the Holder may elect, by written notice delivered to the Company prior to the closing of such Change of Control, either to:</w:t>
      </w:r>
    </w:p>
    <w:p w14:paraId="33AD2F89"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(a)  receive a cash payment equal to [one (1) to two (2)] times the outstanding Principal Amount, plus all accrued and unpaid interest thereon, payable at or prior to the closing of the Change of Control; or</w:t>
      </w:r>
    </w:p>
    <w:p w14:paraId="160562C7"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 xml:space="preserve">(b)  convert the Outstanding Amount into shares of the Company’s most senior class of capital stock then outstanding (or, if none, Common Stock) at a conversion price equal to the price per share obtained by dividing the Valuation Cap by the Company’s </w:t>
      </w:r>
      <w:proofErr w:type="gramStart"/>
      <w:r w:rsidRPr="00105A8A">
        <w:rPr>
          <w:rFonts w:ascii="Open Sauce One" w:hAnsi="Open Sauce One"/>
        </w:rPr>
        <w:t>fully-diluted</w:t>
      </w:r>
      <w:proofErr w:type="gramEnd"/>
      <w:r w:rsidRPr="00105A8A">
        <w:rPr>
          <w:rFonts w:ascii="Open Sauce One" w:hAnsi="Open Sauce One"/>
        </w:rPr>
        <w:t xml:space="preserve"> capitalization immediately prior to the closing of the Change of Control.</w:t>
      </w:r>
    </w:p>
    <w:p w14:paraId="67AB351F"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If the Holder does not deliver a timely election, the Holder shall be deemed to have elected clause (a). “Change of Control” means (</w:t>
      </w:r>
      <w:proofErr w:type="spellStart"/>
      <w:r w:rsidRPr="00105A8A">
        <w:rPr>
          <w:rFonts w:ascii="Open Sauce One" w:hAnsi="Open Sauce One"/>
        </w:rPr>
        <w:t>i</w:t>
      </w:r>
      <w:proofErr w:type="spellEnd"/>
      <w:r w:rsidRPr="00105A8A">
        <w:rPr>
          <w:rFonts w:ascii="Open Sauce One" w:hAnsi="Open Sauce One"/>
        </w:rPr>
        <w:t>) the acquisition of the Company by another entity by means of any transaction or series of related transactions (including any merger, consolidation, or stock sale) that results in the holders of the Company’s outstanding voting securities immediately prior to such transaction owning less than a majority of the outstanding voting securities of the surviving or acquiring entity immediately after such transaction, or (ii) a sale, lease, exclusive license, or other disposition of all or substantially all of the assets of the Company.</w:t>
      </w:r>
    </w:p>
    <w:p w14:paraId="2E21D562"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3.3  Conversion</w:t>
      </w:r>
      <w:proofErr w:type="gramEnd"/>
      <w:r w:rsidRPr="00105A8A">
        <w:rPr>
          <w:rFonts w:ascii="Open Sauce One" w:eastAsia="Bookman Old Style" w:hAnsi="Open Sauce One" w:cs="Bookman Old Style"/>
          <w:b/>
          <w:bCs/>
          <w:color w:val="292876"/>
          <w:sz w:val="21"/>
          <w:szCs w:val="21"/>
        </w:rPr>
        <w:t xml:space="preserve"> at Maturity</w:t>
      </w:r>
    </w:p>
    <w:p w14:paraId="6303D263"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If this Note remains outstanding on the Maturity Date and has not been converted pursuant to Section 3.1 or 3.2, the Holder may elect, by written notice to the Company within 30 days following the Maturity Date, to convert the Outstanding Amount into shares of the Company’s most senior class of capital stock then outstanding at a conversion price equal to the price per share obtained by dividing the Valuation Cap by the Company’s fully-diluted capitalization immediately prior to the Maturity Date. If the Holder does not make a timely election, the Outstanding Amount shall be due and payable in cash upon demand by the Holder.</w:t>
      </w:r>
    </w:p>
    <w:p w14:paraId="24AB0C3D"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3.4  Mechanics</w:t>
      </w:r>
      <w:proofErr w:type="gramEnd"/>
      <w:r w:rsidRPr="00105A8A">
        <w:rPr>
          <w:rFonts w:ascii="Open Sauce One" w:eastAsia="Bookman Old Style" w:hAnsi="Open Sauce One" w:cs="Bookman Old Style"/>
          <w:b/>
          <w:bCs/>
          <w:color w:val="292876"/>
          <w:sz w:val="21"/>
          <w:szCs w:val="21"/>
        </w:rPr>
        <w:t xml:space="preserve"> of Conversion</w:t>
      </w:r>
    </w:p>
    <w:p w14:paraId="510145B1"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As a condition to any conversion under this Section 3, the Holder shall surrender this Note to the Company (or deliver an executed lost-note affidavit and indemnity in customary form) together with the Notice of Conversion attached as Exhibit A, and shall execute and deliver such of the Company’s then-standard investment documents (including any voting agreement, right of first refusal and co-sale agreement, and investors’ rights agreement) as are executed by the purchasers of the Financing Preferred, the most senior stock, or Common Stock, as applicable. No fractional shares shall be issued upon conversion; the Company shall pay cash in lieu of any fractional share based on the Conversion Price then in effect.</w:t>
      </w:r>
    </w:p>
    <w:p w14:paraId="38DB86B8" w14:textId="77777777" w:rsidR="002E0FBF" w:rsidRPr="00105A8A" w:rsidRDefault="00000000">
      <w:pPr>
        <w:pStyle w:val="Heading2"/>
        <w:spacing w:before="300" w:after="140"/>
        <w:rPr>
          <w:rFonts w:ascii="Open Sauce One" w:hAnsi="Open Sauce One"/>
        </w:rPr>
      </w:pPr>
      <w:r w:rsidRPr="00105A8A">
        <w:rPr>
          <w:rFonts w:ascii="Open Sauce One" w:eastAsia="Bookman Old Style" w:hAnsi="Open Sauce One" w:cs="Bookman Old Style"/>
          <w:b/>
          <w:bCs/>
          <w:color w:val="633DA5"/>
          <w:sz w:val="23"/>
          <w:szCs w:val="23"/>
        </w:rPr>
        <w:t xml:space="preserve">4.  Most </w:t>
      </w:r>
      <w:proofErr w:type="spellStart"/>
      <w:r w:rsidRPr="00105A8A">
        <w:rPr>
          <w:rFonts w:ascii="Open Sauce One" w:eastAsia="Bookman Old Style" w:hAnsi="Open Sauce One" w:cs="Bookman Old Style"/>
          <w:b/>
          <w:bCs/>
          <w:color w:val="633DA5"/>
          <w:sz w:val="23"/>
          <w:szCs w:val="23"/>
        </w:rPr>
        <w:t>Favored</w:t>
      </w:r>
      <w:proofErr w:type="spellEnd"/>
      <w:r w:rsidRPr="00105A8A">
        <w:rPr>
          <w:rFonts w:ascii="Open Sauce One" w:eastAsia="Bookman Old Style" w:hAnsi="Open Sauce One" w:cs="Bookman Old Style"/>
          <w:b/>
          <w:bCs/>
          <w:color w:val="633DA5"/>
          <w:sz w:val="23"/>
          <w:szCs w:val="23"/>
        </w:rPr>
        <w:t xml:space="preserve"> Nation</w:t>
      </w:r>
    </w:p>
    <w:p w14:paraId="58CC1E81"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 xml:space="preserve">If, prior to the conversion or repayment in full of this Note, the Company issues any other convertible note, SAFE, or similar convertible security (a “Subsequent Convertible Security”) with terms that the Holder reasonably determines to be more </w:t>
      </w:r>
      <w:proofErr w:type="spellStart"/>
      <w:r w:rsidRPr="00105A8A">
        <w:rPr>
          <w:rFonts w:ascii="Open Sauce One" w:hAnsi="Open Sauce One"/>
        </w:rPr>
        <w:t>favorable</w:t>
      </w:r>
      <w:proofErr w:type="spellEnd"/>
      <w:r w:rsidRPr="00105A8A">
        <w:rPr>
          <w:rFonts w:ascii="Open Sauce One" w:hAnsi="Open Sauce One"/>
        </w:rPr>
        <w:t xml:space="preserve"> to the holder of the Subsequent Convertible Security than the terms of this Note (including, without limitation, a lower valuation cap, a larger discount, a higher interest rate, or additional investor rights), the Company shall promptly notify the Holder of such issuance and its material terms, and the Holder may elect, by written notice to the Company, to exchange this Note </w:t>
      </w:r>
      <w:r w:rsidRPr="00105A8A">
        <w:rPr>
          <w:rFonts w:ascii="Open Sauce One" w:hAnsi="Open Sauce One"/>
        </w:rPr>
        <w:lastRenderedPageBreak/>
        <w:t>for a note or instrument on the same terms as the Subsequent Convertible Security. This Section 4 does not apply to the issuance of Financing Preferred in a priced equity round.</w:t>
      </w:r>
    </w:p>
    <w:p w14:paraId="29BB16A7" w14:textId="77777777" w:rsidR="002E0FBF" w:rsidRPr="00105A8A" w:rsidRDefault="00000000">
      <w:pPr>
        <w:pStyle w:val="Heading2"/>
        <w:spacing w:before="300" w:after="140"/>
        <w:rPr>
          <w:rFonts w:ascii="Open Sauce One" w:hAnsi="Open Sauce One"/>
        </w:rPr>
      </w:pPr>
      <w:r w:rsidRPr="00105A8A">
        <w:rPr>
          <w:rFonts w:ascii="Open Sauce One" w:eastAsia="Bookman Old Style" w:hAnsi="Open Sauce One" w:cs="Bookman Old Style"/>
          <w:b/>
          <w:bCs/>
          <w:color w:val="633DA5"/>
          <w:sz w:val="23"/>
          <w:szCs w:val="23"/>
        </w:rPr>
        <w:t>5.  Representations and Warranties</w:t>
      </w:r>
    </w:p>
    <w:p w14:paraId="0960CBB4"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5.1  Representations</w:t>
      </w:r>
      <w:proofErr w:type="gramEnd"/>
      <w:r w:rsidRPr="00105A8A">
        <w:rPr>
          <w:rFonts w:ascii="Open Sauce One" w:eastAsia="Bookman Old Style" w:hAnsi="Open Sauce One" w:cs="Bookman Old Style"/>
          <w:b/>
          <w:bCs/>
          <w:color w:val="292876"/>
          <w:sz w:val="21"/>
          <w:szCs w:val="21"/>
        </w:rPr>
        <w:t xml:space="preserve"> of the Company</w:t>
      </w:r>
    </w:p>
    <w:p w14:paraId="6173735C"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The Company represents and warrants to the Holder that: (a) it is duly organized, validly existing, and in good standing under the laws of its jurisdiction of incorporation; (b) the execution, delivery, and performance of this Note have been duly authorized by all necessary corporate action; and (c) this Note, when executed and delivered, will constitute a valid and binding obligation of the Company, enforceable in accordance with its terms.</w:t>
      </w:r>
    </w:p>
    <w:p w14:paraId="251D6864"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5.2  Representations</w:t>
      </w:r>
      <w:proofErr w:type="gramEnd"/>
      <w:r w:rsidRPr="00105A8A">
        <w:rPr>
          <w:rFonts w:ascii="Open Sauce One" w:eastAsia="Bookman Old Style" w:hAnsi="Open Sauce One" w:cs="Bookman Old Style"/>
          <w:b/>
          <w:bCs/>
          <w:color w:val="292876"/>
          <w:sz w:val="21"/>
          <w:szCs w:val="21"/>
        </w:rPr>
        <w:t xml:space="preserve"> of the Holder</w:t>
      </w:r>
    </w:p>
    <w:p w14:paraId="743A813E"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The Holder represents and warrants to the Company that: (a) the Holder is acquiring this Note for the Holder’s own account, for investment purposes only, and not with a view to any resale or distribution in violation of applicable securities laws; (b) the Holder is an “accredited investor” as defined in Rule 501(a) of Regulation D, or, if not, is one of no more than 35 non-accredited investors participating in the Financing and has received the disclosures required by Rule 506(b); (c) the Holder understands that this Note and any securities issuable upon conversion have not been registered under the Securities Act or any state securities laws and are being offered and sold in reliance on exemptions from registration, including Section 4(a)(2) of the Securities Act and Rule 506(b) of Regulation D, and that such securities are “restricted securities” that may not be resold absent registration or an applicable exemption, including compliance with Rule 144; and (d) the Holder has had an opportunity to ask questions of, and receive information from, the Company regarding the terms of this Note and the Company’s business.</w:t>
      </w:r>
    </w:p>
    <w:p w14:paraId="037D1B37" w14:textId="77777777" w:rsidR="002E0FBF" w:rsidRPr="00105A8A" w:rsidRDefault="00000000">
      <w:pPr>
        <w:pStyle w:val="Heading2"/>
        <w:spacing w:before="300" w:after="140"/>
        <w:rPr>
          <w:rFonts w:ascii="Open Sauce One" w:hAnsi="Open Sauce One"/>
        </w:rPr>
      </w:pPr>
      <w:r w:rsidRPr="00105A8A">
        <w:rPr>
          <w:rFonts w:ascii="Open Sauce One" w:eastAsia="Bookman Old Style" w:hAnsi="Open Sauce One" w:cs="Bookman Old Style"/>
          <w:b/>
          <w:bCs/>
          <w:color w:val="633DA5"/>
          <w:sz w:val="23"/>
          <w:szCs w:val="23"/>
        </w:rPr>
        <w:t>6.  Events of Default</w:t>
      </w:r>
    </w:p>
    <w:p w14:paraId="7189D1D6"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Each of the following shall constitute an “Event of Default” under this Note:</w:t>
      </w:r>
    </w:p>
    <w:p w14:paraId="4F43FC2C"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(a)  the Company fails to pay any Outstanding Amount when due under this Note and such failure continues for 10 business days after written notice;</w:t>
      </w:r>
    </w:p>
    <w:p w14:paraId="7E2E0084"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(b)  the Company breaches any material covenant in this Note and such breach, if curable, continues uncured for 30 days after written notice from the Majority Holders;</w:t>
      </w:r>
    </w:p>
    <w:p w14:paraId="45D6D4AB"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(c)  the Company makes an assignment for the benefit of creditors, or a proceeding is instituted by or against the Company under any bankruptcy, insolvency, or similar law and, in the case of an involuntary proceeding, is not dismissed within 60 days; or</w:t>
      </w:r>
    </w:p>
    <w:p w14:paraId="5DA982C1" w14:textId="77777777" w:rsidR="002E0FBF" w:rsidRPr="00105A8A" w:rsidRDefault="00000000">
      <w:pPr>
        <w:spacing w:after="160" w:line="288" w:lineRule="auto"/>
        <w:jc w:val="both"/>
        <w:rPr>
          <w:rFonts w:ascii="Open Sauce One" w:hAnsi="Open Sauce One"/>
        </w:rPr>
      </w:pPr>
      <w:proofErr w:type="gramStart"/>
      <w:r w:rsidRPr="00105A8A">
        <w:rPr>
          <w:rFonts w:ascii="Open Sauce One" w:hAnsi="Open Sauce One"/>
        </w:rPr>
        <w:t>(d)  [</w:t>
      </w:r>
      <w:proofErr w:type="gramEnd"/>
      <w:r w:rsidRPr="00105A8A">
        <w:rPr>
          <w:rFonts w:ascii="Open Sauce One" w:hAnsi="Open Sauce One"/>
        </w:rPr>
        <w:t>the consummation of a Change of Control without provision for repayment or conversion of this Note in accordance with Section 3.2].</w:t>
      </w:r>
    </w:p>
    <w:p w14:paraId="4B0A0FC3"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Upon the occurrence of an Event of Default described in clause (c), the Outstanding Amount shall become immediately due and payable without any action by the Holder. Upon the occurrence of any other Event of Default, the Majority Holders may, by written notice to the Company, declare the Outstanding Amount immediately due and payable. While an Event of Default is continuing, interest shall accrue on the Outstanding Amount at a default rate equal to the Interest Rate plus [2–</w:t>
      </w:r>
      <w:proofErr w:type="gramStart"/>
      <w:r w:rsidRPr="00105A8A">
        <w:rPr>
          <w:rFonts w:ascii="Open Sauce One" w:hAnsi="Open Sauce One"/>
        </w:rPr>
        <w:t>5]%</w:t>
      </w:r>
      <w:proofErr w:type="gramEnd"/>
      <w:r w:rsidRPr="00105A8A">
        <w:rPr>
          <w:rFonts w:ascii="Open Sauce One" w:hAnsi="Open Sauce One"/>
        </w:rPr>
        <w:t xml:space="preserve"> per annum.</w:t>
      </w:r>
    </w:p>
    <w:p w14:paraId="5C0B8A06" w14:textId="77777777" w:rsidR="002E0FBF" w:rsidRPr="00105A8A" w:rsidRDefault="00000000">
      <w:pPr>
        <w:pStyle w:val="Heading2"/>
        <w:spacing w:before="300" w:after="140"/>
        <w:rPr>
          <w:rFonts w:ascii="Open Sauce One" w:hAnsi="Open Sauce One"/>
        </w:rPr>
      </w:pPr>
      <w:r w:rsidRPr="00105A8A">
        <w:rPr>
          <w:rFonts w:ascii="Open Sauce One" w:eastAsia="Bookman Old Style" w:hAnsi="Open Sauce One" w:cs="Bookman Old Style"/>
          <w:b/>
          <w:bCs/>
          <w:color w:val="633DA5"/>
          <w:sz w:val="23"/>
          <w:szCs w:val="23"/>
        </w:rPr>
        <w:t>7.  Ranking</w:t>
      </w:r>
    </w:p>
    <w:p w14:paraId="41BAEE62" w14:textId="77777777" w:rsidR="002E0FBF" w:rsidRPr="00105A8A" w:rsidRDefault="00000000">
      <w:pPr>
        <w:spacing w:after="160" w:line="288" w:lineRule="auto"/>
        <w:jc w:val="both"/>
        <w:rPr>
          <w:rFonts w:ascii="Open Sauce One" w:hAnsi="Open Sauce One"/>
        </w:rPr>
      </w:pPr>
      <w:r w:rsidRPr="00105A8A">
        <w:rPr>
          <w:rFonts w:ascii="Open Sauce One" w:hAnsi="Open Sauce One"/>
        </w:rPr>
        <w:lastRenderedPageBreak/>
        <w:t>This Note is an unsecured general obligation of the Company. [This Note ranks pari passu with all other Notes issued in the same series and is subordinated in right of payment to any indebtedness for borrowed money owed by the Company to institutional or bank lenders that is designated as senior in the applicable loan documents.] The Company shall not grant a security interest in its assets to secure this Note.</w:t>
      </w:r>
    </w:p>
    <w:p w14:paraId="3B57F626" w14:textId="77777777" w:rsidR="002E0FBF" w:rsidRPr="00105A8A" w:rsidRDefault="00000000">
      <w:pPr>
        <w:pStyle w:val="Heading2"/>
        <w:spacing w:before="300" w:after="140"/>
        <w:rPr>
          <w:rFonts w:ascii="Open Sauce One" w:hAnsi="Open Sauce One"/>
        </w:rPr>
      </w:pPr>
      <w:r w:rsidRPr="00105A8A">
        <w:rPr>
          <w:rFonts w:ascii="Open Sauce One" w:eastAsia="Bookman Old Style" w:hAnsi="Open Sauce One" w:cs="Bookman Old Style"/>
          <w:b/>
          <w:bCs/>
          <w:color w:val="633DA5"/>
          <w:sz w:val="23"/>
          <w:szCs w:val="23"/>
        </w:rPr>
        <w:t>8.  Transfer Restrictions</w:t>
      </w:r>
    </w:p>
    <w:p w14:paraId="388AF3C3"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This Note and the securities issuable upon its conversion have not been registered under the Securities Act or any state securities laws and may not be sold, pledged, or otherwise transferred without an effective registration statement or an available exemption from registration, and, in either case, in compliance with any transfer restrictions set forth in this Note or in the Company’s governing documents. The Company may, but is not obligated to, require an opinion of counsel reasonably satisfactory to it confirming that a proposed transfer is exempt from registration. No transfer shall be effective against the Company until the Company has received notice of such transfer, together with a duly executed assignment in a form reasonably satisfactory to the Company.</w:t>
      </w:r>
    </w:p>
    <w:p w14:paraId="45B63F27" w14:textId="77777777" w:rsidR="002E0FBF" w:rsidRPr="00105A8A" w:rsidRDefault="00000000">
      <w:pPr>
        <w:pStyle w:val="Heading2"/>
        <w:spacing w:before="300" w:after="140"/>
        <w:rPr>
          <w:rFonts w:ascii="Open Sauce One" w:hAnsi="Open Sauce One"/>
        </w:rPr>
      </w:pPr>
      <w:r w:rsidRPr="00105A8A">
        <w:rPr>
          <w:rFonts w:ascii="Open Sauce One" w:eastAsia="Bookman Old Style" w:hAnsi="Open Sauce One" w:cs="Bookman Old Style"/>
          <w:b/>
          <w:bCs/>
          <w:color w:val="633DA5"/>
          <w:sz w:val="23"/>
          <w:szCs w:val="23"/>
        </w:rPr>
        <w:t>9.  Miscellaneous</w:t>
      </w:r>
    </w:p>
    <w:p w14:paraId="7BA1A7A9"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9.1  Notices</w:t>
      </w:r>
      <w:proofErr w:type="gramEnd"/>
    </w:p>
    <w:p w14:paraId="03A9FF33"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All notices required or permitted under this Note shall be in writing and shall be deemed given upon personal delivery, upon confirmed email transmission, one business day after deposit with a reputable overnight courier, or five business days after deposit in the mail (registered or certified, return receipt requested), in each case addressed to the party at the address set forth on the signature page (or such other address as a party designates by notice given in accordance with this Section).</w:t>
      </w:r>
    </w:p>
    <w:p w14:paraId="2BB0044C"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9.2  Amendment</w:t>
      </w:r>
      <w:proofErr w:type="gramEnd"/>
      <w:r w:rsidRPr="00105A8A">
        <w:rPr>
          <w:rFonts w:ascii="Open Sauce One" w:eastAsia="Bookman Old Style" w:hAnsi="Open Sauce One" w:cs="Bookman Old Style"/>
          <w:b/>
          <w:bCs/>
          <w:color w:val="292876"/>
          <w:sz w:val="21"/>
          <w:szCs w:val="21"/>
        </w:rPr>
        <w:t xml:space="preserve"> and Waiver</w:t>
      </w:r>
    </w:p>
    <w:p w14:paraId="1AA19700"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Any term of this Note, and of all other Notes issued in the same series, may be amended or waived only with the written consent of the Company and the holders of a majority in interest of the aggregate outstanding principal amount of all Notes issued in the series (the “Majority Holders”). Any amendment or waiver so effected shall be binding on the Holder and all other holders of Notes in the series, whether or not they consented, provided that no such amendment or waiver may change the Principal Amount, Interest Rate, or Maturity Date of any individual Holder’s Note, or this Section 9.2, without that Holder’s consent.</w:t>
      </w:r>
    </w:p>
    <w:p w14:paraId="442AA81A"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9.3  Successors</w:t>
      </w:r>
      <w:proofErr w:type="gramEnd"/>
      <w:r w:rsidRPr="00105A8A">
        <w:rPr>
          <w:rFonts w:ascii="Open Sauce One" w:eastAsia="Bookman Old Style" w:hAnsi="Open Sauce One" w:cs="Bookman Old Style"/>
          <w:b/>
          <w:bCs/>
          <w:color w:val="292876"/>
          <w:sz w:val="21"/>
          <w:szCs w:val="21"/>
        </w:rPr>
        <w:t xml:space="preserve"> and Assigns</w:t>
      </w:r>
    </w:p>
    <w:p w14:paraId="337FC3C4"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The rights and obligations of the Company and the Holder under this Note shall be binding upon and inure to the benefit of their respective successors, assigns, heirs, executors, and administrators, subject to the transfer restrictions in Section 8.</w:t>
      </w:r>
    </w:p>
    <w:p w14:paraId="4785F345"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9.4  Governing</w:t>
      </w:r>
      <w:proofErr w:type="gramEnd"/>
      <w:r w:rsidRPr="00105A8A">
        <w:rPr>
          <w:rFonts w:ascii="Open Sauce One" w:eastAsia="Bookman Old Style" w:hAnsi="Open Sauce One" w:cs="Bookman Old Style"/>
          <w:b/>
          <w:bCs/>
          <w:color w:val="292876"/>
          <w:sz w:val="21"/>
          <w:szCs w:val="21"/>
        </w:rPr>
        <w:t xml:space="preserve"> Law</w:t>
      </w:r>
    </w:p>
    <w:p w14:paraId="78D27953"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This Note shall be governed by and construed in accordance with the laws of the State of Delaware, without regard to its conflict of laws principles. Each party consents to the exclusive jurisdiction of the state and federal courts located in Delaware for any dispute arising out of or relating to this Note.</w:t>
      </w:r>
    </w:p>
    <w:p w14:paraId="3D856E7F" w14:textId="77777777" w:rsidR="002E0FBF" w:rsidRPr="00105A8A" w:rsidRDefault="00000000">
      <w:pPr>
        <w:spacing w:before="200" w:after="100"/>
        <w:rPr>
          <w:rFonts w:ascii="Open Sauce One" w:hAnsi="Open Sauce One"/>
        </w:rPr>
      </w:pPr>
      <w:proofErr w:type="gramStart"/>
      <w:r w:rsidRPr="00105A8A">
        <w:rPr>
          <w:rFonts w:ascii="Open Sauce One" w:eastAsia="Bookman Old Style" w:hAnsi="Open Sauce One" w:cs="Bookman Old Style"/>
          <w:b/>
          <w:bCs/>
          <w:color w:val="292876"/>
          <w:sz w:val="21"/>
          <w:szCs w:val="21"/>
        </w:rPr>
        <w:t>9.5  Severability</w:t>
      </w:r>
      <w:proofErr w:type="gramEnd"/>
      <w:r w:rsidRPr="00105A8A">
        <w:rPr>
          <w:rFonts w:ascii="Open Sauce One" w:eastAsia="Bookman Old Style" w:hAnsi="Open Sauce One" w:cs="Bookman Old Style"/>
          <w:b/>
          <w:bCs/>
          <w:color w:val="292876"/>
          <w:sz w:val="21"/>
          <w:szCs w:val="21"/>
        </w:rPr>
        <w:t>; Entire Agreement; Counterparts</w:t>
      </w:r>
    </w:p>
    <w:p w14:paraId="0F9CF102" w14:textId="6DBB1044" w:rsidR="002E0FBF" w:rsidRPr="00105A8A" w:rsidRDefault="00000000" w:rsidP="008C4142">
      <w:pPr>
        <w:spacing w:after="160" w:line="288" w:lineRule="auto"/>
        <w:jc w:val="both"/>
        <w:rPr>
          <w:rFonts w:ascii="Open Sauce One" w:hAnsi="Open Sauce One"/>
        </w:rPr>
      </w:pPr>
      <w:r w:rsidRPr="00105A8A">
        <w:rPr>
          <w:rFonts w:ascii="Open Sauce One" w:hAnsi="Open Sauce One"/>
        </w:rPr>
        <w:t xml:space="preserve">If any provision of this Note is held to be invalid or unenforceable, the remaining provisions shall continue in full force and effect. This Note, together with the other Notes issued in the same series and any related </w:t>
      </w:r>
      <w:r w:rsidRPr="00105A8A">
        <w:rPr>
          <w:rFonts w:ascii="Open Sauce One" w:hAnsi="Open Sauce One"/>
        </w:rPr>
        <w:lastRenderedPageBreak/>
        <w:t>investment documents, constitutes the entire agreement between the parties with respect to its subject matter and supersedes all prior agreements and understandings. This Note may be executed in counterparts (including by electronic signature), each of which shall be deemed an original</w:t>
      </w:r>
    </w:p>
    <w:p w14:paraId="12D69E37" w14:textId="77777777" w:rsidR="002E0FBF" w:rsidRPr="00105A8A" w:rsidRDefault="00000000">
      <w:pPr>
        <w:pStyle w:val="Heading1"/>
        <w:pBdr>
          <w:bottom w:val="single" w:sz="10" w:space="5" w:color="633DA5"/>
        </w:pBdr>
        <w:spacing w:before="260" w:after="160"/>
        <w:rPr>
          <w:rFonts w:ascii="Open Sauce One" w:hAnsi="Open Sauce One"/>
        </w:rPr>
      </w:pPr>
      <w:r w:rsidRPr="00105A8A">
        <w:rPr>
          <w:rFonts w:ascii="Open Sauce One" w:eastAsia="Bookman Old Style" w:hAnsi="Open Sauce One" w:cs="Bookman Old Style"/>
          <w:b/>
          <w:bCs/>
          <w:color w:val="292876"/>
          <w:sz w:val="27"/>
          <w:szCs w:val="27"/>
        </w:rPr>
        <w:t>Signatures</w:t>
      </w:r>
    </w:p>
    <w:p w14:paraId="4E805834"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IN WITNESS WHEREOF, the parties have caused this Note to be executed as of the Issue Date first set forth above.</w:t>
      </w:r>
    </w:p>
    <w:p w14:paraId="2CC4B3E2" w14:textId="77777777" w:rsidR="002E0FBF" w:rsidRPr="00105A8A" w:rsidRDefault="00000000">
      <w:pPr>
        <w:spacing w:before="300" w:after="260"/>
        <w:rPr>
          <w:rFonts w:ascii="Open Sauce One" w:hAnsi="Open Sauce One"/>
        </w:rPr>
      </w:pPr>
      <w:r w:rsidRPr="00105A8A">
        <w:rPr>
          <w:rFonts w:ascii="Open Sauce One" w:eastAsia="Bookman Old Style" w:hAnsi="Open Sauce One" w:cs="Bookman Old Style"/>
          <w:b/>
          <w:bCs/>
          <w:color w:val="292876"/>
        </w:rPr>
        <w:t>COMPANY: [COMPANY NAME]</w:t>
      </w:r>
    </w:p>
    <w:p w14:paraId="1135BBA6" w14:textId="77777777" w:rsidR="002E0FBF" w:rsidRPr="00105A8A" w:rsidRDefault="00000000">
      <w:pPr>
        <w:spacing w:after="200"/>
        <w:rPr>
          <w:rFonts w:ascii="Open Sauce One" w:hAnsi="Open Sauce One"/>
        </w:rPr>
      </w:pPr>
      <w:r w:rsidRPr="00105A8A">
        <w:rPr>
          <w:rFonts w:ascii="Open Sauce One" w:hAnsi="Open Sauce One"/>
          <w:sz w:val="19"/>
          <w:szCs w:val="19"/>
        </w:rPr>
        <w:t>By:  _________________________________________</w:t>
      </w:r>
    </w:p>
    <w:p w14:paraId="556C7AE9" w14:textId="77777777" w:rsidR="002E0FBF" w:rsidRPr="00105A8A" w:rsidRDefault="00000000">
      <w:pPr>
        <w:spacing w:after="200"/>
        <w:rPr>
          <w:rFonts w:ascii="Open Sauce One" w:hAnsi="Open Sauce One"/>
        </w:rPr>
      </w:pPr>
      <w:r w:rsidRPr="00105A8A">
        <w:rPr>
          <w:rFonts w:ascii="Open Sauce One" w:hAnsi="Open Sauce One"/>
          <w:sz w:val="19"/>
          <w:szCs w:val="19"/>
        </w:rPr>
        <w:t>Name:  _________________________________________</w:t>
      </w:r>
    </w:p>
    <w:p w14:paraId="3DB431E8" w14:textId="77777777" w:rsidR="002E0FBF" w:rsidRPr="00105A8A" w:rsidRDefault="00000000">
      <w:pPr>
        <w:spacing w:after="200"/>
        <w:rPr>
          <w:rFonts w:ascii="Open Sauce One" w:hAnsi="Open Sauce One"/>
        </w:rPr>
      </w:pPr>
      <w:r w:rsidRPr="00105A8A">
        <w:rPr>
          <w:rFonts w:ascii="Open Sauce One" w:hAnsi="Open Sauce One"/>
          <w:sz w:val="19"/>
          <w:szCs w:val="19"/>
        </w:rPr>
        <w:t>Title:  _________________________________________</w:t>
      </w:r>
    </w:p>
    <w:p w14:paraId="44EB7563" w14:textId="77777777" w:rsidR="002E0FBF" w:rsidRPr="00105A8A" w:rsidRDefault="00000000">
      <w:pPr>
        <w:spacing w:after="200"/>
        <w:rPr>
          <w:rFonts w:ascii="Open Sauce One" w:hAnsi="Open Sauce One"/>
        </w:rPr>
      </w:pPr>
      <w:r w:rsidRPr="00105A8A">
        <w:rPr>
          <w:rFonts w:ascii="Open Sauce One" w:hAnsi="Open Sauce One"/>
          <w:sz w:val="19"/>
          <w:szCs w:val="19"/>
        </w:rPr>
        <w:t>Date:  _________________________________________</w:t>
      </w:r>
    </w:p>
    <w:p w14:paraId="18032438" w14:textId="77777777" w:rsidR="002E0FBF" w:rsidRPr="00105A8A" w:rsidRDefault="002E0FBF">
      <w:pPr>
        <w:spacing w:after="40"/>
        <w:rPr>
          <w:rFonts w:ascii="Open Sauce One" w:hAnsi="Open Sauce One"/>
        </w:rPr>
      </w:pPr>
    </w:p>
    <w:p w14:paraId="4B91363C" w14:textId="77777777" w:rsidR="002E0FBF" w:rsidRPr="00105A8A" w:rsidRDefault="002E0FBF">
      <w:pPr>
        <w:spacing w:after="40"/>
        <w:rPr>
          <w:rFonts w:ascii="Open Sauce One" w:hAnsi="Open Sauce One"/>
        </w:rPr>
      </w:pPr>
    </w:p>
    <w:p w14:paraId="1CDA76FD" w14:textId="77777777" w:rsidR="002E0FBF" w:rsidRPr="00105A8A" w:rsidRDefault="00000000">
      <w:pPr>
        <w:spacing w:before="300" w:after="260"/>
        <w:rPr>
          <w:rFonts w:ascii="Open Sauce One" w:hAnsi="Open Sauce One"/>
        </w:rPr>
      </w:pPr>
      <w:r w:rsidRPr="00105A8A">
        <w:rPr>
          <w:rFonts w:ascii="Open Sauce One" w:eastAsia="Bookman Old Style" w:hAnsi="Open Sauce One" w:cs="Bookman Old Style"/>
          <w:b/>
          <w:bCs/>
          <w:color w:val="292876"/>
        </w:rPr>
        <w:t>HOLDER: [INVESTOR NAME]</w:t>
      </w:r>
    </w:p>
    <w:p w14:paraId="04137D90" w14:textId="77777777" w:rsidR="002E0FBF" w:rsidRPr="00105A8A" w:rsidRDefault="00000000">
      <w:pPr>
        <w:spacing w:after="200"/>
        <w:rPr>
          <w:rFonts w:ascii="Open Sauce One" w:hAnsi="Open Sauce One"/>
        </w:rPr>
      </w:pPr>
      <w:r w:rsidRPr="00105A8A">
        <w:rPr>
          <w:rFonts w:ascii="Open Sauce One" w:hAnsi="Open Sauce One"/>
          <w:sz w:val="19"/>
          <w:szCs w:val="19"/>
        </w:rPr>
        <w:t>By:  _________________________________________</w:t>
      </w:r>
    </w:p>
    <w:p w14:paraId="7AC4B2E2" w14:textId="77777777" w:rsidR="002E0FBF" w:rsidRPr="00105A8A" w:rsidRDefault="00000000">
      <w:pPr>
        <w:spacing w:after="200"/>
        <w:rPr>
          <w:rFonts w:ascii="Open Sauce One" w:hAnsi="Open Sauce One"/>
        </w:rPr>
      </w:pPr>
      <w:r w:rsidRPr="00105A8A">
        <w:rPr>
          <w:rFonts w:ascii="Open Sauce One" w:hAnsi="Open Sauce One"/>
          <w:sz w:val="19"/>
          <w:szCs w:val="19"/>
        </w:rPr>
        <w:t>Name:  _________________________________________</w:t>
      </w:r>
    </w:p>
    <w:p w14:paraId="670F836E" w14:textId="77777777" w:rsidR="002E0FBF" w:rsidRPr="00105A8A" w:rsidRDefault="00000000">
      <w:pPr>
        <w:spacing w:after="200"/>
        <w:rPr>
          <w:rFonts w:ascii="Open Sauce One" w:hAnsi="Open Sauce One"/>
        </w:rPr>
      </w:pPr>
      <w:r w:rsidRPr="00105A8A">
        <w:rPr>
          <w:rFonts w:ascii="Open Sauce One" w:hAnsi="Open Sauce One"/>
          <w:sz w:val="19"/>
          <w:szCs w:val="19"/>
        </w:rPr>
        <w:t>Title:  _________________________________________</w:t>
      </w:r>
    </w:p>
    <w:p w14:paraId="59321290" w14:textId="77777777" w:rsidR="002E0FBF" w:rsidRPr="00105A8A" w:rsidRDefault="00000000">
      <w:pPr>
        <w:spacing w:after="200"/>
        <w:rPr>
          <w:rFonts w:ascii="Open Sauce One" w:hAnsi="Open Sauce One"/>
        </w:rPr>
      </w:pPr>
      <w:r w:rsidRPr="00105A8A">
        <w:rPr>
          <w:rFonts w:ascii="Open Sauce One" w:hAnsi="Open Sauce One"/>
          <w:sz w:val="19"/>
          <w:szCs w:val="19"/>
        </w:rPr>
        <w:t>Date:  _________________________________________</w:t>
      </w:r>
    </w:p>
    <w:p w14:paraId="70FF04F6" w14:textId="77777777" w:rsidR="002E0FBF" w:rsidRPr="00105A8A" w:rsidRDefault="00000000">
      <w:pPr>
        <w:rPr>
          <w:rFonts w:ascii="Open Sauce One" w:hAnsi="Open Sauce One"/>
        </w:rPr>
      </w:pPr>
      <w:r w:rsidRPr="00105A8A">
        <w:rPr>
          <w:rFonts w:ascii="Open Sauce One" w:hAnsi="Open Sauce One"/>
        </w:rPr>
        <w:br w:type="page"/>
      </w:r>
    </w:p>
    <w:p w14:paraId="026E4BBB" w14:textId="77777777" w:rsidR="002E0FBF" w:rsidRPr="00105A8A" w:rsidRDefault="00000000">
      <w:pPr>
        <w:pStyle w:val="Heading1"/>
        <w:pBdr>
          <w:bottom w:val="single" w:sz="10" w:space="5" w:color="633DA5"/>
        </w:pBdr>
        <w:spacing w:before="260" w:after="160"/>
        <w:rPr>
          <w:rFonts w:ascii="Open Sauce One" w:hAnsi="Open Sauce One"/>
        </w:rPr>
      </w:pPr>
      <w:r w:rsidRPr="00105A8A">
        <w:rPr>
          <w:rFonts w:ascii="Open Sauce One" w:eastAsia="Bookman Old Style" w:hAnsi="Open Sauce One" w:cs="Bookman Old Style"/>
          <w:b/>
          <w:bCs/>
          <w:color w:val="292876"/>
          <w:sz w:val="27"/>
          <w:szCs w:val="27"/>
        </w:rPr>
        <w:lastRenderedPageBreak/>
        <w:t>Exhibit A — Notice of Conversion</w:t>
      </w:r>
    </w:p>
    <w:p w14:paraId="5C5BE9DF" w14:textId="77777777" w:rsidR="002E0FBF" w:rsidRPr="00105A8A" w:rsidRDefault="00000000">
      <w:pPr>
        <w:spacing w:before="60" w:after="160" w:line="264" w:lineRule="auto"/>
        <w:rPr>
          <w:rFonts w:ascii="Open Sauce One" w:hAnsi="Open Sauce One"/>
        </w:rPr>
      </w:pPr>
      <w:r w:rsidRPr="00105A8A">
        <w:rPr>
          <w:rFonts w:ascii="Open Sauce One" w:hAnsi="Open Sauce One"/>
          <w:i/>
          <w:iCs/>
          <w:color w:val="5A5A5A"/>
          <w:sz w:val="18"/>
          <w:szCs w:val="18"/>
        </w:rPr>
        <w:t>To be delivered by the Holder to the Company upon a conversion event under Section 3 of the Note.</w:t>
      </w:r>
    </w:p>
    <w:p w14:paraId="4D27FEE8"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The undersigned Holder of the Convertible Note issued by [COMPANY NAME] (the “Company”) on [ISSUE DATE] in the original principal amount of $[PRINCIPAL AMOUNT] (the “Note”) hereby elects to convert the Outstanding Amount of the Note into shares of the Company’s capital stock in accordance with the terms of the Note.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2E0FBF" w:rsidRPr="00105A8A" w14:paraId="5A8A2245" w14:textId="77777777">
        <w:tblPrEx>
          <w:tblCellMar>
            <w:top w:w="0" w:type="dxa"/>
            <w:bottom w:w="0" w:type="dxa"/>
          </w:tblCellMar>
        </w:tblPrEx>
        <w:tc>
          <w:tcPr>
            <w:tcW w:w="30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126AF488"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Conversion Trigger</w:t>
            </w:r>
          </w:p>
        </w:tc>
        <w:tc>
          <w:tcPr>
            <w:tcW w:w="63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2C33CE9D"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[Qualified Financing / Change of Control / Maturity]</w:t>
            </w:r>
          </w:p>
        </w:tc>
      </w:tr>
      <w:tr w:rsidR="002E0FBF" w:rsidRPr="00105A8A" w14:paraId="45652637" w14:textId="77777777">
        <w:tblPrEx>
          <w:tblCellMar>
            <w:top w:w="0" w:type="dxa"/>
            <w:bottom w:w="0" w:type="dxa"/>
          </w:tblCellMar>
        </w:tblPrEx>
        <w:tc>
          <w:tcPr>
            <w:tcW w:w="30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0051849E"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Outstanding Amount as of Conversion</w:t>
            </w:r>
          </w:p>
        </w:tc>
        <w:tc>
          <w:tcPr>
            <w:tcW w:w="63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525942D1"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$[_______________] (principal $[____] + accrued interest $[____])</w:t>
            </w:r>
          </w:p>
        </w:tc>
      </w:tr>
      <w:tr w:rsidR="002E0FBF" w:rsidRPr="00105A8A" w14:paraId="4FCD64A7" w14:textId="77777777">
        <w:tblPrEx>
          <w:tblCellMar>
            <w:top w:w="0" w:type="dxa"/>
            <w:bottom w:w="0" w:type="dxa"/>
          </w:tblCellMar>
        </w:tblPrEx>
        <w:tc>
          <w:tcPr>
            <w:tcW w:w="30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5477EF7C"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Conversion Price</w:t>
            </w:r>
          </w:p>
        </w:tc>
        <w:tc>
          <w:tcPr>
            <w:tcW w:w="63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182B4A48"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$[_______________] per share</w:t>
            </w:r>
          </w:p>
        </w:tc>
      </w:tr>
      <w:tr w:rsidR="002E0FBF" w:rsidRPr="00105A8A" w14:paraId="1F65A75A" w14:textId="77777777">
        <w:tblPrEx>
          <w:tblCellMar>
            <w:top w:w="0" w:type="dxa"/>
            <w:bottom w:w="0" w:type="dxa"/>
          </w:tblCellMar>
        </w:tblPrEx>
        <w:tc>
          <w:tcPr>
            <w:tcW w:w="30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159B32DD"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Class of Stock Issuable</w:t>
            </w:r>
          </w:p>
        </w:tc>
        <w:tc>
          <w:tcPr>
            <w:tcW w:w="63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7DFAF3BD"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[_______________]</w:t>
            </w:r>
          </w:p>
        </w:tc>
      </w:tr>
      <w:tr w:rsidR="002E0FBF" w:rsidRPr="00105A8A" w14:paraId="4073B34E" w14:textId="77777777">
        <w:tblPrEx>
          <w:tblCellMar>
            <w:top w:w="0" w:type="dxa"/>
            <w:bottom w:w="0" w:type="dxa"/>
          </w:tblCellMar>
        </w:tblPrEx>
        <w:tc>
          <w:tcPr>
            <w:tcW w:w="30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19D1EDC2" w14:textId="77777777" w:rsidR="002E0FBF" w:rsidRPr="00105A8A" w:rsidRDefault="00000000">
            <w:pPr>
              <w:rPr>
                <w:rFonts w:ascii="Open Sauce One" w:hAnsi="Open Sauce One"/>
              </w:rPr>
            </w:pPr>
            <w:r w:rsidRPr="00105A8A">
              <w:rPr>
                <w:rFonts w:ascii="Open Sauce One" w:eastAsia="Bookman Old Style" w:hAnsi="Open Sauce One" w:cs="Bookman Old Style"/>
                <w:b/>
                <w:bCs/>
                <w:color w:val="292876"/>
                <w:sz w:val="18"/>
                <w:szCs w:val="18"/>
              </w:rPr>
              <w:t>Number of Shares Issuable</w:t>
            </w:r>
          </w:p>
        </w:tc>
        <w:tc>
          <w:tcPr>
            <w:tcW w:w="636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259AD896" w14:textId="77777777" w:rsidR="002E0FBF" w:rsidRPr="00105A8A" w:rsidRDefault="00000000">
            <w:pPr>
              <w:spacing w:line="264" w:lineRule="auto"/>
              <w:rPr>
                <w:rFonts w:ascii="Open Sauce One" w:hAnsi="Open Sauce One"/>
              </w:rPr>
            </w:pPr>
            <w:r w:rsidRPr="00105A8A">
              <w:rPr>
                <w:rFonts w:ascii="Open Sauce One" w:hAnsi="Open Sauce One"/>
                <w:sz w:val="19"/>
                <w:szCs w:val="19"/>
              </w:rPr>
              <w:t>[_______________]</w:t>
            </w:r>
          </w:p>
        </w:tc>
      </w:tr>
    </w:tbl>
    <w:p w14:paraId="31B295BF" w14:textId="77777777" w:rsidR="002E0FBF" w:rsidRPr="00105A8A" w:rsidRDefault="002E0FBF">
      <w:pPr>
        <w:spacing w:after="40"/>
        <w:rPr>
          <w:rFonts w:ascii="Open Sauce One" w:hAnsi="Open Sauce One"/>
        </w:rPr>
      </w:pPr>
    </w:p>
    <w:p w14:paraId="2B279522" w14:textId="77777777" w:rsidR="002E0FBF" w:rsidRPr="00105A8A" w:rsidRDefault="00000000">
      <w:pPr>
        <w:spacing w:before="300" w:after="260"/>
        <w:rPr>
          <w:rFonts w:ascii="Open Sauce One" w:hAnsi="Open Sauce One"/>
        </w:rPr>
      </w:pPr>
      <w:r w:rsidRPr="00105A8A">
        <w:rPr>
          <w:rFonts w:ascii="Open Sauce One" w:eastAsia="Bookman Old Style" w:hAnsi="Open Sauce One" w:cs="Bookman Old Style"/>
          <w:b/>
          <w:bCs/>
          <w:color w:val="292876"/>
        </w:rPr>
        <w:t>HOLDER</w:t>
      </w:r>
    </w:p>
    <w:p w14:paraId="2890FD8A" w14:textId="77777777" w:rsidR="002E0FBF" w:rsidRPr="00105A8A" w:rsidRDefault="00000000">
      <w:pPr>
        <w:spacing w:after="200"/>
        <w:rPr>
          <w:rFonts w:ascii="Open Sauce One" w:hAnsi="Open Sauce One"/>
        </w:rPr>
      </w:pPr>
      <w:r w:rsidRPr="00105A8A">
        <w:rPr>
          <w:rFonts w:ascii="Open Sauce One" w:hAnsi="Open Sauce One"/>
          <w:sz w:val="19"/>
          <w:szCs w:val="19"/>
        </w:rPr>
        <w:t>By:  _________________________________________</w:t>
      </w:r>
    </w:p>
    <w:p w14:paraId="5D5B55D9" w14:textId="77777777" w:rsidR="002E0FBF" w:rsidRPr="00105A8A" w:rsidRDefault="00000000">
      <w:pPr>
        <w:spacing w:after="200"/>
        <w:rPr>
          <w:rFonts w:ascii="Open Sauce One" w:hAnsi="Open Sauce One"/>
        </w:rPr>
      </w:pPr>
      <w:r w:rsidRPr="00105A8A">
        <w:rPr>
          <w:rFonts w:ascii="Open Sauce One" w:hAnsi="Open Sauce One"/>
          <w:sz w:val="19"/>
          <w:szCs w:val="19"/>
        </w:rPr>
        <w:t>Name:  _________________________________________</w:t>
      </w:r>
    </w:p>
    <w:p w14:paraId="13F940F3" w14:textId="77777777" w:rsidR="002E0FBF" w:rsidRPr="00105A8A" w:rsidRDefault="00000000">
      <w:pPr>
        <w:spacing w:after="200"/>
        <w:rPr>
          <w:rFonts w:ascii="Open Sauce One" w:hAnsi="Open Sauce One"/>
        </w:rPr>
      </w:pPr>
      <w:r w:rsidRPr="00105A8A">
        <w:rPr>
          <w:rFonts w:ascii="Open Sauce One" w:hAnsi="Open Sauce One"/>
          <w:sz w:val="19"/>
          <w:szCs w:val="19"/>
        </w:rPr>
        <w:t>Title:  _________________________________________</w:t>
      </w:r>
    </w:p>
    <w:p w14:paraId="5C3D58F5" w14:textId="77777777" w:rsidR="002E0FBF" w:rsidRPr="00105A8A" w:rsidRDefault="00000000">
      <w:pPr>
        <w:spacing w:after="200"/>
        <w:rPr>
          <w:rFonts w:ascii="Open Sauce One" w:hAnsi="Open Sauce One"/>
        </w:rPr>
      </w:pPr>
      <w:r w:rsidRPr="00105A8A">
        <w:rPr>
          <w:rFonts w:ascii="Open Sauce One" w:hAnsi="Open Sauce One"/>
          <w:sz w:val="19"/>
          <w:szCs w:val="19"/>
        </w:rPr>
        <w:t>Date:  _________________________________________</w:t>
      </w:r>
    </w:p>
    <w:p w14:paraId="388A8F10" w14:textId="77777777" w:rsidR="002E0FBF" w:rsidRPr="00105A8A" w:rsidRDefault="00000000">
      <w:pPr>
        <w:rPr>
          <w:rFonts w:ascii="Open Sauce One" w:hAnsi="Open Sauce One"/>
        </w:rPr>
      </w:pPr>
      <w:r w:rsidRPr="00105A8A">
        <w:rPr>
          <w:rFonts w:ascii="Open Sauce One" w:hAnsi="Open Sauce One"/>
        </w:rPr>
        <w:br w:type="page"/>
      </w:r>
    </w:p>
    <w:p w14:paraId="369F2D68" w14:textId="77777777" w:rsidR="002E0FBF" w:rsidRPr="00105A8A" w:rsidRDefault="00000000">
      <w:pPr>
        <w:pStyle w:val="Heading1"/>
        <w:pBdr>
          <w:bottom w:val="single" w:sz="10" w:space="5" w:color="633DA5"/>
        </w:pBdr>
        <w:spacing w:before="260" w:after="160"/>
        <w:rPr>
          <w:rFonts w:ascii="Open Sauce One" w:hAnsi="Open Sauce One"/>
        </w:rPr>
      </w:pPr>
      <w:r w:rsidRPr="00105A8A">
        <w:rPr>
          <w:rFonts w:ascii="Open Sauce One" w:eastAsia="Bookman Old Style" w:hAnsi="Open Sauce One" w:cs="Bookman Old Style"/>
          <w:b/>
          <w:bCs/>
          <w:color w:val="292876"/>
          <w:sz w:val="27"/>
          <w:szCs w:val="27"/>
        </w:rPr>
        <w:lastRenderedPageBreak/>
        <w:t>Important Notice</w:t>
      </w:r>
    </w:p>
    <w:p w14:paraId="139DCB65"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 xml:space="preserve">This Convertible Note has been prepared by </w:t>
      </w:r>
      <w:proofErr w:type="spellStart"/>
      <w:r w:rsidRPr="00105A8A">
        <w:rPr>
          <w:rFonts w:ascii="Open Sauce One" w:hAnsi="Open Sauce One"/>
        </w:rPr>
        <w:t>Qapita</w:t>
      </w:r>
      <w:proofErr w:type="spellEnd"/>
      <w:r w:rsidRPr="00105A8A">
        <w:rPr>
          <w:rFonts w:ascii="Open Sauce One" w:hAnsi="Open Sauce One"/>
        </w:rPr>
        <w:t xml:space="preserve"> as a general-purpose market reference template for US convertible note financings. It is based on customary provisions found in widely used forms, including those published by Fenwick &amp; West, Practical Law, and Y Combinator, together with structural conventions observed in Southeast Asian and other global markets, adapted for Delaware / US practice.</w:t>
      </w:r>
    </w:p>
    <w:p w14:paraId="2790A8A6" w14:textId="77777777" w:rsidR="002E0FBF" w:rsidRPr="00105A8A" w:rsidRDefault="00000000">
      <w:pPr>
        <w:spacing w:after="160" w:line="288" w:lineRule="auto"/>
        <w:jc w:val="both"/>
        <w:rPr>
          <w:rFonts w:ascii="Open Sauce One" w:hAnsi="Open Sauce One"/>
        </w:rPr>
      </w:pPr>
      <w:r w:rsidRPr="00105A8A">
        <w:rPr>
          <w:rFonts w:ascii="Open Sauce One" w:hAnsi="Open Sauce One"/>
        </w:rPr>
        <w:t>This template is provided for informational and educational purposes only. It does not constitute legal, tax, or accounting advice, and it is not a substitute for advice from qualified, independent counsel licensed in the relevant jurisdiction. Convertible note financings involve securities law considerations (including Regulation D, Section 4(a)(2), and state Blue Sky filings), tax considerations (including original issue discount and Section 1202 / QSBS eligibility), and corporate governance considerations that vary by company, investor, and transaction. Every bracketed [placeholder] and italicized drafting note in this document must be reviewed, completed, or deleted by counsel before use.</w:t>
      </w:r>
    </w:p>
    <w:p w14:paraId="73A2C2AA" w14:textId="77777777" w:rsidR="002E0FBF" w:rsidRPr="00105A8A" w:rsidRDefault="00000000">
      <w:pPr>
        <w:spacing w:after="160" w:line="288" w:lineRule="auto"/>
        <w:jc w:val="both"/>
        <w:rPr>
          <w:rFonts w:ascii="Open Sauce One" w:hAnsi="Open Sauce One"/>
        </w:rPr>
      </w:pPr>
      <w:proofErr w:type="spellStart"/>
      <w:r w:rsidRPr="00105A8A">
        <w:rPr>
          <w:rFonts w:ascii="Open Sauce One" w:hAnsi="Open Sauce One"/>
        </w:rPr>
        <w:t>Qapita</w:t>
      </w:r>
      <w:proofErr w:type="spellEnd"/>
      <w:r w:rsidRPr="00105A8A">
        <w:rPr>
          <w:rFonts w:ascii="Open Sauce One" w:hAnsi="Open Sauce One"/>
        </w:rPr>
        <w:t xml:space="preserve"> does not assume any responsibility or liability for the use of this template, and its use does not create an attorney-client relationship or any advisory relationship between </w:t>
      </w:r>
      <w:proofErr w:type="spellStart"/>
      <w:r w:rsidRPr="00105A8A">
        <w:rPr>
          <w:rFonts w:ascii="Open Sauce One" w:hAnsi="Open Sauce One"/>
        </w:rPr>
        <w:t>Qapita</w:t>
      </w:r>
      <w:proofErr w:type="spellEnd"/>
      <w:r w:rsidRPr="00105A8A">
        <w:rPr>
          <w:rFonts w:ascii="Open Sauce One" w:hAnsi="Open Sauce One"/>
        </w:rPr>
        <w:t xml:space="preserve"> and the user.</w:t>
      </w:r>
    </w:p>
    <w:p w14:paraId="4612F635" w14:textId="77777777" w:rsidR="002E0FBF" w:rsidRPr="00105A8A" w:rsidRDefault="002E0FBF">
      <w:pPr>
        <w:spacing w:after="40"/>
        <w:rPr>
          <w:rFonts w:ascii="Open Sauce One" w:hAnsi="Open Sauce One"/>
        </w:rPr>
      </w:pPr>
    </w:p>
    <w:p w14:paraId="607C323C" w14:textId="77777777" w:rsidR="002E0FBF" w:rsidRPr="00105A8A" w:rsidRDefault="002E0FBF">
      <w:pPr>
        <w:spacing w:after="40"/>
        <w:rPr>
          <w:rFonts w:ascii="Open Sauce One" w:hAnsi="Open Sauce One"/>
        </w:rPr>
      </w:pPr>
    </w:p>
    <w:p w14:paraId="701DFF60" w14:textId="3C6BFA76" w:rsidR="002E0FBF" w:rsidRPr="00105A8A" w:rsidRDefault="002E0FBF">
      <w:pPr>
        <w:spacing w:after="200"/>
        <w:jc w:val="center"/>
        <w:rPr>
          <w:rFonts w:ascii="Open Sauce One" w:hAnsi="Open Sauce One"/>
        </w:rPr>
      </w:pPr>
    </w:p>
    <w:sectPr w:rsidR="002E0FBF" w:rsidRPr="00105A8A" w:rsidSect="00105A8A">
      <w:headerReference w:type="default" r:id="rId7"/>
      <w:footerReference w:type="default" r:id="rId8"/>
      <w:pgSz w:w="12240" w:h="15840"/>
      <w:pgMar w:top="1080" w:right="1080" w:bottom="1080" w:left="1080" w:header="283"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35E74" w14:textId="77777777" w:rsidR="008169BD" w:rsidRDefault="008169BD">
      <w:r>
        <w:separator/>
      </w:r>
    </w:p>
  </w:endnote>
  <w:endnote w:type="continuationSeparator" w:id="0">
    <w:p w14:paraId="509B4331" w14:textId="77777777" w:rsidR="008169BD" w:rsidRDefault="0081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9FFC" w14:textId="77777777" w:rsidR="002E0FBF" w:rsidRDefault="00000000">
    <w:pPr>
      <w:pBdr>
        <w:top w:val="single" w:sz="4" w:space="4" w:color="D9D3E8"/>
      </w:pBdr>
      <w:tabs>
        <w:tab w:val="right" w:pos="9026"/>
      </w:tabs>
    </w:pPr>
    <w:proofErr w:type="spellStart"/>
    <w:proofErr w:type="gramStart"/>
    <w:r>
      <w:rPr>
        <w:i/>
        <w:iCs/>
        <w:color w:val="5A5A5A"/>
        <w:sz w:val="15"/>
        <w:szCs w:val="15"/>
      </w:rPr>
      <w:t>Qapita</w:t>
    </w:r>
    <w:proofErr w:type="spellEnd"/>
    <w:r>
      <w:rPr>
        <w:i/>
        <w:iCs/>
        <w:color w:val="5A5A5A"/>
        <w:sz w:val="15"/>
        <w:szCs w:val="15"/>
      </w:rPr>
      <w:t xml:space="preserve">  |</w:t>
    </w:r>
    <w:proofErr w:type="gramEnd"/>
    <w:r>
      <w:rPr>
        <w:i/>
        <w:iCs/>
        <w:color w:val="5A5A5A"/>
        <w:sz w:val="15"/>
        <w:szCs w:val="15"/>
      </w:rPr>
      <w:t xml:space="preserve">  US Market Legal Template Suite</w:t>
    </w:r>
    <w:r>
      <w:rPr>
        <w:sz w:val="15"/>
        <w:szCs w:val="15"/>
      </w:rPr>
      <w:tab/>
    </w:r>
    <w:r>
      <w:rPr>
        <w:color w:val="5A5A5A"/>
        <w:sz w:val="15"/>
        <w:szCs w:val="15"/>
      </w:rPr>
      <w:t xml:space="preserve">Page </w:t>
    </w:r>
    <w:r>
      <w:rPr>
        <w:color w:val="5A5A5A"/>
        <w:sz w:val="15"/>
        <w:szCs w:val="15"/>
      </w:rPr>
      <w:fldChar w:fldCharType="begin"/>
    </w:r>
    <w:r>
      <w:rPr>
        <w:color w:val="5A5A5A"/>
        <w:sz w:val="15"/>
        <w:szCs w:val="15"/>
      </w:rPr>
      <w:instrText>PAGE</w:instrText>
    </w:r>
    <w:r>
      <w:rPr>
        <w:color w:val="5A5A5A"/>
        <w:sz w:val="15"/>
        <w:szCs w:val="15"/>
      </w:rPr>
      <w:fldChar w:fldCharType="separate"/>
    </w:r>
    <w:r w:rsidR="00105A8A">
      <w:rPr>
        <w:noProof/>
        <w:color w:val="5A5A5A"/>
        <w:sz w:val="15"/>
        <w:szCs w:val="15"/>
      </w:rPr>
      <w:t>1</w:t>
    </w:r>
    <w:r>
      <w:rPr>
        <w:color w:val="5A5A5A"/>
        <w:sz w:val="15"/>
        <w:szCs w:val="15"/>
      </w:rPr>
      <w:fldChar w:fldCharType="end"/>
    </w:r>
    <w:r>
      <w:rPr>
        <w:color w:val="5A5A5A"/>
        <w:sz w:val="15"/>
        <w:szCs w:val="15"/>
      </w:rPr>
      <w:t xml:space="preserve"> of </w:t>
    </w:r>
    <w:r>
      <w:rPr>
        <w:color w:val="5A5A5A"/>
        <w:sz w:val="15"/>
        <w:szCs w:val="15"/>
      </w:rPr>
      <w:fldChar w:fldCharType="begin"/>
    </w:r>
    <w:r>
      <w:rPr>
        <w:color w:val="5A5A5A"/>
        <w:sz w:val="15"/>
        <w:szCs w:val="15"/>
      </w:rPr>
      <w:instrText>NUMPAGES</w:instrText>
    </w:r>
    <w:r>
      <w:rPr>
        <w:color w:val="5A5A5A"/>
        <w:sz w:val="15"/>
        <w:szCs w:val="15"/>
      </w:rPr>
      <w:fldChar w:fldCharType="separate"/>
    </w:r>
    <w:r w:rsidR="00105A8A">
      <w:rPr>
        <w:noProof/>
        <w:color w:val="5A5A5A"/>
        <w:sz w:val="15"/>
        <w:szCs w:val="15"/>
      </w:rPr>
      <w:t>2</w:t>
    </w:r>
    <w:r>
      <w:rPr>
        <w:color w:val="5A5A5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B6E7" w14:textId="77777777" w:rsidR="008169BD" w:rsidRDefault="008169BD">
      <w:r>
        <w:separator/>
      </w:r>
    </w:p>
  </w:footnote>
  <w:footnote w:type="continuationSeparator" w:id="0">
    <w:p w14:paraId="1B922B7D" w14:textId="77777777" w:rsidR="008169BD" w:rsidRDefault="0081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8CBD" w14:textId="7033D4CD" w:rsidR="00105A8A" w:rsidRDefault="00105A8A">
    <w:pPr>
      <w:pStyle w:val="Header"/>
    </w:pPr>
    <w:r>
      <w:rPr>
        <w:noProof/>
      </w:rPr>
      <w:drawing>
        <wp:inline distT="0" distB="0" distL="0" distR="0" wp14:anchorId="0F77AD78" wp14:editId="38EA86AE">
          <wp:extent cx="1120450" cy="400050"/>
          <wp:effectExtent l="0" t="0" r="0" b="0"/>
          <wp:docPr id="2134809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09291" name="Picture 2134809291"/>
                  <pic:cNvPicPr/>
                </pic:nvPicPr>
                <pic:blipFill>
                  <a:blip r:embed="rId1">
                    <a:extLst>
                      <a:ext uri="{28A0092B-C50C-407E-A947-70E740481C1C}">
                        <a14:useLocalDpi xmlns:a14="http://schemas.microsoft.com/office/drawing/2010/main" val="0"/>
                      </a:ext>
                    </a:extLst>
                  </a:blip>
                  <a:stretch>
                    <a:fillRect/>
                  </a:stretch>
                </pic:blipFill>
                <pic:spPr>
                  <a:xfrm>
                    <a:off x="0" y="0"/>
                    <a:ext cx="1131185" cy="4038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81F18"/>
    <w:multiLevelType w:val="hybridMultilevel"/>
    <w:tmpl w:val="148C98CC"/>
    <w:lvl w:ilvl="0" w:tplc="4FC48FDA">
      <w:start w:val="1"/>
      <w:numFmt w:val="bullet"/>
      <w:lvlText w:val="●"/>
      <w:lvlJc w:val="left"/>
      <w:pPr>
        <w:ind w:left="720" w:hanging="360"/>
      </w:pPr>
    </w:lvl>
    <w:lvl w:ilvl="1" w:tplc="263A09EA">
      <w:start w:val="1"/>
      <w:numFmt w:val="bullet"/>
      <w:lvlText w:val="○"/>
      <w:lvlJc w:val="left"/>
      <w:pPr>
        <w:ind w:left="1440" w:hanging="360"/>
      </w:pPr>
    </w:lvl>
    <w:lvl w:ilvl="2" w:tplc="CAE8AF26">
      <w:start w:val="1"/>
      <w:numFmt w:val="bullet"/>
      <w:lvlText w:val="■"/>
      <w:lvlJc w:val="left"/>
      <w:pPr>
        <w:ind w:left="2160" w:hanging="360"/>
      </w:pPr>
    </w:lvl>
    <w:lvl w:ilvl="3" w:tplc="F3C6850C">
      <w:start w:val="1"/>
      <w:numFmt w:val="bullet"/>
      <w:lvlText w:val="●"/>
      <w:lvlJc w:val="left"/>
      <w:pPr>
        <w:ind w:left="2880" w:hanging="360"/>
      </w:pPr>
    </w:lvl>
    <w:lvl w:ilvl="4" w:tplc="9066065A">
      <w:start w:val="1"/>
      <w:numFmt w:val="bullet"/>
      <w:lvlText w:val="○"/>
      <w:lvlJc w:val="left"/>
      <w:pPr>
        <w:ind w:left="3600" w:hanging="360"/>
      </w:pPr>
    </w:lvl>
    <w:lvl w:ilvl="5" w:tplc="FC3C1D02">
      <w:start w:val="1"/>
      <w:numFmt w:val="bullet"/>
      <w:lvlText w:val="■"/>
      <w:lvlJc w:val="left"/>
      <w:pPr>
        <w:ind w:left="4320" w:hanging="360"/>
      </w:pPr>
    </w:lvl>
    <w:lvl w:ilvl="6" w:tplc="2496067C">
      <w:start w:val="1"/>
      <w:numFmt w:val="bullet"/>
      <w:lvlText w:val="●"/>
      <w:lvlJc w:val="left"/>
      <w:pPr>
        <w:ind w:left="5040" w:hanging="360"/>
      </w:pPr>
    </w:lvl>
    <w:lvl w:ilvl="7" w:tplc="089A5FBE">
      <w:start w:val="1"/>
      <w:numFmt w:val="bullet"/>
      <w:lvlText w:val="●"/>
      <w:lvlJc w:val="left"/>
      <w:pPr>
        <w:ind w:left="5760" w:hanging="360"/>
      </w:pPr>
    </w:lvl>
    <w:lvl w:ilvl="8" w:tplc="83EA0F4C">
      <w:start w:val="1"/>
      <w:numFmt w:val="bullet"/>
      <w:lvlText w:val="●"/>
      <w:lvlJc w:val="left"/>
      <w:pPr>
        <w:ind w:left="6480" w:hanging="360"/>
      </w:pPr>
    </w:lvl>
  </w:abstractNum>
  <w:num w:numId="1" w16cid:durableId="14733313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FBF"/>
    <w:rsid w:val="00105A8A"/>
    <w:rsid w:val="002E0FBF"/>
    <w:rsid w:val="008169BD"/>
    <w:rsid w:val="008C4142"/>
    <w:rsid w:val="00EF67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195FA"/>
  <w15:docId w15:val="{23F9AEC9-186E-4DC9-94CC-D139B914A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05A8A"/>
    <w:pPr>
      <w:tabs>
        <w:tab w:val="center" w:pos="4513"/>
        <w:tab w:val="right" w:pos="9026"/>
      </w:tabs>
    </w:pPr>
  </w:style>
  <w:style w:type="character" w:customStyle="1" w:styleId="HeaderChar">
    <w:name w:val="Header Char"/>
    <w:basedOn w:val="DefaultParagraphFont"/>
    <w:link w:val="Header"/>
    <w:uiPriority w:val="99"/>
    <w:rsid w:val="00105A8A"/>
  </w:style>
  <w:style w:type="paragraph" w:styleId="Footer">
    <w:name w:val="footer"/>
    <w:basedOn w:val="Normal"/>
    <w:link w:val="FooterChar"/>
    <w:uiPriority w:val="99"/>
    <w:unhideWhenUsed/>
    <w:rsid w:val="00105A8A"/>
    <w:pPr>
      <w:tabs>
        <w:tab w:val="center" w:pos="4513"/>
        <w:tab w:val="right" w:pos="9026"/>
      </w:tabs>
    </w:pPr>
  </w:style>
  <w:style w:type="character" w:customStyle="1" w:styleId="FooterChar">
    <w:name w:val="Footer Char"/>
    <w:basedOn w:val="DefaultParagraphFont"/>
    <w:link w:val="Footer"/>
    <w:uiPriority w:val="99"/>
    <w:rsid w:val="00105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DF5022-726E-4765-B9C9-52A79A14D13A}"/>
</file>

<file path=customXml/itemProps2.xml><?xml version="1.0" encoding="utf-8"?>
<ds:datastoreItem xmlns:ds="http://schemas.openxmlformats.org/officeDocument/2006/customXml" ds:itemID="{56C2EEE8-56B1-48FF-AAC9-A344669F8BA9}"/>
</file>

<file path=customXml/itemProps3.xml><?xml version="1.0" encoding="utf-8"?>
<ds:datastoreItem xmlns:ds="http://schemas.openxmlformats.org/officeDocument/2006/customXml" ds:itemID="{97F64B78-C539-4F45-BCC5-384F66BCB85D}"/>
</file>

<file path=docProps/app.xml><?xml version="1.0" encoding="utf-8"?>
<Properties xmlns="http://schemas.openxmlformats.org/officeDocument/2006/extended-properties" xmlns:vt="http://schemas.openxmlformats.org/officeDocument/2006/docPropsVTypes">
  <Template>Normal</Template>
  <TotalTime>39</TotalTime>
  <Pages>10</Pages>
  <Words>3097</Words>
  <Characters>17657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Sayan Banerjee</cp:lastModifiedBy>
  <cp:revision>2</cp:revision>
  <dcterms:created xsi:type="dcterms:W3CDTF">2026-07-16T05:15:00Z</dcterms:created>
  <dcterms:modified xsi:type="dcterms:W3CDTF">2026-07-16T07:01:00Z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