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1AF0F" w14:textId="77777777" w:rsidR="00D32939" w:rsidRPr="0080433A" w:rsidRDefault="00000000">
      <w:pPr>
        <w:spacing w:before="700" w:after="200"/>
        <w:jc w:val="center"/>
        <w:rPr>
          <w:rFonts w:ascii="Open Sauce One" w:hAnsi="Open Sauce One"/>
        </w:rPr>
      </w:pPr>
      <w:r w:rsidRPr="0080433A">
        <w:rPr>
          <w:rFonts w:ascii="Open Sauce One" w:eastAsia="Bookman Old Style" w:hAnsi="Open Sauce One" w:cs="Bookman Old Style"/>
          <w:b/>
          <w:bCs/>
          <w:color w:val="292876"/>
          <w:sz w:val="52"/>
          <w:szCs w:val="52"/>
        </w:rPr>
        <w:t>CONVERTIBLE NOTE TERM SHEET</w:t>
      </w:r>
    </w:p>
    <w:p w14:paraId="0975B98E" w14:textId="77777777" w:rsidR="00D32939" w:rsidRPr="0080433A" w:rsidRDefault="00000000">
      <w:pPr>
        <w:spacing w:after="700"/>
        <w:jc w:val="center"/>
        <w:rPr>
          <w:rFonts w:ascii="Open Sauce One" w:hAnsi="Open Sauce One"/>
        </w:rPr>
      </w:pPr>
      <w:r w:rsidRPr="0080433A">
        <w:rPr>
          <w:rFonts w:ascii="Open Sauce One" w:hAnsi="Open Sauce One"/>
          <w:i/>
          <w:iCs/>
          <w:color w:val="633DA5"/>
          <w:sz w:val="22"/>
          <w:szCs w:val="22"/>
        </w:rPr>
        <w:t>US Market Standard  •  Seed / Bridge Financing  •  Part A (Non-Binding) / Part B (Binding)</w:t>
      </w:r>
    </w:p>
    <w:p w14:paraId="045C2DAB" w14:textId="77777777" w:rsidR="00D32939" w:rsidRPr="0080433A" w:rsidRDefault="00D32939">
      <w:pPr>
        <w:pBdr>
          <w:bottom w:val="single" w:sz="16" w:space="1" w:color="FFCD5D"/>
        </w:pBdr>
        <w:spacing w:after="600"/>
        <w:rPr>
          <w:rFonts w:ascii="Open Sauce One" w:hAnsi="Open Sauce One"/>
        </w:rPr>
      </w:pPr>
    </w:p>
    <w:tbl>
      <w:tblPr>
        <w:tblW w:w="7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4000"/>
      </w:tblGrid>
      <w:tr w:rsidR="00D32939" w:rsidRPr="0080433A" w14:paraId="652CA56C" w14:textId="77777777">
        <w:tblPrEx>
          <w:tblCellMar>
            <w:top w:w="0" w:type="dxa"/>
            <w:bottom w:w="0" w:type="dxa"/>
          </w:tblCellMar>
        </w:tblPrEx>
        <w:trPr>
          <w:jc w:val="center"/>
        </w:trPr>
        <w:tc>
          <w:tcPr>
            <w:tcW w:w="3200" w:type="dxa"/>
            <w:tcBorders>
              <w:top w:val="none" w:sz="0" w:space="0" w:color="FFFFFF"/>
              <w:left w:val="none" w:sz="0" w:space="0" w:color="FFFFFF"/>
              <w:bottom w:val="none" w:sz="0" w:space="0" w:color="FFFFFF"/>
              <w:right w:val="none" w:sz="0" w:space="0" w:color="FFFFFF"/>
            </w:tcBorders>
            <w:tcMar>
              <w:top w:w="140" w:type="dxa"/>
              <w:left w:w="100" w:type="dxa"/>
              <w:bottom w:w="140" w:type="dxa"/>
              <w:right w:w="100" w:type="dxa"/>
            </w:tcMar>
          </w:tcPr>
          <w:p w14:paraId="5F50AB9F" w14:textId="77777777" w:rsidR="00D32939" w:rsidRPr="0080433A" w:rsidRDefault="00000000">
            <w:pPr>
              <w:rPr>
                <w:rFonts w:ascii="Open Sauce One" w:hAnsi="Open Sauce One"/>
              </w:rPr>
            </w:pPr>
            <w:r w:rsidRPr="0080433A">
              <w:rPr>
                <w:rFonts w:ascii="Open Sauce One" w:hAnsi="Open Sauce One"/>
                <w:b/>
                <w:bCs/>
                <w:color w:val="5A5A5A"/>
                <w:spacing w:val="15"/>
                <w:sz w:val="16"/>
                <w:szCs w:val="16"/>
              </w:rPr>
              <w:t>COMPANY</w:t>
            </w:r>
          </w:p>
        </w:tc>
        <w:tc>
          <w:tcPr>
            <w:tcW w:w="4000" w:type="dxa"/>
            <w:tcBorders>
              <w:top w:val="none" w:sz="0" w:space="0" w:color="FFFFFF"/>
              <w:left w:val="none" w:sz="0" w:space="0" w:color="FFFFFF"/>
              <w:bottom w:val="single" w:sz="4" w:space="0" w:color="C9C2DD"/>
              <w:right w:val="none" w:sz="0" w:space="0" w:color="FFFFFF"/>
            </w:tcBorders>
            <w:tcMar>
              <w:top w:w="140" w:type="dxa"/>
              <w:left w:w="100" w:type="dxa"/>
              <w:bottom w:w="140" w:type="dxa"/>
              <w:right w:w="100" w:type="dxa"/>
            </w:tcMar>
          </w:tcPr>
          <w:p w14:paraId="34D4DCF0" w14:textId="77777777" w:rsidR="00D32939" w:rsidRPr="0080433A" w:rsidRDefault="00000000">
            <w:pPr>
              <w:rPr>
                <w:rFonts w:ascii="Open Sauce One" w:hAnsi="Open Sauce One"/>
              </w:rPr>
            </w:pPr>
            <w:r w:rsidRPr="0080433A">
              <w:rPr>
                <w:rFonts w:ascii="Open Sauce One" w:hAnsi="Open Sauce One"/>
                <w:sz w:val="19"/>
                <w:szCs w:val="19"/>
              </w:rPr>
              <w:t xml:space="preserve"> </w:t>
            </w:r>
          </w:p>
        </w:tc>
      </w:tr>
      <w:tr w:rsidR="00D32939" w:rsidRPr="0080433A" w14:paraId="5598B504" w14:textId="77777777">
        <w:tblPrEx>
          <w:tblCellMar>
            <w:top w:w="0" w:type="dxa"/>
            <w:bottom w:w="0" w:type="dxa"/>
          </w:tblCellMar>
        </w:tblPrEx>
        <w:trPr>
          <w:jc w:val="center"/>
        </w:trPr>
        <w:tc>
          <w:tcPr>
            <w:tcW w:w="3200" w:type="dxa"/>
            <w:tcBorders>
              <w:top w:val="none" w:sz="0" w:space="0" w:color="FFFFFF"/>
              <w:left w:val="none" w:sz="0" w:space="0" w:color="FFFFFF"/>
              <w:bottom w:val="none" w:sz="0" w:space="0" w:color="FFFFFF"/>
              <w:right w:val="none" w:sz="0" w:space="0" w:color="FFFFFF"/>
            </w:tcBorders>
            <w:tcMar>
              <w:top w:w="140" w:type="dxa"/>
              <w:left w:w="100" w:type="dxa"/>
              <w:bottom w:w="140" w:type="dxa"/>
              <w:right w:w="100" w:type="dxa"/>
            </w:tcMar>
          </w:tcPr>
          <w:p w14:paraId="7CD30FF3" w14:textId="77777777" w:rsidR="00D32939" w:rsidRPr="0080433A" w:rsidRDefault="00000000">
            <w:pPr>
              <w:rPr>
                <w:rFonts w:ascii="Open Sauce One" w:hAnsi="Open Sauce One"/>
              </w:rPr>
            </w:pPr>
            <w:r w:rsidRPr="0080433A">
              <w:rPr>
                <w:rFonts w:ascii="Open Sauce One" w:hAnsi="Open Sauce One"/>
                <w:b/>
                <w:bCs/>
                <w:color w:val="5A5A5A"/>
                <w:spacing w:val="15"/>
                <w:sz w:val="16"/>
                <w:szCs w:val="16"/>
              </w:rPr>
              <w:t>INVESTOR(S)</w:t>
            </w:r>
          </w:p>
        </w:tc>
        <w:tc>
          <w:tcPr>
            <w:tcW w:w="4000" w:type="dxa"/>
            <w:tcBorders>
              <w:top w:val="none" w:sz="0" w:space="0" w:color="FFFFFF"/>
              <w:left w:val="none" w:sz="0" w:space="0" w:color="FFFFFF"/>
              <w:bottom w:val="single" w:sz="4" w:space="0" w:color="C9C2DD"/>
              <w:right w:val="none" w:sz="0" w:space="0" w:color="FFFFFF"/>
            </w:tcBorders>
            <w:tcMar>
              <w:top w:w="140" w:type="dxa"/>
              <w:left w:w="100" w:type="dxa"/>
              <w:bottom w:w="140" w:type="dxa"/>
              <w:right w:w="100" w:type="dxa"/>
            </w:tcMar>
          </w:tcPr>
          <w:p w14:paraId="4817D6D0" w14:textId="77777777" w:rsidR="00D32939" w:rsidRPr="0080433A" w:rsidRDefault="00000000">
            <w:pPr>
              <w:rPr>
                <w:rFonts w:ascii="Open Sauce One" w:hAnsi="Open Sauce One"/>
              </w:rPr>
            </w:pPr>
            <w:r w:rsidRPr="0080433A">
              <w:rPr>
                <w:rFonts w:ascii="Open Sauce One" w:hAnsi="Open Sauce One"/>
                <w:sz w:val="19"/>
                <w:szCs w:val="19"/>
              </w:rPr>
              <w:t xml:space="preserve"> </w:t>
            </w:r>
          </w:p>
        </w:tc>
      </w:tr>
      <w:tr w:rsidR="00D32939" w:rsidRPr="0080433A" w14:paraId="437A5DAE" w14:textId="77777777">
        <w:tblPrEx>
          <w:tblCellMar>
            <w:top w:w="0" w:type="dxa"/>
            <w:bottom w:w="0" w:type="dxa"/>
          </w:tblCellMar>
        </w:tblPrEx>
        <w:trPr>
          <w:jc w:val="center"/>
        </w:trPr>
        <w:tc>
          <w:tcPr>
            <w:tcW w:w="3200" w:type="dxa"/>
            <w:tcBorders>
              <w:top w:val="none" w:sz="0" w:space="0" w:color="FFFFFF"/>
              <w:left w:val="none" w:sz="0" w:space="0" w:color="FFFFFF"/>
              <w:bottom w:val="none" w:sz="0" w:space="0" w:color="FFFFFF"/>
              <w:right w:val="none" w:sz="0" w:space="0" w:color="FFFFFF"/>
            </w:tcBorders>
            <w:tcMar>
              <w:top w:w="140" w:type="dxa"/>
              <w:left w:w="100" w:type="dxa"/>
              <w:bottom w:w="140" w:type="dxa"/>
              <w:right w:w="100" w:type="dxa"/>
            </w:tcMar>
          </w:tcPr>
          <w:p w14:paraId="5E6530EB" w14:textId="77777777" w:rsidR="00D32939" w:rsidRPr="0080433A" w:rsidRDefault="00000000">
            <w:pPr>
              <w:rPr>
                <w:rFonts w:ascii="Open Sauce One" w:hAnsi="Open Sauce One"/>
              </w:rPr>
            </w:pPr>
            <w:r w:rsidRPr="0080433A">
              <w:rPr>
                <w:rFonts w:ascii="Open Sauce One" w:hAnsi="Open Sauce One"/>
                <w:b/>
                <w:bCs/>
                <w:color w:val="5A5A5A"/>
                <w:spacing w:val="15"/>
                <w:sz w:val="16"/>
                <w:szCs w:val="16"/>
              </w:rPr>
              <w:t>AGGREGATE INVESTMENT AMOUNT</w:t>
            </w:r>
          </w:p>
        </w:tc>
        <w:tc>
          <w:tcPr>
            <w:tcW w:w="4000" w:type="dxa"/>
            <w:tcBorders>
              <w:top w:val="none" w:sz="0" w:space="0" w:color="FFFFFF"/>
              <w:left w:val="none" w:sz="0" w:space="0" w:color="FFFFFF"/>
              <w:bottom w:val="single" w:sz="4" w:space="0" w:color="C9C2DD"/>
              <w:right w:val="none" w:sz="0" w:space="0" w:color="FFFFFF"/>
            </w:tcBorders>
            <w:tcMar>
              <w:top w:w="140" w:type="dxa"/>
              <w:left w:w="100" w:type="dxa"/>
              <w:bottom w:w="140" w:type="dxa"/>
              <w:right w:w="100" w:type="dxa"/>
            </w:tcMar>
          </w:tcPr>
          <w:p w14:paraId="6B1298BC" w14:textId="77777777" w:rsidR="00D32939" w:rsidRPr="0080433A" w:rsidRDefault="00000000">
            <w:pPr>
              <w:rPr>
                <w:rFonts w:ascii="Open Sauce One" w:hAnsi="Open Sauce One"/>
              </w:rPr>
            </w:pPr>
            <w:r w:rsidRPr="0080433A">
              <w:rPr>
                <w:rFonts w:ascii="Open Sauce One" w:hAnsi="Open Sauce One"/>
                <w:sz w:val="19"/>
                <w:szCs w:val="19"/>
              </w:rPr>
              <w:t>Up to $[_______________]</w:t>
            </w:r>
          </w:p>
        </w:tc>
      </w:tr>
      <w:tr w:rsidR="00D32939" w:rsidRPr="0080433A" w14:paraId="6F74AFA5" w14:textId="77777777">
        <w:tblPrEx>
          <w:tblCellMar>
            <w:top w:w="0" w:type="dxa"/>
            <w:bottom w:w="0" w:type="dxa"/>
          </w:tblCellMar>
        </w:tblPrEx>
        <w:trPr>
          <w:jc w:val="center"/>
        </w:trPr>
        <w:tc>
          <w:tcPr>
            <w:tcW w:w="3200" w:type="dxa"/>
            <w:tcBorders>
              <w:top w:val="none" w:sz="0" w:space="0" w:color="FFFFFF"/>
              <w:left w:val="none" w:sz="0" w:space="0" w:color="FFFFFF"/>
              <w:bottom w:val="none" w:sz="0" w:space="0" w:color="FFFFFF"/>
              <w:right w:val="none" w:sz="0" w:space="0" w:color="FFFFFF"/>
            </w:tcBorders>
            <w:tcMar>
              <w:top w:w="140" w:type="dxa"/>
              <w:left w:w="100" w:type="dxa"/>
              <w:bottom w:w="140" w:type="dxa"/>
              <w:right w:w="100" w:type="dxa"/>
            </w:tcMar>
          </w:tcPr>
          <w:p w14:paraId="4868BFF1" w14:textId="77777777" w:rsidR="00D32939" w:rsidRPr="0080433A" w:rsidRDefault="00000000">
            <w:pPr>
              <w:rPr>
                <w:rFonts w:ascii="Open Sauce One" w:hAnsi="Open Sauce One"/>
              </w:rPr>
            </w:pPr>
            <w:r w:rsidRPr="0080433A">
              <w:rPr>
                <w:rFonts w:ascii="Open Sauce One" w:hAnsi="Open Sauce One"/>
                <w:b/>
                <w:bCs/>
                <w:color w:val="5A5A5A"/>
                <w:spacing w:val="15"/>
                <w:sz w:val="16"/>
                <w:szCs w:val="16"/>
              </w:rPr>
              <w:t>DATE</w:t>
            </w:r>
          </w:p>
        </w:tc>
        <w:tc>
          <w:tcPr>
            <w:tcW w:w="4000" w:type="dxa"/>
            <w:tcBorders>
              <w:top w:val="none" w:sz="0" w:space="0" w:color="FFFFFF"/>
              <w:left w:val="none" w:sz="0" w:space="0" w:color="FFFFFF"/>
              <w:bottom w:val="single" w:sz="4" w:space="0" w:color="C9C2DD"/>
              <w:right w:val="none" w:sz="0" w:space="0" w:color="FFFFFF"/>
            </w:tcBorders>
            <w:tcMar>
              <w:top w:w="140" w:type="dxa"/>
              <w:left w:w="100" w:type="dxa"/>
              <w:bottom w:w="140" w:type="dxa"/>
              <w:right w:w="100" w:type="dxa"/>
            </w:tcMar>
          </w:tcPr>
          <w:p w14:paraId="75985152" w14:textId="77777777" w:rsidR="00D32939" w:rsidRPr="0080433A" w:rsidRDefault="00000000">
            <w:pPr>
              <w:rPr>
                <w:rFonts w:ascii="Open Sauce One" w:hAnsi="Open Sauce One"/>
              </w:rPr>
            </w:pPr>
            <w:r w:rsidRPr="0080433A">
              <w:rPr>
                <w:rFonts w:ascii="Open Sauce One" w:hAnsi="Open Sauce One"/>
                <w:sz w:val="19"/>
                <w:szCs w:val="19"/>
              </w:rPr>
              <w:t>[_______________]</w:t>
            </w:r>
          </w:p>
        </w:tc>
      </w:tr>
    </w:tbl>
    <w:p w14:paraId="6A834CB1" w14:textId="77777777" w:rsidR="00D32939" w:rsidRPr="0080433A" w:rsidRDefault="00D32939">
      <w:pPr>
        <w:spacing w:after="40"/>
        <w:rPr>
          <w:rFonts w:ascii="Open Sauce One" w:hAnsi="Open Sauce One"/>
        </w:rPr>
      </w:pPr>
    </w:p>
    <w:p w14:paraId="4A2216F7" w14:textId="77777777" w:rsidR="00D32939" w:rsidRPr="0080433A" w:rsidRDefault="00D32939">
      <w:pPr>
        <w:spacing w:after="40"/>
        <w:rPr>
          <w:rFonts w:ascii="Open Sauce One" w:hAnsi="Open Sauce One"/>
        </w:rPr>
      </w:pPr>
    </w:p>
    <w:p w14:paraId="18D7D474" w14:textId="77777777" w:rsidR="00D32939" w:rsidRPr="0080433A" w:rsidRDefault="00000000">
      <w:pPr>
        <w:pBdr>
          <w:top w:val="single" w:sz="4" w:space="8" w:color="D9D3E8"/>
        </w:pBdr>
        <w:spacing w:before="500"/>
        <w:rPr>
          <w:rFonts w:ascii="Open Sauce One" w:hAnsi="Open Sauce One"/>
          <w:color w:val="EE0000"/>
        </w:rPr>
      </w:pPr>
      <w:r w:rsidRPr="0080433A">
        <w:rPr>
          <w:rFonts w:ascii="Open Sauce One" w:hAnsi="Open Sauce One"/>
          <w:i/>
          <w:iCs/>
          <w:color w:val="EE0000"/>
          <w:sz w:val="16"/>
          <w:szCs w:val="16"/>
        </w:rPr>
        <w:t>This document is a market-standard template provided for informational purposes only and does not constitute legal, tax, or financial advice. Qapita recommends that both companies and investors engage qualified independent legal counsel before executing any financing document. Bracketed placeholders [ ] must be completed and reviewed prior to signing.</w:t>
      </w:r>
    </w:p>
    <w:p w14:paraId="2AFE2E00" w14:textId="77777777" w:rsidR="00D32939" w:rsidRPr="0080433A" w:rsidRDefault="00000000">
      <w:pPr>
        <w:rPr>
          <w:rFonts w:ascii="Open Sauce One" w:hAnsi="Open Sauce One"/>
        </w:rPr>
      </w:pPr>
      <w:r w:rsidRPr="0080433A">
        <w:rPr>
          <w:rFonts w:ascii="Open Sauce One" w:hAnsi="Open Sauce One"/>
        </w:rPr>
        <w:br w:type="page"/>
      </w:r>
    </w:p>
    <w:p w14:paraId="743770E4" w14:textId="77777777" w:rsidR="00D32939" w:rsidRPr="0080433A" w:rsidRDefault="00000000">
      <w:pPr>
        <w:pStyle w:val="Heading1"/>
        <w:pBdr>
          <w:bottom w:val="single" w:sz="10" w:space="5" w:color="633DA5"/>
        </w:pBdr>
        <w:spacing w:before="260" w:after="160"/>
        <w:rPr>
          <w:rFonts w:ascii="Open Sauce One" w:hAnsi="Open Sauce One"/>
        </w:rPr>
      </w:pPr>
      <w:r w:rsidRPr="0080433A">
        <w:rPr>
          <w:rFonts w:ascii="Open Sauce One" w:eastAsia="Bookman Old Style" w:hAnsi="Open Sauce One" w:cs="Bookman Old Style"/>
          <w:b/>
          <w:bCs/>
          <w:color w:val="292876"/>
          <w:sz w:val="27"/>
          <w:szCs w:val="27"/>
        </w:rPr>
        <w:lastRenderedPageBreak/>
        <w:t>How to Use This Template</w:t>
      </w:r>
    </w:p>
    <w:p w14:paraId="0DF2D231" w14:textId="681823FB" w:rsidR="00D32939" w:rsidRPr="0080433A" w:rsidRDefault="00000000">
      <w:pPr>
        <w:spacing w:after="160" w:line="288" w:lineRule="auto"/>
        <w:jc w:val="both"/>
        <w:rPr>
          <w:rFonts w:ascii="Open Sauce One" w:hAnsi="Open Sauce One"/>
        </w:rPr>
      </w:pPr>
      <w:r w:rsidRPr="0080433A">
        <w:rPr>
          <w:rFonts w:ascii="Open Sauce One" w:hAnsi="Open Sauce One"/>
        </w:rPr>
        <w:t>This Term Sheet summarizes the principal economic and legal terms of a proposed convertible note financing by [COMPANY NAME] (the “Company”). It is structured in two parts, following the convention used by widely adopted convertible instrument term sheets: Part A sets out the investment terms and is expressly non-binding, while Part B contains a small number of provisions confidentiality, exclusivity, expenses, and governing law that bind the parties immediately upon signature, ahead of the long-form Convertible Note being negotiated and executed.</w:t>
      </w:r>
    </w:p>
    <w:p w14:paraId="377662EA" w14:textId="77777777" w:rsidR="00D32939" w:rsidRPr="0080433A" w:rsidRDefault="00000000">
      <w:pPr>
        <w:spacing w:after="160" w:line="288" w:lineRule="auto"/>
        <w:jc w:val="both"/>
        <w:rPr>
          <w:rFonts w:ascii="Open Sauce One" w:hAnsi="Open Sauce One"/>
        </w:rPr>
      </w:pPr>
      <w:r w:rsidRPr="0080433A">
        <w:rPr>
          <w:rFonts w:ascii="Open Sauce One" w:hAnsi="Open Sauce One"/>
        </w:rPr>
        <w:t>This structure mirrors the approach taken by Kindrik Partners’ KISS-style convertible note term sheet (used across Southeast Asia) and by the standard seed-stage convertible note term sheets published by Fenwick &amp; West and Practical Law for the US market, updated here to reflect 2026 US market terms and Delaware / Regulation D practice. Bracketed [placeholders] should be completed and every italicized drafting note reviewed by counsel before circulation.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D32939" w:rsidRPr="0080433A" w14:paraId="53E262E4" w14:textId="77777777">
        <w:tblPrEx>
          <w:tblCellMar>
            <w:top w:w="0" w:type="dxa"/>
            <w:bottom w:w="0" w:type="dxa"/>
          </w:tblCellMar>
        </w:tblPrEx>
        <w:tc>
          <w:tcPr>
            <w:tcW w:w="9360" w:type="dxa"/>
            <w:tcBorders>
              <w:top w:val="single" w:sz="4" w:space="0" w:color="222222"/>
              <w:left w:val="single" w:sz="28" w:space="0" w:color="B72894"/>
              <w:bottom w:val="single" w:sz="4" w:space="0" w:color="222222"/>
              <w:right w:val="single" w:sz="4" w:space="0" w:color="222222"/>
            </w:tcBorders>
            <w:shd w:val="clear" w:color="auto" w:fill="FFF9E9"/>
            <w:tcMar>
              <w:top w:w="160" w:type="dxa"/>
              <w:left w:w="220" w:type="dxa"/>
              <w:bottom w:w="160" w:type="dxa"/>
              <w:right w:w="220" w:type="dxa"/>
            </w:tcMar>
          </w:tcPr>
          <w:p w14:paraId="53BD7EED" w14:textId="77777777" w:rsidR="00D32939" w:rsidRPr="0080433A" w:rsidRDefault="00000000">
            <w:pPr>
              <w:spacing w:after="60"/>
              <w:rPr>
                <w:rFonts w:ascii="Open Sauce One" w:hAnsi="Open Sauce One"/>
              </w:rPr>
            </w:pPr>
            <w:r w:rsidRPr="0080433A">
              <w:rPr>
                <w:rFonts w:ascii="Open Sauce One" w:eastAsia="Bookman Old Style" w:hAnsi="Open Sauce One" w:cs="Bookman Old Style"/>
                <w:b/>
                <w:bCs/>
                <w:color w:val="292876"/>
                <w:sz w:val="17"/>
                <w:szCs w:val="17"/>
              </w:rPr>
              <w:t>SEC / REGULATORY NOTE</w:t>
            </w:r>
          </w:p>
          <w:p w14:paraId="27BB34B9" w14:textId="3A29E48A" w:rsidR="00D32939" w:rsidRPr="0080433A" w:rsidRDefault="00000000">
            <w:pPr>
              <w:spacing w:line="264" w:lineRule="auto"/>
              <w:rPr>
                <w:rFonts w:ascii="Open Sauce One" w:hAnsi="Open Sauce One"/>
              </w:rPr>
            </w:pPr>
            <w:r w:rsidRPr="0080433A">
              <w:rPr>
                <w:rFonts w:ascii="Open Sauce One" w:hAnsi="Open Sauce One"/>
                <w:i/>
                <w:iCs/>
                <w:sz w:val="18"/>
                <w:szCs w:val="18"/>
              </w:rPr>
              <w:t>A convertible note term sheet is customarily non-binding as to economic terms, letting the parties negotiate the long-form Note without either side being locked in. Only Part B confidentiality, exclusivity, and similar “housekeeping” terms is intended to be enforceable. The Company should still treat the agreed terms in Part A as the effective deal: re-trading terms after signature, even though technically permitted, damages credibility with investors and can delay or derail closing.</w:t>
            </w:r>
          </w:p>
        </w:tc>
      </w:tr>
    </w:tbl>
    <w:p w14:paraId="2EF89BD2" w14:textId="77777777" w:rsidR="00D32939" w:rsidRPr="0080433A" w:rsidRDefault="00D32939">
      <w:pPr>
        <w:spacing w:after="40"/>
        <w:rPr>
          <w:rFonts w:ascii="Open Sauce One" w:hAnsi="Open Sauce One"/>
        </w:rPr>
      </w:pPr>
    </w:p>
    <w:p w14:paraId="24BC617A" w14:textId="77777777" w:rsidR="0080433A" w:rsidRDefault="0080433A">
      <w:pPr>
        <w:pStyle w:val="Heading1"/>
        <w:pBdr>
          <w:bottom w:val="single" w:sz="10" w:space="5" w:color="633DA5"/>
        </w:pBdr>
        <w:spacing w:before="260" w:after="160"/>
        <w:rPr>
          <w:rFonts w:ascii="Open Sauce One" w:eastAsia="Bookman Old Style" w:hAnsi="Open Sauce One" w:cs="Bookman Old Style"/>
          <w:b/>
          <w:bCs/>
          <w:color w:val="292876"/>
          <w:sz w:val="27"/>
          <w:szCs w:val="27"/>
        </w:rPr>
      </w:pPr>
    </w:p>
    <w:p w14:paraId="5A532ED9" w14:textId="77777777" w:rsidR="0080433A" w:rsidRDefault="0080433A">
      <w:pPr>
        <w:pStyle w:val="Heading1"/>
        <w:pBdr>
          <w:bottom w:val="single" w:sz="10" w:space="5" w:color="633DA5"/>
        </w:pBdr>
        <w:spacing w:before="260" w:after="160"/>
        <w:rPr>
          <w:rFonts w:ascii="Open Sauce One" w:eastAsia="Bookman Old Style" w:hAnsi="Open Sauce One" w:cs="Bookman Old Style"/>
          <w:b/>
          <w:bCs/>
          <w:color w:val="292876"/>
          <w:sz w:val="27"/>
          <w:szCs w:val="27"/>
        </w:rPr>
      </w:pPr>
    </w:p>
    <w:p w14:paraId="5E450BDC" w14:textId="77777777" w:rsidR="0080433A" w:rsidRDefault="0080433A">
      <w:pPr>
        <w:pStyle w:val="Heading1"/>
        <w:pBdr>
          <w:bottom w:val="single" w:sz="10" w:space="5" w:color="633DA5"/>
        </w:pBdr>
        <w:spacing w:before="260" w:after="160"/>
        <w:rPr>
          <w:rFonts w:ascii="Open Sauce One" w:eastAsia="Bookman Old Style" w:hAnsi="Open Sauce One" w:cs="Bookman Old Style"/>
          <w:b/>
          <w:bCs/>
          <w:color w:val="292876"/>
          <w:sz w:val="27"/>
          <w:szCs w:val="27"/>
        </w:rPr>
      </w:pPr>
    </w:p>
    <w:p w14:paraId="7CC47C81" w14:textId="77777777" w:rsidR="0080433A" w:rsidRDefault="0080433A">
      <w:pPr>
        <w:pStyle w:val="Heading1"/>
        <w:pBdr>
          <w:bottom w:val="single" w:sz="10" w:space="5" w:color="633DA5"/>
        </w:pBdr>
        <w:spacing w:before="260" w:after="160"/>
        <w:rPr>
          <w:rFonts w:ascii="Open Sauce One" w:eastAsia="Bookman Old Style" w:hAnsi="Open Sauce One" w:cs="Bookman Old Style"/>
          <w:b/>
          <w:bCs/>
          <w:color w:val="292876"/>
          <w:sz w:val="27"/>
          <w:szCs w:val="27"/>
        </w:rPr>
      </w:pPr>
    </w:p>
    <w:p w14:paraId="4C9F5686" w14:textId="77777777" w:rsidR="0080433A" w:rsidRDefault="0080433A">
      <w:pPr>
        <w:pStyle w:val="Heading1"/>
        <w:pBdr>
          <w:bottom w:val="single" w:sz="10" w:space="5" w:color="633DA5"/>
        </w:pBdr>
        <w:spacing w:before="260" w:after="160"/>
        <w:rPr>
          <w:rFonts w:ascii="Open Sauce One" w:eastAsia="Bookman Old Style" w:hAnsi="Open Sauce One" w:cs="Bookman Old Style"/>
          <w:b/>
          <w:bCs/>
          <w:color w:val="292876"/>
          <w:sz w:val="27"/>
          <w:szCs w:val="27"/>
        </w:rPr>
      </w:pPr>
    </w:p>
    <w:p w14:paraId="51FD79B7" w14:textId="77777777" w:rsidR="0080433A" w:rsidRDefault="0080433A">
      <w:pPr>
        <w:pStyle w:val="Heading1"/>
        <w:pBdr>
          <w:bottom w:val="single" w:sz="10" w:space="5" w:color="633DA5"/>
        </w:pBdr>
        <w:spacing w:before="260" w:after="160"/>
        <w:rPr>
          <w:rFonts w:ascii="Open Sauce One" w:eastAsia="Bookman Old Style" w:hAnsi="Open Sauce One" w:cs="Bookman Old Style"/>
          <w:b/>
          <w:bCs/>
          <w:color w:val="292876"/>
          <w:sz w:val="27"/>
          <w:szCs w:val="27"/>
        </w:rPr>
      </w:pPr>
    </w:p>
    <w:p w14:paraId="3F7707EE" w14:textId="77777777" w:rsidR="0080433A" w:rsidRDefault="0080433A">
      <w:pPr>
        <w:pStyle w:val="Heading1"/>
        <w:pBdr>
          <w:bottom w:val="single" w:sz="10" w:space="5" w:color="633DA5"/>
        </w:pBdr>
        <w:spacing w:before="260" w:after="160"/>
        <w:rPr>
          <w:rFonts w:ascii="Open Sauce One" w:eastAsia="Bookman Old Style" w:hAnsi="Open Sauce One" w:cs="Bookman Old Style"/>
          <w:b/>
          <w:bCs/>
          <w:color w:val="292876"/>
          <w:sz w:val="27"/>
          <w:szCs w:val="27"/>
        </w:rPr>
      </w:pPr>
    </w:p>
    <w:p w14:paraId="1EB31A58" w14:textId="77777777" w:rsidR="0080433A" w:rsidRDefault="0080433A">
      <w:pPr>
        <w:pStyle w:val="Heading1"/>
        <w:pBdr>
          <w:bottom w:val="single" w:sz="10" w:space="5" w:color="633DA5"/>
        </w:pBdr>
        <w:spacing w:before="260" w:after="160"/>
        <w:rPr>
          <w:rFonts w:ascii="Open Sauce One" w:eastAsia="Bookman Old Style" w:hAnsi="Open Sauce One" w:cs="Bookman Old Style"/>
          <w:b/>
          <w:bCs/>
          <w:color w:val="292876"/>
          <w:sz w:val="27"/>
          <w:szCs w:val="27"/>
        </w:rPr>
      </w:pPr>
    </w:p>
    <w:p w14:paraId="06BDDFF1" w14:textId="77777777" w:rsidR="0080433A" w:rsidRDefault="0080433A">
      <w:pPr>
        <w:pStyle w:val="Heading1"/>
        <w:pBdr>
          <w:bottom w:val="single" w:sz="10" w:space="5" w:color="633DA5"/>
        </w:pBdr>
        <w:spacing w:before="260" w:after="160"/>
        <w:rPr>
          <w:rFonts w:ascii="Open Sauce One" w:eastAsia="Bookman Old Style" w:hAnsi="Open Sauce One" w:cs="Bookman Old Style"/>
          <w:b/>
          <w:bCs/>
          <w:color w:val="292876"/>
          <w:sz w:val="27"/>
          <w:szCs w:val="27"/>
        </w:rPr>
      </w:pPr>
    </w:p>
    <w:p w14:paraId="15CBB39B" w14:textId="77777777" w:rsidR="0080433A" w:rsidRDefault="0080433A">
      <w:pPr>
        <w:pStyle w:val="Heading1"/>
        <w:pBdr>
          <w:bottom w:val="single" w:sz="10" w:space="5" w:color="633DA5"/>
        </w:pBdr>
        <w:spacing w:before="260" w:after="160"/>
        <w:rPr>
          <w:rFonts w:ascii="Open Sauce One" w:eastAsia="Bookman Old Style" w:hAnsi="Open Sauce One" w:cs="Bookman Old Style"/>
          <w:b/>
          <w:bCs/>
          <w:color w:val="292876"/>
          <w:sz w:val="27"/>
          <w:szCs w:val="27"/>
        </w:rPr>
      </w:pPr>
    </w:p>
    <w:p w14:paraId="589F3EA6" w14:textId="77777777" w:rsidR="0080433A" w:rsidRDefault="0080433A">
      <w:pPr>
        <w:pStyle w:val="Heading1"/>
        <w:pBdr>
          <w:bottom w:val="single" w:sz="10" w:space="5" w:color="633DA5"/>
        </w:pBdr>
        <w:spacing w:before="260" w:after="160"/>
        <w:rPr>
          <w:rFonts w:ascii="Open Sauce One" w:eastAsia="Bookman Old Style" w:hAnsi="Open Sauce One" w:cs="Bookman Old Style"/>
          <w:b/>
          <w:bCs/>
          <w:color w:val="292876"/>
          <w:sz w:val="27"/>
          <w:szCs w:val="27"/>
        </w:rPr>
      </w:pPr>
    </w:p>
    <w:p w14:paraId="7AAEEBE9" w14:textId="77777777" w:rsidR="0080433A" w:rsidRDefault="0080433A">
      <w:pPr>
        <w:pStyle w:val="Heading1"/>
        <w:pBdr>
          <w:bottom w:val="single" w:sz="10" w:space="5" w:color="633DA5"/>
        </w:pBdr>
        <w:spacing w:before="260" w:after="160"/>
        <w:rPr>
          <w:rFonts w:ascii="Open Sauce One" w:eastAsia="Bookman Old Style" w:hAnsi="Open Sauce One" w:cs="Bookman Old Style"/>
          <w:b/>
          <w:bCs/>
          <w:color w:val="292876"/>
          <w:sz w:val="27"/>
          <w:szCs w:val="27"/>
        </w:rPr>
      </w:pPr>
    </w:p>
    <w:p w14:paraId="127E9CB6" w14:textId="70334A1B" w:rsidR="00D32939" w:rsidRPr="0080433A" w:rsidRDefault="00000000">
      <w:pPr>
        <w:pStyle w:val="Heading1"/>
        <w:pBdr>
          <w:bottom w:val="single" w:sz="10" w:space="5" w:color="633DA5"/>
        </w:pBdr>
        <w:spacing w:before="260" w:after="160"/>
        <w:rPr>
          <w:rFonts w:ascii="Open Sauce One" w:hAnsi="Open Sauce One"/>
        </w:rPr>
      </w:pPr>
      <w:r w:rsidRPr="0080433A">
        <w:rPr>
          <w:rFonts w:ascii="Open Sauce One" w:eastAsia="Bookman Old Style" w:hAnsi="Open Sauce One" w:cs="Bookman Old Style"/>
          <w:b/>
          <w:bCs/>
          <w:color w:val="292876"/>
          <w:sz w:val="27"/>
          <w:szCs w:val="27"/>
        </w:rPr>
        <w:lastRenderedPageBreak/>
        <w:t>Convertible Note Term Sheet</w:t>
      </w:r>
    </w:p>
    <w:p w14:paraId="1E4EA84B" w14:textId="77777777" w:rsidR="00D32939" w:rsidRPr="0080433A" w:rsidRDefault="00000000">
      <w:pPr>
        <w:spacing w:after="160" w:line="288" w:lineRule="auto"/>
        <w:jc w:val="both"/>
        <w:rPr>
          <w:rFonts w:ascii="Open Sauce One" w:hAnsi="Open Sauce One"/>
        </w:rPr>
      </w:pPr>
      <w:r w:rsidRPr="0080433A">
        <w:rPr>
          <w:rFonts w:ascii="Open Sauce One" w:hAnsi="Open Sauce One"/>
        </w:rPr>
        <w:t>This term sheet (this “Term Sheet”) summarizes the principal terms of a proposed investment in [COMPANY NAME], a [Delaware] corporation (the “Company”), by way of one or more convertible promissory notes (the “Notes”). Except for the provisions of Part B, which are binding upon execution by the parties, this Term Sheet is not legally binding, and there shall be no obligation on the part of any party to issue, purchase, or subscribe for any Notes unless and until definitive documentation is negotiated, executed, and delivered by all parties.</w:t>
      </w:r>
    </w:p>
    <w:p w14:paraId="4A9B053C" w14:textId="77777777" w:rsidR="00D32939" w:rsidRPr="0080433A" w:rsidRDefault="00000000">
      <w:pPr>
        <w:pStyle w:val="Heading1"/>
        <w:pBdr>
          <w:bottom w:val="single" w:sz="10" w:space="5" w:color="633DA5"/>
        </w:pBdr>
        <w:spacing w:before="260" w:after="160"/>
        <w:rPr>
          <w:rFonts w:ascii="Open Sauce One" w:hAnsi="Open Sauce One"/>
        </w:rPr>
      </w:pPr>
      <w:r w:rsidRPr="0080433A">
        <w:rPr>
          <w:rFonts w:ascii="Open Sauce One" w:eastAsia="Bookman Old Style" w:hAnsi="Open Sauce One" w:cs="Bookman Old Style"/>
          <w:b/>
          <w:bCs/>
          <w:color w:val="292876"/>
          <w:sz w:val="27"/>
          <w:szCs w:val="27"/>
        </w:rPr>
        <w:t>Part A — Investment Terms (Non-Binding)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960"/>
      </w:tblGrid>
      <w:tr w:rsidR="00D32939" w:rsidRPr="0080433A" w14:paraId="30C7F114" w14:textId="77777777">
        <w:tblPrEx>
          <w:tblCellMar>
            <w:top w:w="0" w:type="dxa"/>
            <w:bottom w:w="0" w:type="dxa"/>
          </w:tblCellMar>
        </w:tblPrEx>
        <w:tc>
          <w:tcPr>
            <w:tcW w:w="2400" w:type="dxa"/>
            <w:tcBorders>
              <w:top w:val="single" w:sz="4" w:space="0" w:color="D9D3E8"/>
              <w:left w:val="single" w:sz="4" w:space="0" w:color="D9D3E8"/>
              <w:bottom w:val="single" w:sz="4" w:space="0" w:color="D9D3E8"/>
              <w:right w:val="single" w:sz="4" w:space="0" w:color="D9D3E8"/>
            </w:tcBorders>
            <w:shd w:val="clear" w:color="auto" w:fill="EFEAF7"/>
            <w:tcMar>
              <w:top w:w="120" w:type="dxa"/>
              <w:left w:w="140" w:type="dxa"/>
              <w:bottom w:w="120" w:type="dxa"/>
              <w:right w:w="140" w:type="dxa"/>
            </w:tcMar>
            <w:vAlign w:val="center"/>
          </w:tcPr>
          <w:p w14:paraId="3824AD48" w14:textId="77777777" w:rsidR="00D32939" w:rsidRPr="0080433A" w:rsidRDefault="00000000">
            <w:pPr>
              <w:rPr>
                <w:rFonts w:ascii="Open Sauce One" w:hAnsi="Open Sauce One"/>
              </w:rPr>
            </w:pPr>
            <w:r w:rsidRPr="0080433A">
              <w:rPr>
                <w:rFonts w:ascii="Open Sauce One" w:eastAsia="Bookman Old Style" w:hAnsi="Open Sauce One" w:cs="Bookman Old Style"/>
                <w:b/>
                <w:bCs/>
                <w:color w:val="292876"/>
                <w:sz w:val="18"/>
                <w:szCs w:val="18"/>
              </w:rPr>
              <w:t>Company</w:t>
            </w:r>
          </w:p>
        </w:tc>
        <w:tc>
          <w:tcPr>
            <w:tcW w:w="6960" w:type="dxa"/>
            <w:tcBorders>
              <w:top w:val="single" w:sz="4" w:space="0" w:color="D9D3E8"/>
              <w:left w:val="single" w:sz="4" w:space="0" w:color="D9D3E8"/>
              <w:bottom w:val="single" w:sz="4" w:space="0" w:color="D9D3E8"/>
              <w:right w:val="single" w:sz="4" w:space="0" w:color="D9D3E8"/>
            </w:tcBorders>
            <w:shd w:val="clear" w:color="auto" w:fill="FFFFFF"/>
            <w:tcMar>
              <w:top w:w="120" w:type="dxa"/>
              <w:left w:w="160" w:type="dxa"/>
              <w:bottom w:w="120" w:type="dxa"/>
              <w:right w:w="160" w:type="dxa"/>
            </w:tcMar>
            <w:vAlign w:val="center"/>
          </w:tcPr>
          <w:p w14:paraId="72187EDE" w14:textId="77777777" w:rsidR="00D32939" w:rsidRPr="0080433A" w:rsidRDefault="00000000">
            <w:pPr>
              <w:rPr>
                <w:rFonts w:ascii="Open Sauce One" w:hAnsi="Open Sauce One"/>
              </w:rPr>
            </w:pPr>
            <w:r w:rsidRPr="0080433A">
              <w:rPr>
                <w:rFonts w:ascii="Open Sauce One" w:hAnsi="Open Sauce One"/>
              </w:rPr>
              <w:t>[COMPANY NAME], a [Delaware] corporation.</w:t>
            </w:r>
          </w:p>
        </w:tc>
      </w:tr>
      <w:tr w:rsidR="00D32939" w:rsidRPr="0080433A" w14:paraId="3BF86600" w14:textId="77777777">
        <w:tblPrEx>
          <w:tblCellMar>
            <w:top w:w="0" w:type="dxa"/>
            <w:bottom w:w="0" w:type="dxa"/>
          </w:tblCellMar>
        </w:tblPrEx>
        <w:tc>
          <w:tcPr>
            <w:tcW w:w="2400" w:type="dxa"/>
            <w:tcBorders>
              <w:top w:val="single" w:sz="4" w:space="0" w:color="D9D3E8"/>
              <w:left w:val="single" w:sz="4" w:space="0" w:color="D9D3E8"/>
              <w:bottom w:val="single" w:sz="4" w:space="0" w:color="D9D3E8"/>
              <w:right w:val="single" w:sz="4" w:space="0" w:color="D9D3E8"/>
            </w:tcBorders>
            <w:shd w:val="clear" w:color="auto" w:fill="FBF8F2"/>
            <w:tcMar>
              <w:top w:w="120" w:type="dxa"/>
              <w:left w:w="140" w:type="dxa"/>
              <w:bottom w:w="120" w:type="dxa"/>
              <w:right w:w="140" w:type="dxa"/>
            </w:tcMar>
            <w:vAlign w:val="center"/>
          </w:tcPr>
          <w:p w14:paraId="01784B6F" w14:textId="77777777" w:rsidR="00D32939" w:rsidRPr="0080433A" w:rsidRDefault="00000000">
            <w:pPr>
              <w:rPr>
                <w:rFonts w:ascii="Open Sauce One" w:hAnsi="Open Sauce One"/>
              </w:rPr>
            </w:pPr>
            <w:r w:rsidRPr="0080433A">
              <w:rPr>
                <w:rFonts w:ascii="Open Sauce One" w:eastAsia="Bookman Old Style" w:hAnsi="Open Sauce One" w:cs="Bookman Old Style"/>
                <w:b/>
                <w:bCs/>
                <w:color w:val="292876"/>
                <w:sz w:val="18"/>
                <w:szCs w:val="18"/>
              </w:rPr>
              <w:t>Business</w:t>
            </w:r>
          </w:p>
        </w:tc>
        <w:tc>
          <w:tcPr>
            <w:tcW w:w="6960" w:type="dxa"/>
            <w:tcBorders>
              <w:top w:val="single" w:sz="4" w:space="0" w:color="D9D3E8"/>
              <w:left w:val="single" w:sz="4" w:space="0" w:color="D9D3E8"/>
              <w:bottom w:val="single" w:sz="4" w:space="0" w:color="D9D3E8"/>
              <w:right w:val="single" w:sz="4" w:space="0" w:color="D9D3E8"/>
            </w:tcBorders>
            <w:shd w:val="clear" w:color="auto" w:fill="FFFFFF"/>
            <w:tcMar>
              <w:top w:w="120" w:type="dxa"/>
              <w:left w:w="160" w:type="dxa"/>
              <w:bottom w:w="120" w:type="dxa"/>
              <w:right w:w="160" w:type="dxa"/>
            </w:tcMar>
            <w:vAlign w:val="center"/>
          </w:tcPr>
          <w:p w14:paraId="7EF29984" w14:textId="77777777" w:rsidR="00D32939" w:rsidRPr="0080433A" w:rsidRDefault="00000000">
            <w:pPr>
              <w:rPr>
                <w:rFonts w:ascii="Open Sauce One" w:hAnsi="Open Sauce One"/>
              </w:rPr>
            </w:pPr>
            <w:r w:rsidRPr="0080433A">
              <w:rPr>
                <w:rFonts w:ascii="Open Sauce One" w:hAnsi="Open Sauce One"/>
              </w:rPr>
              <w:t>[Brief description of the Company’s business.]</w:t>
            </w:r>
          </w:p>
        </w:tc>
      </w:tr>
      <w:tr w:rsidR="00D32939" w:rsidRPr="0080433A" w14:paraId="7C95625B" w14:textId="77777777">
        <w:tblPrEx>
          <w:tblCellMar>
            <w:top w:w="0" w:type="dxa"/>
            <w:bottom w:w="0" w:type="dxa"/>
          </w:tblCellMar>
        </w:tblPrEx>
        <w:tc>
          <w:tcPr>
            <w:tcW w:w="2400" w:type="dxa"/>
            <w:tcBorders>
              <w:top w:val="single" w:sz="4" w:space="0" w:color="D9D3E8"/>
              <w:left w:val="single" w:sz="4" w:space="0" w:color="D9D3E8"/>
              <w:bottom w:val="single" w:sz="4" w:space="0" w:color="D9D3E8"/>
              <w:right w:val="single" w:sz="4" w:space="0" w:color="D9D3E8"/>
            </w:tcBorders>
            <w:shd w:val="clear" w:color="auto" w:fill="EFEAF7"/>
            <w:tcMar>
              <w:top w:w="120" w:type="dxa"/>
              <w:left w:w="140" w:type="dxa"/>
              <w:bottom w:w="120" w:type="dxa"/>
              <w:right w:w="140" w:type="dxa"/>
            </w:tcMar>
            <w:vAlign w:val="center"/>
          </w:tcPr>
          <w:p w14:paraId="436DD58E" w14:textId="77777777" w:rsidR="00D32939" w:rsidRPr="0080433A" w:rsidRDefault="00000000">
            <w:pPr>
              <w:rPr>
                <w:rFonts w:ascii="Open Sauce One" w:hAnsi="Open Sauce One"/>
              </w:rPr>
            </w:pPr>
            <w:r w:rsidRPr="0080433A">
              <w:rPr>
                <w:rFonts w:ascii="Open Sauce One" w:eastAsia="Bookman Old Style" w:hAnsi="Open Sauce One" w:cs="Bookman Old Style"/>
                <w:b/>
                <w:bCs/>
                <w:color w:val="292876"/>
                <w:sz w:val="18"/>
                <w:szCs w:val="18"/>
              </w:rPr>
              <w:t>Investor(s)</w:t>
            </w:r>
          </w:p>
        </w:tc>
        <w:tc>
          <w:tcPr>
            <w:tcW w:w="6960" w:type="dxa"/>
            <w:tcBorders>
              <w:top w:val="single" w:sz="4" w:space="0" w:color="D9D3E8"/>
              <w:left w:val="single" w:sz="4" w:space="0" w:color="D9D3E8"/>
              <w:bottom w:val="single" w:sz="4" w:space="0" w:color="D9D3E8"/>
              <w:right w:val="single" w:sz="4" w:space="0" w:color="D9D3E8"/>
            </w:tcBorders>
            <w:shd w:val="clear" w:color="auto" w:fill="FFFFFF"/>
            <w:tcMar>
              <w:top w:w="120" w:type="dxa"/>
              <w:left w:w="160" w:type="dxa"/>
              <w:bottom w:w="120" w:type="dxa"/>
              <w:right w:w="160" w:type="dxa"/>
            </w:tcMar>
            <w:vAlign w:val="center"/>
          </w:tcPr>
          <w:p w14:paraId="67A69455" w14:textId="77777777" w:rsidR="00D32939" w:rsidRPr="0080433A" w:rsidRDefault="00000000">
            <w:pPr>
              <w:rPr>
                <w:rFonts w:ascii="Open Sauce One" w:hAnsi="Open Sauce One"/>
              </w:rPr>
            </w:pPr>
            <w:r w:rsidRPr="0080433A">
              <w:rPr>
                <w:rFonts w:ascii="Open Sauce One" w:hAnsi="Open Sauce One"/>
              </w:rPr>
              <w:t>[Name(s) of investor(s) executing this Term Sheet] and any other investors admitted by the Company on the same terms (collectively, the “Investors”).</w:t>
            </w:r>
          </w:p>
        </w:tc>
      </w:tr>
      <w:tr w:rsidR="00D32939" w:rsidRPr="0080433A" w14:paraId="2A07B5E1" w14:textId="77777777">
        <w:tblPrEx>
          <w:tblCellMar>
            <w:top w:w="0" w:type="dxa"/>
            <w:bottom w:w="0" w:type="dxa"/>
          </w:tblCellMar>
        </w:tblPrEx>
        <w:tc>
          <w:tcPr>
            <w:tcW w:w="2400" w:type="dxa"/>
            <w:tcBorders>
              <w:top w:val="single" w:sz="4" w:space="0" w:color="D9D3E8"/>
              <w:left w:val="single" w:sz="4" w:space="0" w:color="D9D3E8"/>
              <w:bottom w:val="single" w:sz="4" w:space="0" w:color="D9D3E8"/>
              <w:right w:val="single" w:sz="4" w:space="0" w:color="D9D3E8"/>
            </w:tcBorders>
            <w:shd w:val="clear" w:color="auto" w:fill="FBF8F2"/>
            <w:tcMar>
              <w:top w:w="120" w:type="dxa"/>
              <w:left w:w="140" w:type="dxa"/>
              <w:bottom w:w="120" w:type="dxa"/>
              <w:right w:w="140" w:type="dxa"/>
            </w:tcMar>
            <w:vAlign w:val="center"/>
          </w:tcPr>
          <w:p w14:paraId="09EB4954" w14:textId="77777777" w:rsidR="00D32939" w:rsidRPr="0080433A" w:rsidRDefault="00000000">
            <w:pPr>
              <w:rPr>
                <w:rFonts w:ascii="Open Sauce One" w:hAnsi="Open Sauce One"/>
              </w:rPr>
            </w:pPr>
            <w:r w:rsidRPr="0080433A">
              <w:rPr>
                <w:rFonts w:ascii="Open Sauce One" w:eastAsia="Bookman Old Style" w:hAnsi="Open Sauce One" w:cs="Bookman Old Style"/>
                <w:b/>
                <w:bCs/>
                <w:color w:val="292876"/>
                <w:sz w:val="18"/>
                <w:szCs w:val="18"/>
              </w:rPr>
              <w:t>Instrument</w:t>
            </w:r>
          </w:p>
        </w:tc>
        <w:tc>
          <w:tcPr>
            <w:tcW w:w="6960" w:type="dxa"/>
            <w:tcBorders>
              <w:top w:val="single" w:sz="4" w:space="0" w:color="D9D3E8"/>
              <w:left w:val="single" w:sz="4" w:space="0" w:color="D9D3E8"/>
              <w:bottom w:val="single" w:sz="4" w:space="0" w:color="D9D3E8"/>
              <w:right w:val="single" w:sz="4" w:space="0" w:color="D9D3E8"/>
            </w:tcBorders>
            <w:shd w:val="clear" w:color="auto" w:fill="FFFFFF"/>
            <w:tcMar>
              <w:top w:w="120" w:type="dxa"/>
              <w:left w:w="160" w:type="dxa"/>
              <w:bottom w:w="120" w:type="dxa"/>
              <w:right w:w="160" w:type="dxa"/>
            </w:tcMar>
            <w:vAlign w:val="center"/>
          </w:tcPr>
          <w:p w14:paraId="2268D031" w14:textId="77777777" w:rsidR="00D32939" w:rsidRPr="0080433A" w:rsidRDefault="00000000">
            <w:pPr>
              <w:rPr>
                <w:rFonts w:ascii="Open Sauce One" w:hAnsi="Open Sauce One"/>
              </w:rPr>
            </w:pPr>
            <w:r w:rsidRPr="0080433A">
              <w:rPr>
                <w:rFonts w:ascii="Open Sauce One" w:hAnsi="Open Sauce One"/>
              </w:rPr>
              <w:t>Convertible promissory notes (the “Notes”) issued pursuant to a Convertible Note Purchase Agreement and individual Notes in the form to be prepared by the Company’s counsel, substantially consistent with this Term Sheet.</w:t>
            </w:r>
          </w:p>
        </w:tc>
      </w:tr>
      <w:tr w:rsidR="00D32939" w:rsidRPr="0080433A" w14:paraId="7BFAF3F7" w14:textId="77777777">
        <w:tblPrEx>
          <w:tblCellMar>
            <w:top w:w="0" w:type="dxa"/>
            <w:bottom w:w="0" w:type="dxa"/>
          </w:tblCellMar>
        </w:tblPrEx>
        <w:tc>
          <w:tcPr>
            <w:tcW w:w="2400" w:type="dxa"/>
            <w:tcBorders>
              <w:top w:val="single" w:sz="4" w:space="0" w:color="D9D3E8"/>
              <w:left w:val="single" w:sz="4" w:space="0" w:color="D9D3E8"/>
              <w:bottom w:val="single" w:sz="4" w:space="0" w:color="D9D3E8"/>
              <w:right w:val="single" w:sz="4" w:space="0" w:color="D9D3E8"/>
            </w:tcBorders>
            <w:shd w:val="clear" w:color="auto" w:fill="EFEAF7"/>
            <w:tcMar>
              <w:top w:w="120" w:type="dxa"/>
              <w:left w:w="140" w:type="dxa"/>
              <w:bottom w:w="120" w:type="dxa"/>
              <w:right w:w="140" w:type="dxa"/>
            </w:tcMar>
            <w:vAlign w:val="center"/>
          </w:tcPr>
          <w:p w14:paraId="04D9368F" w14:textId="77777777" w:rsidR="00D32939" w:rsidRPr="0080433A" w:rsidRDefault="00000000">
            <w:pPr>
              <w:rPr>
                <w:rFonts w:ascii="Open Sauce One" w:hAnsi="Open Sauce One"/>
              </w:rPr>
            </w:pPr>
            <w:r w:rsidRPr="0080433A">
              <w:rPr>
                <w:rFonts w:ascii="Open Sauce One" w:eastAsia="Bookman Old Style" w:hAnsi="Open Sauce One" w:cs="Bookman Old Style"/>
                <w:b/>
                <w:bCs/>
                <w:color w:val="292876"/>
                <w:sz w:val="18"/>
                <w:szCs w:val="18"/>
              </w:rPr>
              <w:t>Investment Amount</w:t>
            </w:r>
          </w:p>
        </w:tc>
        <w:tc>
          <w:tcPr>
            <w:tcW w:w="6960" w:type="dxa"/>
            <w:tcBorders>
              <w:top w:val="single" w:sz="4" w:space="0" w:color="D9D3E8"/>
              <w:left w:val="single" w:sz="4" w:space="0" w:color="D9D3E8"/>
              <w:bottom w:val="single" w:sz="4" w:space="0" w:color="D9D3E8"/>
              <w:right w:val="single" w:sz="4" w:space="0" w:color="D9D3E8"/>
            </w:tcBorders>
            <w:shd w:val="clear" w:color="auto" w:fill="FFFFFF"/>
            <w:tcMar>
              <w:top w:w="120" w:type="dxa"/>
              <w:left w:w="160" w:type="dxa"/>
              <w:bottom w:w="120" w:type="dxa"/>
              <w:right w:w="160" w:type="dxa"/>
            </w:tcMar>
            <w:vAlign w:val="center"/>
          </w:tcPr>
          <w:p w14:paraId="1C0EB9CF" w14:textId="77777777" w:rsidR="00D32939" w:rsidRPr="0080433A" w:rsidRDefault="00000000">
            <w:pPr>
              <w:rPr>
                <w:rFonts w:ascii="Open Sauce One" w:hAnsi="Open Sauce One"/>
              </w:rPr>
            </w:pPr>
            <w:r w:rsidRPr="0080433A">
              <w:rPr>
                <w:rFonts w:ascii="Open Sauce One" w:hAnsi="Open Sauce One"/>
              </w:rPr>
              <w:t>Up to $[_______________] in the aggregate (the “Investment Amount”), which may be drawn down in one or more closings on or before [OUTSIDE DATE].</w:t>
            </w:r>
          </w:p>
        </w:tc>
      </w:tr>
      <w:tr w:rsidR="00D32939" w:rsidRPr="0080433A" w14:paraId="626A18C0" w14:textId="77777777">
        <w:tblPrEx>
          <w:tblCellMar>
            <w:top w:w="0" w:type="dxa"/>
            <w:bottom w:w="0" w:type="dxa"/>
          </w:tblCellMar>
        </w:tblPrEx>
        <w:tc>
          <w:tcPr>
            <w:tcW w:w="2400" w:type="dxa"/>
            <w:tcBorders>
              <w:top w:val="single" w:sz="4" w:space="0" w:color="D9D3E8"/>
              <w:left w:val="single" w:sz="4" w:space="0" w:color="D9D3E8"/>
              <w:bottom w:val="single" w:sz="4" w:space="0" w:color="D9D3E8"/>
              <w:right w:val="single" w:sz="4" w:space="0" w:color="D9D3E8"/>
            </w:tcBorders>
            <w:shd w:val="clear" w:color="auto" w:fill="FBF8F2"/>
            <w:tcMar>
              <w:top w:w="120" w:type="dxa"/>
              <w:left w:w="140" w:type="dxa"/>
              <w:bottom w:w="120" w:type="dxa"/>
              <w:right w:w="140" w:type="dxa"/>
            </w:tcMar>
            <w:vAlign w:val="center"/>
          </w:tcPr>
          <w:p w14:paraId="656E4CA7" w14:textId="77777777" w:rsidR="00D32939" w:rsidRPr="0080433A" w:rsidRDefault="00000000">
            <w:pPr>
              <w:rPr>
                <w:rFonts w:ascii="Open Sauce One" w:hAnsi="Open Sauce One"/>
              </w:rPr>
            </w:pPr>
            <w:r w:rsidRPr="0080433A">
              <w:rPr>
                <w:rFonts w:ascii="Open Sauce One" w:eastAsia="Bookman Old Style" w:hAnsi="Open Sauce One" w:cs="Bookman Old Style"/>
                <w:b/>
                <w:bCs/>
                <w:color w:val="292876"/>
                <w:sz w:val="18"/>
                <w:szCs w:val="18"/>
              </w:rPr>
              <w:t>Interest Rate</w:t>
            </w:r>
          </w:p>
        </w:tc>
        <w:tc>
          <w:tcPr>
            <w:tcW w:w="6960" w:type="dxa"/>
            <w:tcBorders>
              <w:top w:val="single" w:sz="4" w:space="0" w:color="D9D3E8"/>
              <w:left w:val="single" w:sz="4" w:space="0" w:color="D9D3E8"/>
              <w:bottom w:val="single" w:sz="4" w:space="0" w:color="D9D3E8"/>
              <w:right w:val="single" w:sz="4" w:space="0" w:color="D9D3E8"/>
            </w:tcBorders>
            <w:shd w:val="clear" w:color="auto" w:fill="FFFFFF"/>
            <w:tcMar>
              <w:top w:w="120" w:type="dxa"/>
              <w:left w:w="160" w:type="dxa"/>
              <w:bottom w:w="120" w:type="dxa"/>
              <w:right w:w="160" w:type="dxa"/>
            </w:tcMar>
            <w:vAlign w:val="center"/>
          </w:tcPr>
          <w:p w14:paraId="537FA1AC" w14:textId="77777777" w:rsidR="00D32939" w:rsidRPr="0080433A" w:rsidRDefault="00000000">
            <w:pPr>
              <w:rPr>
                <w:rFonts w:ascii="Open Sauce One" w:hAnsi="Open Sauce One"/>
              </w:rPr>
            </w:pPr>
            <w:r w:rsidRPr="0080433A">
              <w:rPr>
                <w:rFonts w:ascii="Open Sauce One" w:hAnsi="Open Sauce One"/>
              </w:rPr>
              <w:t>Simple interest accruing daily/monthly/annually at a rate of [5–8]% per annum, non-compounding, computed on the basis of a 365-day year. (Market standard for 2026 US seed financings: 5–8%.)</w:t>
            </w:r>
          </w:p>
        </w:tc>
      </w:tr>
      <w:tr w:rsidR="00D32939" w:rsidRPr="0080433A" w14:paraId="6F6289DA" w14:textId="77777777">
        <w:tblPrEx>
          <w:tblCellMar>
            <w:top w:w="0" w:type="dxa"/>
            <w:bottom w:w="0" w:type="dxa"/>
          </w:tblCellMar>
        </w:tblPrEx>
        <w:tc>
          <w:tcPr>
            <w:tcW w:w="2400" w:type="dxa"/>
            <w:tcBorders>
              <w:top w:val="single" w:sz="4" w:space="0" w:color="D9D3E8"/>
              <w:left w:val="single" w:sz="4" w:space="0" w:color="D9D3E8"/>
              <w:bottom w:val="single" w:sz="4" w:space="0" w:color="D9D3E8"/>
              <w:right w:val="single" w:sz="4" w:space="0" w:color="D9D3E8"/>
            </w:tcBorders>
            <w:shd w:val="clear" w:color="auto" w:fill="EFEAF7"/>
            <w:tcMar>
              <w:top w:w="120" w:type="dxa"/>
              <w:left w:w="140" w:type="dxa"/>
              <w:bottom w:w="120" w:type="dxa"/>
              <w:right w:w="140" w:type="dxa"/>
            </w:tcMar>
            <w:vAlign w:val="center"/>
          </w:tcPr>
          <w:p w14:paraId="1B4472B7" w14:textId="77777777" w:rsidR="00D32939" w:rsidRPr="0080433A" w:rsidRDefault="00000000">
            <w:pPr>
              <w:rPr>
                <w:rFonts w:ascii="Open Sauce One" w:hAnsi="Open Sauce One"/>
              </w:rPr>
            </w:pPr>
            <w:r w:rsidRPr="0080433A">
              <w:rPr>
                <w:rFonts w:ascii="Open Sauce One" w:eastAsia="Bookman Old Style" w:hAnsi="Open Sauce One" w:cs="Bookman Old Style"/>
                <w:b/>
                <w:bCs/>
                <w:color w:val="292876"/>
                <w:sz w:val="18"/>
                <w:szCs w:val="18"/>
              </w:rPr>
              <w:t>Maturity Date</w:t>
            </w:r>
          </w:p>
        </w:tc>
        <w:tc>
          <w:tcPr>
            <w:tcW w:w="6960" w:type="dxa"/>
            <w:tcBorders>
              <w:top w:val="single" w:sz="4" w:space="0" w:color="D9D3E8"/>
              <w:left w:val="single" w:sz="4" w:space="0" w:color="D9D3E8"/>
              <w:bottom w:val="single" w:sz="4" w:space="0" w:color="D9D3E8"/>
              <w:right w:val="single" w:sz="4" w:space="0" w:color="D9D3E8"/>
            </w:tcBorders>
            <w:shd w:val="clear" w:color="auto" w:fill="FFFFFF"/>
            <w:tcMar>
              <w:top w:w="120" w:type="dxa"/>
              <w:left w:w="160" w:type="dxa"/>
              <w:bottom w:w="120" w:type="dxa"/>
              <w:right w:w="160" w:type="dxa"/>
            </w:tcMar>
            <w:vAlign w:val="center"/>
          </w:tcPr>
          <w:p w14:paraId="2BF19EB7" w14:textId="77777777" w:rsidR="00D32939" w:rsidRPr="0080433A" w:rsidRDefault="00000000">
            <w:pPr>
              <w:rPr>
                <w:rFonts w:ascii="Open Sauce One" w:hAnsi="Open Sauce One"/>
              </w:rPr>
            </w:pPr>
            <w:r w:rsidRPr="0080433A">
              <w:rPr>
                <w:rFonts w:ascii="Open Sauce One" w:hAnsi="Open Sauce One"/>
              </w:rPr>
              <w:t>The date that is [18–24] months following the date of the first closing (the “Maturity Date”).</w:t>
            </w:r>
          </w:p>
        </w:tc>
      </w:tr>
      <w:tr w:rsidR="00D32939" w:rsidRPr="0080433A" w14:paraId="0C364BAD" w14:textId="77777777">
        <w:tblPrEx>
          <w:tblCellMar>
            <w:top w:w="0" w:type="dxa"/>
            <w:bottom w:w="0" w:type="dxa"/>
          </w:tblCellMar>
        </w:tblPrEx>
        <w:tc>
          <w:tcPr>
            <w:tcW w:w="2400" w:type="dxa"/>
            <w:tcBorders>
              <w:top w:val="single" w:sz="4" w:space="0" w:color="D9D3E8"/>
              <w:left w:val="single" w:sz="4" w:space="0" w:color="D9D3E8"/>
              <w:bottom w:val="single" w:sz="4" w:space="0" w:color="D9D3E8"/>
              <w:right w:val="single" w:sz="4" w:space="0" w:color="D9D3E8"/>
            </w:tcBorders>
            <w:shd w:val="clear" w:color="auto" w:fill="FBF8F2"/>
            <w:tcMar>
              <w:top w:w="120" w:type="dxa"/>
              <w:left w:w="140" w:type="dxa"/>
              <w:bottom w:w="120" w:type="dxa"/>
              <w:right w:w="140" w:type="dxa"/>
            </w:tcMar>
            <w:vAlign w:val="center"/>
          </w:tcPr>
          <w:p w14:paraId="324F52F4" w14:textId="77777777" w:rsidR="00D32939" w:rsidRPr="0080433A" w:rsidRDefault="00000000">
            <w:pPr>
              <w:rPr>
                <w:rFonts w:ascii="Open Sauce One" w:hAnsi="Open Sauce One"/>
              </w:rPr>
            </w:pPr>
            <w:r w:rsidRPr="0080433A">
              <w:rPr>
                <w:rFonts w:ascii="Open Sauce One" w:eastAsia="Bookman Old Style" w:hAnsi="Open Sauce One" w:cs="Bookman Old Style"/>
                <w:b/>
                <w:bCs/>
                <w:color w:val="292876"/>
                <w:sz w:val="18"/>
                <w:szCs w:val="18"/>
              </w:rPr>
              <w:t>Valuation Cap</w:t>
            </w:r>
          </w:p>
        </w:tc>
        <w:tc>
          <w:tcPr>
            <w:tcW w:w="6960" w:type="dxa"/>
            <w:tcBorders>
              <w:top w:val="single" w:sz="4" w:space="0" w:color="D9D3E8"/>
              <w:left w:val="single" w:sz="4" w:space="0" w:color="D9D3E8"/>
              <w:bottom w:val="single" w:sz="4" w:space="0" w:color="D9D3E8"/>
              <w:right w:val="single" w:sz="4" w:space="0" w:color="D9D3E8"/>
            </w:tcBorders>
            <w:shd w:val="clear" w:color="auto" w:fill="FFFFFF"/>
            <w:tcMar>
              <w:top w:w="120" w:type="dxa"/>
              <w:left w:w="160" w:type="dxa"/>
              <w:bottom w:w="120" w:type="dxa"/>
              <w:right w:w="160" w:type="dxa"/>
            </w:tcMar>
            <w:vAlign w:val="center"/>
          </w:tcPr>
          <w:p w14:paraId="282E1DB4" w14:textId="77777777" w:rsidR="00D32939" w:rsidRPr="0080433A" w:rsidRDefault="00000000">
            <w:pPr>
              <w:rPr>
                <w:rFonts w:ascii="Open Sauce One" w:hAnsi="Open Sauce One"/>
              </w:rPr>
            </w:pPr>
            <w:r w:rsidRPr="0080433A">
              <w:rPr>
                <w:rFonts w:ascii="Open Sauce One" w:hAnsi="Open Sauce One"/>
              </w:rPr>
              <w:t>$[_______________], on a fully-diluted, as-converted, pre-money basis (the “Valuation Cap”). The Valuation Cap sets the maximum Company valuation at which the Notes convert, protecting the Investors’ upside if the Company’s valuation increases significantly before the next priced round.</w:t>
            </w:r>
          </w:p>
        </w:tc>
      </w:tr>
      <w:tr w:rsidR="00D32939" w:rsidRPr="0080433A" w14:paraId="7B0AE3F0" w14:textId="77777777">
        <w:tblPrEx>
          <w:tblCellMar>
            <w:top w:w="0" w:type="dxa"/>
            <w:bottom w:w="0" w:type="dxa"/>
          </w:tblCellMar>
        </w:tblPrEx>
        <w:tc>
          <w:tcPr>
            <w:tcW w:w="2400" w:type="dxa"/>
            <w:tcBorders>
              <w:top w:val="single" w:sz="4" w:space="0" w:color="D9D3E8"/>
              <w:left w:val="single" w:sz="4" w:space="0" w:color="D9D3E8"/>
              <w:bottom w:val="single" w:sz="4" w:space="0" w:color="D9D3E8"/>
              <w:right w:val="single" w:sz="4" w:space="0" w:color="D9D3E8"/>
            </w:tcBorders>
            <w:shd w:val="clear" w:color="auto" w:fill="EFEAF7"/>
            <w:tcMar>
              <w:top w:w="120" w:type="dxa"/>
              <w:left w:w="140" w:type="dxa"/>
              <w:bottom w:w="120" w:type="dxa"/>
              <w:right w:w="140" w:type="dxa"/>
            </w:tcMar>
            <w:vAlign w:val="center"/>
          </w:tcPr>
          <w:p w14:paraId="1A01D1B0" w14:textId="77777777" w:rsidR="00D32939" w:rsidRPr="0080433A" w:rsidRDefault="00000000">
            <w:pPr>
              <w:rPr>
                <w:rFonts w:ascii="Open Sauce One" w:hAnsi="Open Sauce One"/>
              </w:rPr>
            </w:pPr>
            <w:r w:rsidRPr="0080433A">
              <w:rPr>
                <w:rFonts w:ascii="Open Sauce One" w:eastAsia="Bookman Old Style" w:hAnsi="Open Sauce One" w:cs="Bookman Old Style"/>
                <w:b/>
                <w:bCs/>
                <w:color w:val="292876"/>
                <w:sz w:val="18"/>
                <w:szCs w:val="18"/>
              </w:rPr>
              <w:t>Discount Rate</w:t>
            </w:r>
          </w:p>
        </w:tc>
        <w:tc>
          <w:tcPr>
            <w:tcW w:w="6960" w:type="dxa"/>
            <w:tcBorders>
              <w:top w:val="single" w:sz="4" w:space="0" w:color="D9D3E8"/>
              <w:left w:val="single" w:sz="4" w:space="0" w:color="D9D3E8"/>
              <w:bottom w:val="single" w:sz="4" w:space="0" w:color="D9D3E8"/>
              <w:right w:val="single" w:sz="4" w:space="0" w:color="D9D3E8"/>
            </w:tcBorders>
            <w:shd w:val="clear" w:color="auto" w:fill="FFFFFF"/>
            <w:tcMar>
              <w:top w:w="120" w:type="dxa"/>
              <w:left w:w="160" w:type="dxa"/>
              <w:bottom w:w="120" w:type="dxa"/>
              <w:right w:w="160" w:type="dxa"/>
            </w:tcMar>
            <w:vAlign w:val="center"/>
          </w:tcPr>
          <w:p w14:paraId="52D61C5C" w14:textId="77777777" w:rsidR="00D32939" w:rsidRPr="0080433A" w:rsidRDefault="00000000">
            <w:pPr>
              <w:rPr>
                <w:rFonts w:ascii="Open Sauce One" w:hAnsi="Open Sauce One"/>
              </w:rPr>
            </w:pPr>
            <w:r w:rsidRPr="0080433A">
              <w:rPr>
                <w:rFonts w:ascii="Open Sauce One" w:hAnsi="Open Sauce One"/>
              </w:rPr>
              <w:t>[15–25]% (market standard: 20%) applied to the price per share paid by investors in a Qualifying Financing.</w:t>
            </w:r>
          </w:p>
        </w:tc>
      </w:tr>
      <w:tr w:rsidR="00D32939" w:rsidRPr="0080433A" w14:paraId="1C3C3682" w14:textId="77777777">
        <w:tblPrEx>
          <w:tblCellMar>
            <w:top w:w="0" w:type="dxa"/>
            <w:bottom w:w="0" w:type="dxa"/>
          </w:tblCellMar>
        </w:tblPrEx>
        <w:tc>
          <w:tcPr>
            <w:tcW w:w="2400" w:type="dxa"/>
            <w:tcBorders>
              <w:top w:val="single" w:sz="4" w:space="0" w:color="D9D3E8"/>
              <w:left w:val="single" w:sz="4" w:space="0" w:color="D9D3E8"/>
              <w:bottom w:val="single" w:sz="4" w:space="0" w:color="D9D3E8"/>
              <w:right w:val="single" w:sz="4" w:space="0" w:color="D9D3E8"/>
            </w:tcBorders>
            <w:shd w:val="clear" w:color="auto" w:fill="FBF8F2"/>
            <w:tcMar>
              <w:top w:w="120" w:type="dxa"/>
              <w:left w:w="140" w:type="dxa"/>
              <w:bottom w:w="120" w:type="dxa"/>
              <w:right w:w="140" w:type="dxa"/>
            </w:tcMar>
            <w:vAlign w:val="center"/>
          </w:tcPr>
          <w:p w14:paraId="6BD76B51" w14:textId="77777777" w:rsidR="00D32939" w:rsidRPr="0080433A" w:rsidRDefault="00000000">
            <w:pPr>
              <w:rPr>
                <w:rFonts w:ascii="Open Sauce One" w:hAnsi="Open Sauce One"/>
              </w:rPr>
            </w:pPr>
            <w:r w:rsidRPr="0080433A">
              <w:rPr>
                <w:rFonts w:ascii="Open Sauce One" w:eastAsia="Bookman Old Style" w:hAnsi="Open Sauce One" w:cs="Bookman Old Style"/>
                <w:b/>
                <w:bCs/>
                <w:color w:val="292876"/>
                <w:sz w:val="18"/>
                <w:szCs w:val="18"/>
              </w:rPr>
              <w:t>Conversion — Qualifying Financing</w:t>
            </w:r>
          </w:p>
        </w:tc>
        <w:tc>
          <w:tcPr>
            <w:tcW w:w="6960" w:type="dxa"/>
            <w:tcBorders>
              <w:top w:val="single" w:sz="4" w:space="0" w:color="D9D3E8"/>
              <w:left w:val="single" w:sz="4" w:space="0" w:color="D9D3E8"/>
              <w:bottom w:val="single" w:sz="4" w:space="0" w:color="D9D3E8"/>
              <w:right w:val="single" w:sz="4" w:space="0" w:color="D9D3E8"/>
            </w:tcBorders>
            <w:shd w:val="clear" w:color="auto" w:fill="FFFFFF"/>
            <w:tcMar>
              <w:top w:w="120" w:type="dxa"/>
              <w:left w:w="160" w:type="dxa"/>
              <w:bottom w:w="120" w:type="dxa"/>
              <w:right w:w="160" w:type="dxa"/>
            </w:tcMar>
            <w:vAlign w:val="center"/>
          </w:tcPr>
          <w:p w14:paraId="423CE974" w14:textId="77777777" w:rsidR="00D32939" w:rsidRPr="0080433A" w:rsidRDefault="00000000">
            <w:pPr>
              <w:rPr>
                <w:rFonts w:ascii="Open Sauce One" w:hAnsi="Open Sauce One"/>
              </w:rPr>
            </w:pPr>
            <w:r w:rsidRPr="0080433A">
              <w:rPr>
                <w:rFonts w:ascii="Open Sauce One" w:hAnsi="Open Sauce One"/>
              </w:rPr>
              <w:t>If the Company completes an equity financing with aggregate gross proceeds of not less than $[_______________] (a “Qualifying Financing”), the Notes (together with all accrued and unpaid interest) will automatically convert into the class of shares issued in the Qualifying Financing, at a conversion price equal to the lower of:</w:t>
            </w:r>
          </w:p>
          <w:p w14:paraId="35D4D7B1" w14:textId="77777777" w:rsidR="00D32939" w:rsidRPr="0080433A" w:rsidRDefault="00000000">
            <w:pPr>
              <w:spacing w:before="80"/>
              <w:rPr>
                <w:rFonts w:ascii="Open Sauce One" w:hAnsi="Open Sauce One"/>
              </w:rPr>
            </w:pPr>
            <w:r w:rsidRPr="0080433A">
              <w:rPr>
                <w:rFonts w:ascii="Open Sauce One" w:hAnsi="Open Sauce One"/>
              </w:rPr>
              <w:t>(i)  the Discount Rate applied to the price per share paid in the Qualifying Financing; and</w:t>
            </w:r>
          </w:p>
          <w:p w14:paraId="41635EE4" w14:textId="77777777" w:rsidR="00D32939" w:rsidRPr="0080433A" w:rsidRDefault="00000000">
            <w:pPr>
              <w:spacing w:before="40"/>
              <w:rPr>
                <w:rFonts w:ascii="Open Sauce One" w:hAnsi="Open Sauce One"/>
              </w:rPr>
            </w:pPr>
            <w:r w:rsidRPr="0080433A">
              <w:rPr>
                <w:rFonts w:ascii="Open Sauce One" w:hAnsi="Open Sauce One"/>
              </w:rPr>
              <w:lastRenderedPageBreak/>
              <w:t>(ii)  the price per share obtained by dividing the Valuation Cap by the Company’s fully-diluted capitalization immediately prior to the Qualifying Financing.</w:t>
            </w:r>
          </w:p>
        </w:tc>
      </w:tr>
      <w:tr w:rsidR="00D32939" w:rsidRPr="0080433A" w14:paraId="1CBA28FB" w14:textId="77777777">
        <w:tblPrEx>
          <w:tblCellMar>
            <w:top w:w="0" w:type="dxa"/>
            <w:bottom w:w="0" w:type="dxa"/>
          </w:tblCellMar>
        </w:tblPrEx>
        <w:tc>
          <w:tcPr>
            <w:tcW w:w="2400" w:type="dxa"/>
            <w:tcBorders>
              <w:top w:val="single" w:sz="4" w:space="0" w:color="D9D3E8"/>
              <w:left w:val="single" w:sz="4" w:space="0" w:color="D9D3E8"/>
              <w:bottom w:val="single" w:sz="4" w:space="0" w:color="D9D3E8"/>
              <w:right w:val="single" w:sz="4" w:space="0" w:color="D9D3E8"/>
            </w:tcBorders>
            <w:shd w:val="clear" w:color="auto" w:fill="EFEAF7"/>
            <w:tcMar>
              <w:top w:w="120" w:type="dxa"/>
              <w:left w:w="140" w:type="dxa"/>
              <w:bottom w:w="120" w:type="dxa"/>
              <w:right w:w="140" w:type="dxa"/>
            </w:tcMar>
            <w:vAlign w:val="center"/>
          </w:tcPr>
          <w:p w14:paraId="4D03DF5C" w14:textId="77777777" w:rsidR="00D32939" w:rsidRPr="0080433A" w:rsidRDefault="00000000">
            <w:pPr>
              <w:rPr>
                <w:rFonts w:ascii="Open Sauce One" w:hAnsi="Open Sauce One"/>
              </w:rPr>
            </w:pPr>
            <w:r w:rsidRPr="0080433A">
              <w:rPr>
                <w:rFonts w:ascii="Open Sauce One" w:eastAsia="Bookman Old Style" w:hAnsi="Open Sauce One" w:cs="Bookman Old Style"/>
                <w:b/>
                <w:bCs/>
                <w:color w:val="292876"/>
                <w:sz w:val="18"/>
                <w:szCs w:val="18"/>
              </w:rPr>
              <w:lastRenderedPageBreak/>
              <w:t>Conversion — Liquidity Event</w:t>
            </w:r>
          </w:p>
        </w:tc>
        <w:tc>
          <w:tcPr>
            <w:tcW w:w="6960" w:type="dxa"/>
            <w:tcBorders>
              <w:top w:val="single" w:sz="4" w:space="0" w:color="D9D3E8"/>
              <w:left w:val="single" w:sz="4" w:space="0" w:color="D9D3E8"/>
              <w:bottom w:val="single" w:sz="4" w:space="0" w:color="D9D3E8"/>
              <w:right w:val="single" w:sz="4" w:space="0" w:color="D9D3E8"/>
            </w:tcBorders>
            <w:shd w:val="clear" w:color="auto" w:fill="FFFFFF"/>
            <w:tcMar>
              <w:top w:w="120" w:type="dxa"/>
              <w:left w:w="160" w:type="dxa"/>
              <w:bottom w:w="120" w:type="dxa"/>
              <w:right w:w="160" w:type="dxa"/>
            </w:tcMar>
            <w:vAlign w:val="center"/>
          </w:tcPr>
          <w:p w14:paraId="289CA6DD" w14:textId="77777777" w:rsidR="00D32939" w:rsidRPr="0080433A" w:rsidRDefault="00000000">
            <w:pPr>
              <w:rPr>
                <w:rFonts w:ascii="Open Sauce One" w:hAnsi="Open Sauce One"/>
              </w:rPr>
            </w:pPr>
            <w:r w:rsidRPr="0080433A">
              <w:rPr>
                <w:rFonts w:ascii="Open Sauce One" w:hAnsi="Open Sauce One"/>
              </w:rPr>
              <w:t>If a Liquidity Event (a Change of Control or a dissolution/winding up) occurs before conversion or repayment, each Investor may elect to either (i) receive a cash payment equal to [one (1) to two (2)] times the outstanding Investment Amount plus accrued interest, or (ii) convert the Notes into the Company’s most senior class of shares at a price per share obtained by dividing the Valuation Cap by the Company’s fully-diluted capitalization immediately prior to the Liquidity Event.</w:t>
            </w:r>
          </w:p>
        </w:tc>
      </w:tr>
      <w:tr w:rsidR="00D32939" w:rsidRPr="0080433A" w14:paraId="3603BB5A" w14:textId="77777777">
        <w:tblPrEx>
          <w:tblCellMar>
            <w:top w:w="0" w:type="dxa"/>
            <w:bottom w:w="0" w:type="dxa"/>
          </w:tblCellMar>
        </w:tblPrEx>
        <w:tc>
          <w:tcPr>
            <w:tcW w:w="2400" w:type="dxa"/>
            <w:tcBorders>
              <w:top w:val="single" w:sz="4" w:space="0" w:color="D9D3E8"/>
              <w:left w:val="single" w:sz="4" w:space="0" w:color="D9D3E8"/>
              <w:bottom w:val="single" w:sz="4" w:space="0" w:color="D9D3E8"/>
              <w:right w:val="single" w:sz="4" w:space="0" w:color="D9D3E8"/>
            </w:tcBorders>
            <w:shd w:val="clear" w:color="auto" w:fill="FBF8F2"/>
            <w:tcMar>
              <w:top w:w="120" w:type="dxa"/>
              <w:left w:w="140" w:type="dxa"/>
              <w:bottom w:w="120" w:type="dxa"/>
              <w:right w:w="140" w:type="dxa"/>
            </w:tcMar>
            <w:vAlign w:val="center"/>
          </w:tcPr>
          <w:p w14:paraId="2CC2DD9B" w14:textId="77777777" w:rsidR="00D32939" w:rsidRPr="0080433A" w:rsidRDefault="00000000">
            <w:pPr>
              <w:rPr>
                <w:rFonts w:ascii="Open Sauce One" w:hAnsi="Open Sauce One"/>
              </w:rPr>
            </w:pPr>
            <w:r w:rsidRPr="0080433A">
              <w:rPr>
                <w:rFonts w:ascii="Open Sauce One" w:eastAsia="Bookman Old Style" w:hAnsi="Open Sauce One" w:cs="Bookman Old Style"/>
                <w:b/>
                <w:bCs/>
                <w:color w:val="292876"/>
                <w:sz w:val="18"/>
                <w:szCs w:val="18"/>
              </w:rPr>
              <w:t>Conversion — Maturity</w:t>
            </w:r>
          </w:p>
        </w:tc>
        <w:tc>
          <w:tcPr>
            <w:tcW w:w="6960" w:type="dxa"/>
            <w:tcBorders>
              <w:top w:val="single" w:sz="4" w:space="0" w:color="D9D3E8"/>
              <w:left w:val="single" w:sz="4" w:space="0" w:color="D9D3E8"/>
              <w:bottom w:val="single" w:sz="4" w:space="0" w:color="D9D3E8"/>
              <w:right w:val="single" w:sz="4" w:space="0" w:color="D9D3E8"/>
            </w:tcBorders>
            <w:shd w:val="clear" w:color="auto" w:fill="FFFFFF"/>
            <w:tcMar>
              <w:top w:w="120" w:type="dxa"/>
              <w:left w:w="160" w:type="dxa"/>
              <w:bottom w:w="120" w:type="dxa"/>
              <w:right w:w="160" w:type="dxa"/>
            </w:tcMar>
            <w:vAlign w:val="center"/>
          </w:tcPr>
          <w:p w14:paraId="4ABC5488" w14:textId="77777777" w:rsidR="00D32939" w:rsidRPr="0080433A" w:rsidRDefault="00000000">
            <w:pPr>
              <w:rPr>
                <w:rFonts w:ascii="Open Sauce One" w:hAnsi="Open Sauce One"/>
              </w:rPr>
            </w:pPr>
            <w:r w:rsidRPr="0080433A">
              <w:rPr>
                <w:rFonts w:ascii="Open Sauce One" w:hAnsi="Open Sauce One"/>
              </w:rPr>
              <w:t>If the Notes remain outstanding on the Maturity Date, Investors may elect to convert into the Company’s most senior class of shares at the Valuation Cap price described above, or to require repayment in cash.</w:t>
            </w:r>
          </w:p>
        </w:tc>
      </w:tr>
      <w:tr w:rsidR="00D32939" w:rsidRPr="0080433A" w14:paraId="3B15E54A" w14:textId="77777777">
        <w:tblPrEx>
          <w:tblCellMar>
            <w:top w:w="0" w:type="dxa"/>
            <w:bottom w:w="0" w:type="dxa"/>
          </w:tblCellMar>
        </w:tblPrEx>
        <w:tc>
          <w:tcPr>
            <w:tcW w:w="2400" w:type="dxa"/>
            <w:tcBorders>
              <w:top w:val="single" w:sz="4" w:space="0" w:color="D9D3E8"/>
              <w:left w:val="single" w:sz="4" w:space="0" w:color="D9D3E8"/>
              <w:bottom w:val="single" w:sz="4" w:space="0" w:color="D9D3E8"/>
              <w:right w:val="single" w:sz="4" w:space="0" w:color="D9D3E8"/>
            </w:tcBorders>
            <w:shd w:val="clear" w:color="auto" w:fill="EFEAF7"/>
            <w:tcMar>
              <w:top w:w="120" w:type="dxa"/>
              <w:left w:w="140" w:type="dxa"/>
              <w:bottom w:w="120" w:type="dxa"/>
              <w:right w:w="140" w:type="dxa"/>
            </w:tcMar>
            <w:vAlign w:val="center"/>
          </w:tcPr>
          <w:p w14:paraId="48372C49" w14:textId="77777777" w:rsidR="00D32939" w:rsidRPr="0080433A" w:rsidRDefault="00000000">
            <w:pPr>
              <w:rPr>
                <w:rFonts w:ascii="Open Sauce One" w:hAnsi="Open Sauce One"/>
              </w:rPr>
            </w:pPr>
            <w:r w:rsidRPr="0080433A">
              <w:rPr>
                <w:rFonts w:ascii="Open Sauce One" w:eastAsia="Bookman Old Style" w:hAnsi="Open Sauce One" w:cs="Bookman Old Style"/>
                <w:b/>
                <w:bCs/>
                <w:color w:val="292876"/>
                <w:sz w:val="18"/>
                <w:szCs w:val="18"/>
              </w:rPr>
              <w:t>Prepayment</w:t>
            </w:r>
          </w:p>
        </w:tc>
        <w:tc>
          <w:tcPr>
            <w:tcW w:w="6960" w:type="dxa"/>
            <w:tcBorders>
              <w:top w:val="single" w:sz="4" w:space="0" w:color="D9D3E8"/>
              <w:left w:val="single" w:sz="4" w:space="0" w:color="D9D3E8"/>
              <w:bottom w:val="single" w:sz="4" w:space="0" w:color="D9D3E8"/>
              <w:right w:val="single" w:sz="4" w:space="0" w:color="D9D3E8"/>
            </w:tcBorders>
            <w:shd w:val="clear" w:color="auto" w:fill="FFFFFF"/>
            <w:tcMar>
              <w:top w:w="120" w:type="dxa"/>
              <w:left w:w="160" w:type="dxa"/>
              <w:bottom w:w="120" w:type="dxa"/>
              <w:right w:w="160" w:type="dxa"/>
            </w:tcMar>
            <w:vAlign w:val="center"/>
          </w:tcPr>
          <w:p w14:paraId="07AAB607" w14:textId="77777777" w:rsidR="00D32939" w:rsidRPr="0080433A" w:rsidRDefault="00000000">
            <w:pPr>
              <w:rPr>
                <w:rFonts w:ascii="Open Sauce One" w:hAnsi="Open Sauce One"/>
              </w:rPr>
            </w:pPr>
            <w:r w:rsidRPr="0080433A">
              <w:rPr>
                <w:rFonts w:ascii="Open Sauce One" w:hAnsi="Open Sauce One"/>
              </w:rPr>
              <w:t>The Company may not prepay the Notes prior to the Maturity Date without the consent of Investors holding a majority of the outstanding principal amount of the Notes (the “Majority Investors”).</w:t>
            </w:r>
          </w:p>
        </w:tc>
      </w:tr>
      <w:tr w:rsidR="00D32939" w:rsidRPr="0080433A" w14:paraId="0D17DD5F" w14:textId="77777777">
        <w:tblPrEx>
          <w:tblCellMar>
            <w:top w:w="0" w:type="dxa"/>
            <w:bottom w:w="0" w:type="dxa"/>
          </w:tblCellMar>
        </w:tblPrEx>
        <w:tc>
          <w:tcPr>
            <w:tcW w:w="2400" w:type="dxa"/>
            <w:tcBorders>
              <w:top w:val="single" w:sz="4" w:space="0" w:color="D9D3E8"/>
              <w:left w:val="single" w:sz="4" w:space="0" w:color="D9D3E8"/>
              <w:bottom w:val="single" w:sz="4" w:space="0" w:color="D9D3E8"/>
              <w:right w:val="single" w:sz="4" w:space="0" w:color="D9D3E8"/>
            </w:tcBorders>
            <w:shd w:val="clear" w:color="auto" w:fill="FBF8F2"/>
            <w:tcMar>
              <w:top w:w="120" w:type="dxa"/>
              <w:left w:w="140" w:type="dxa"/>
              <w:bottom w:w="120" w:type="dxa"/>
              <w:right w:w="140" w:type="dxa"/>
            </w:tcMar>
            <w:vAlign w:val="center"/>
          </w:tcPr>
          <w:p w14:paraId="520A0AF1" w14:textId="77777777" w:rsidR="00D32939" w:rsidRPr="0080433A" w:rsidRDefault="00000000">
            <w:pPr>
              <w:rPr>
                <w:rFonts w:ascii="Open Sauce One" w:hAnsi="Open Sauce One"/>
              </w:rPr>
            </w:pPr>
            <w:r w:rsidRPr="0080433A">
              <w:rPr>
                <w:rFonts w:ascii="Open Sauce One" w:eastAsia="Bookman Old Style" w:hAnsi="Open Sauce One" w:cs="Bookman Old Style"/>
                <w:b/>
                <w:bCs/>
                <w:color w:val="292876"/>
                <w:sz w:val="18"/>
                <w:szCs w:val="18"/>
              </w:rPr>
              <w:t>Security</w:t>
            </w:r>
          </w:p>
        </w:tc>
        <w:tc>
          <w:tcPr>
            <w:tcW w:w="6960" w:type="dxa"/>
            <w:tcBorders>
              <w:top w:val="single" w:sz="4" w:space="0" w:color="D9D3E8"/>
              <w:left w:val="single" w:sz="4" w:space="0" w:color="D9D3E8"/>
              <w:bottom w:val="single" w:sz="4" w:space="0" w:color="D9D3E8"/>
              <w:right w:val="single" w:sz="4" w:space="0" w:color="D9D3E8"/>
            </w:tcBorders>
            <w:shd w:val="clear" w:color="auto" w:fill="FFFFFF"/>
            <w:tcMar>
              <w:top w:w="120" w:type="dxa"/>
              <w:left w:w="160" w:type="dxa"/>
              <w:bottom w:w="120" w:type="dxa"/>
              <w:right w:w="160" w:type="dxa"/>
            </w:tcMar>
            <w:vAlign w:val="center"/>
          </w:tcPr>
          <w:p w14:paraId="6652AF31" w14:textId="77777777" w:rsidR="00D32939" w:rsidRPr="0080433A" w:rsidRDefault="00000000">
            <w:pPr>
              <w:rPr>
                <w:rFonts w:ascii="Open Sauce One" w:hAnsi="Open Sauce One"/>
              </w:rPr>
            </w:pPr>
            <w:r w:rsidRPr="0080433A">
              <w:rPr>
                <w:rFonts w:ascii="Open Sauce One" w:hAnsi="Open Sauce One"/>
              </w:rPr>
              <w:t>The Notes will be unsecured, unsubordinated obligations of the Company.</w:t>
            </w:r>
          </w:p>
        </w:tc>
      </w:tr>
      <w:tr w:rsidR="00D32939" w:rsidRPr="0080433A" w14:paraId="2CCF95B8" w14:textId="77777777">
        <w:tblPrEx>
          <w:tblCellMar>
            <w:top w:w="0" w:type="dxa"/>
            <w:bottom w:w="0" w:type="dxa"/>
          </w:tblCellMar>
        </w:tblPrEx>
        <w:tc>
          <w:tcPr>
            <w:tcW w:w="2400" w:type="dxa"/>
            <w:tcBorders>
              <w:top w:val="single" w:sz="4" w:space="0" w:color="D9D3E8"/>
              <w:left w:val="single" w:sz="4" w:space="0" w:color="D9D3E8"/>
              <w:bottom w:val="single" w:sz="4" w:space="0" w:color="D9D3E8"/>
              <w:right w:val="single" w:sz="4" w:space="0" w:color="D9D3E8"/>
            </w:tcBorders>
            <w:shd w:val="clear" w:color="auto" w:fill="EFEAF7"/>
            <w:tcMar>
              <w:top w:w="120" w:type="dxa"/>
              <w:left w:w="140" w:type="dxa"/>
              <w:bottom w:w="120" w:type="dxa"/>
              <w:right w:w="140" w:type="dxa"/>
            </w:tcMar>
            <w:vAlign w:val="center"/>
          </w:tcPr>
          <w:p w14:paraId="67942E92" w14:textId="77777777" w:rsidR="00D32939" w:rsidRPr="0080433A" w:rsidRDefault="00000000">
            <w:pPr>
              <w:rPr>
                <w:rFonts w:ascii="Open Sauce One" w:hAnsi="Open Sauce One"/>
              </w:rPr>
            </w:pPr>
            <w:r w:rsidRPr="0080433A">
              <w:rPr>
                <w:rFonts w:ascii="Open Sauce One" w:eastAsia="Bookman Old Style" w:hAnsi="Open Sauce One" w:cs="Bookman Old Style"/>
                <w:b/>
                <w:bCs/>
                <w:color w:val="292876"/>
                <w:sz w:val="18"/>
                <w:szCs w:val="18"/>
              </w:rPr>
              <w:t>Most Favored Nation</w:t>
            </w:r>
          </w:p>
        </w:tc>
        <w:tc>
          <w:tcPr>
            <w:tcW w:w="6960" w:type="dxa"/>
            <w:tcBorders>
              <w:top w:val="single" w:sz="4" w:space="0" w:color="D9D3E8"/>
              <w:left w:val="single" w:sz="4" w:space="0" w:color="D9D3E8"/>
              <w:bottom w:val="single" w:sz="4" w:space="0" w:color="D9D3E8"/>
              <w:right w:val="single" w:sz="4" w:space="0" w:color="D9D3E8"/>
            </w:tcBorders>
            <w:shd w:val="clear" w:color="auto" w:fill="FFFFFF"/>
            <w:tcMar>
              <w:top w:w="120" w:type="dxa"/>
              <w:left w:w="160" w:type="dxa"/>
              <w:bottom w:w="120" w:type="dxa"/>
              <w:right w:w="160" w:type="dxa"/>
            </w:tcMar>
            <w:vAlign w:val="center"/>
          </w:tcPr>
          <w:p w14:paraId="3ACB858F" w14:textId="77777777" w:rsidR="00D32939" w:rsidRPr="0080433A" w:rsidRDefault="00000000">
            <w:pPr>
              <w:rPr>
                <w:rFonts w:ascii="Open Sauce One" w:hAnsi="Open Sauce One"/>
              </w:rPr>
            </w:pPr>
            <w:r w:rsidRPr="0080433A">
              <w:rPr>
                <w:rFonts w:ascii="Open Sauce One" w:hAnsi="Open Sauce One"/>
              </w:rPr>
              <w:t>If the Company issues any subsequent convertible note, SAFE, or similar instrument on terms more favorable to its holder than the terms of the Notes, each Investor may elect to exchange its Note for the more favorable instrument. [Delete if not offered.]</w:t>
            </w:r>
          </w:p>
        </w:tc>
      </w:tr>
      <w:tr w:rsidR="00D32939" w:rsidRPr="0080433A" w14:paraId="44DE2F3B" w14:textId="77777777">
        <w:tblPrEx>
          <w:tblCellMar>
            <w:top w:w="0" w:type="dxa"/>
            <w:bottom w:w="0" w:type="dxa"/>
          </w:tblCellMar>
        </w:tblPrEx>
        <w:tc>
          <w:tcPr>
            <w:tcW w:w="2400" w:type="dxa"/>
            <w:tcBorders>
              <w:top w:val="single" w:sz="4" w:space="0" w:color="D9D3E8"/>
              <w:left w:val="single" w:sz="4" w:space="0" w:color="D9D3E8"/>
              <w:bottom w:val="single" w:sz="4" w:space="0" w:color="D9D3E8"/>
              <w:right w:val="single" w:sz="4" w:space="0" w:color="D9D3E8"/>
            </w:tcBorders>
            <w:shd w:val="clear" w:color="auto" w:fill="FBF8F2"/>
            <w:tcMar>
              <w:top w:w="120" w:type="dxa"/>
              <w:left w:w="140" w:type="dxa"/>
              <w:bottom w:w="120" w:type="dxa"/>
              <w:right w:w="140" w:type="dxa"/>
            </w:tcMar>
            <w:vAlign w:val="center"/>
          </w:tcPr>
          <w:p w14:paraId="32AF745C" w14:textId="77777777" w:rsidR="00D32939" w:rsidRPr="0080433A" w:rsidRDefault="00000000">
            <w:pPr>
              <w:rPr>
                <w:rFonts w:ascii="Open Sauce One" w:hAnsi="Open Sauce One"/>
              </w:rPr>
            </w:pPr>
            <w:r w:rsidRPr="0080433A">
              <w:rPr>
                <w:rFonts w:ascii="Open Sauce One" w:eastAsia="Bookman Old Style" w:hAnsi="Open Sauce One" w:cs="Bookman Old Style"/>
                <w:b/>
                <w:bCs/>
                <w:color w:val="292876"/>
                <w:sz w:val="18"/>
                <w:szCs w:val="18"/>
              </w:rPr>
              <w:t>Additional Investor Rights</w:t>
            </w:r>
          </w:p>
        </w:tc>
        <w:tc>
          <w:tcPr>
            <w:tcW w:w="6960" w:type="dxa"/>
            <w:tcBorders>
              <w:top w:val="single" w:sz="4" w:space="0" w:color="D9D3E8"/>
              <w:left w:val="single" w:sz="4" w:space="0" w:color="D9D3E8"/>
              <w:bottom w:val="single" w:sz="4" w:space="0" w:color="D9D3E8"/>
              <w:right w:val="single" w:sz="4" w:space="0" w:color="D9D3E8"/>
            </w:tcBorders>
            <w:shd w:val="clear" w:color="auto" w:fill="FFFFFF"/>
            <w:tcMar>
              <w:top w:w="120" w:type="dxa"/>
              <w:left w:w="160" w:type="dxa"/>
              <w:bottom w:w="120" w:type="dxa"/>
              <w:right w:w="160" w:type="dxa"/>
            </w:tcMar>
            <w:vAlign w:val="center"/>
          </w:tcPr>
          <w:p w14:paraId="100FAFF6" w14:textId="77777777" w:rsidR="00D32939" w:rsidRPr="0080433A" w:rsidRDefault="00000000">
            <w:pPr>
              <w:rPr>
                <w:rFonts w:ascii="Open Sauce One" w:hAnsi="Open Sauce One"/>
              </w:rPr>
            </w:pPr>
            <w:r w:rsidRPr="0080433A">
              <w:rPr>
                <w:rFonts w:ascii="Open Sauce One" w:hAnsi="Open Sauce One"/>
              </w:rPr>
              <w:t>Investors whose Investment Amount is equal to or greater than $[_______________] will receive: (i) basic information and reporting rights, and (ii) a pro rata right to participate in the Qualifying Financing.</w:t>
            </w:r>
          </w:p>
        </w:tc>
      </w:tr>
      <w:tr w:rsidR="00D32939" w:rsidRPr="0080433A" w14:paraId="5ADC4DA3" w14:textId="77777777">
        <w:tblPrEx>
          <w:tblCellMar>
            <w:top w:w="0" w:type="dxa"/>
            <w:bottom w:w="0" w:type="dxa"/>
          </w:tblCellMar>
        </w:tblPrEx>
        <w:tc>
          <w:tcPr>
            <w:tcW w:w="2400" w:type="dxa"/>
            <w:tcBorders>
              <w:top w:val="single" w:sz="4" w:space="0" w:color="D9D3E8"/>
              <w:left w:val="single" w:sz="4" w:space="0" w:color="D9D3E8"/>
              <w:bottom w:val="single" w:sz="4" w:space="0" w:color="D9D3E8"/>
              <w:right w:val="single" w:sz="4" w:space="0" w:color="D9D3E8"/>
            </w:tcBorders>
            <w:shd w:val="clear" w:color="auto" w:fill="EFEAF7"/>
            <w:tcMar>
              <w:top w:w="120" w:type="dxa"/>
              <w:left w:w="140" w:type="dxa"/>
              <w:bottom w:w="120" w:type="dxa"/>
              <w:right w:w="140" w:type="dxa"/>
            </w:tcMar>
            <w:vAlign w:val="center"/>
          </w:tcPr>
          <w:p w14:paraId="1AC6D37C" w14:textId="77777777" w:rsidR="00D32939" w:rsidRPr="0080433A" w:rsidRDefault="00000000">
            <w:pPr>
              <w:rPr>
                <w:rFonts w:ascii="Open Sauce One" w:hAnsi="Open Sauce One"/>
              </w:rPr>
            </w:pPr>
            <w:r w:rsidRPr="0080433A">
              <w:rPr>
                <w:rFonts w:ascii="Open Sauce One" w:eastAsia="Bookman Old Style" w:hAnsi="Open Sauce One" w:cs="Bookman Old Style"/>
                <w:b/>
                <w:bCs/>
                <w:color w:val="292876"/>
                <w:sz w:val="18"/>
                <w:szCs w:val="18"/>
              </w:rPr>
              <w:t>Representations</w:t>
            </w:r>
          </w:p>
        </w:tc>
        <w:tc>
          <w:tcPr>
            <w:tcW w:w="6960" w:type="dxa"/>
            <w:tcBorders>
              <w:top w:val="single" w:sz="4" w:space="0" w:color="D9D3E8"/>
              <w:left w:val="single" w:sz="4" w:space="0" w:color="D9D3E8"/>
              <w:bottom w:val="single" w:sz="4" w:space="0" w:color="D9D3E8"/>
              <w:right w:val="single" w:sz="4" w:space="0" w:color="D9D3E8"/>
            </w:tcBorders>
            <w:shd w:val="clear" w:color="auto" w:fill="FFFFFF"/>
            <w:tcMar>
              <w:top w:w="120" w:type="dxa"/>
              <w:left w:w="160" w:type="dxa"/>
              <w:bottom w:w="120" w:type="dxa"/>
              <w:right w:w="160" w:type="dxa"/>
            </w:tcMar>
            <w:vAlign w:val="center"/>
          </w:tcPr>
          <w:p w14:paraId="58AC08D9" w14:textId="77777777" w:rsidR="00D32939" w:rsidRPr="0080433A" w:rsidRDefault="00000000">
            <w:pPr>
              <w:rPr>
                <w:rFonts w:ascii="Open Sauce One" w:hAnsi="Open Sauce One"/>
              </w:rPr>
            </w:pPr>
            <w:r w:rsidRPr="0080433A">
              <w:rPr>
                <w:rFonts w:ascii="Open Sauce One" w:hAnsi="Open Sauce One"/>
              </w:rPr>
              <w:t>The Company will give representations and warranties customary for a transaction of this type. Each Investor will represent that it is an “accredited investor” under Rule 501(a) of Regulation D (or that the offering otherwise complies with the numerical and disclosure limits of Rule 506(b)).</w:t>
            </w:r>
          </w:p>
        </w:tc>
      </w:tr>
      <w:tr w:rsidR="00D32939" w:rsidRPr="0080433A" w14:paraId="362E1FD1" w14:textId="77777777">
        <w:tblPrEx>
          <w:tblCellMar>
            <w:top w:w="0" w:type="dxa"/>
            <w:bottom w:w="0" w:type="dxa"/>
          </w:tblCellMar>
        </w:tblPrEx>
        <w:tc>
          <w:tcPr>
            <w:tcW w:w="2400" w:type="dxa"/>
            <w:tcBorders>
              <w:top w:val="single" w:sz="4" w:space="0" w:color="D9D3E8"/>
              <w:left w:val="single" w:sz="4" w:space="0" w:color="D9D3E8"/>
              <w:bottom w:val="single" w:sz="4" w:space="0" w:color="D9D3E8"/>
              <w:right w:val="single" w:sz="4" w:space="0" w:color="D9D3E8"/>
            </w:tcBorders>
            <w:shd w:val="clear" w:color="auto" w:fill="FBF8F2"/>
            <w:tcMar>
              <w:top w:w="120" w:type="dxa"/>
              <w:left w:w="140" w:type="dxa"/>
              <w:bottom w:w="120" w:type="dxa"/>
              <w:right w:w="140" w:type="dxa"/>
            </w:tcMar>
            <w:vAlign w:val="center"/>
          </w:tcPr>
          <w:p w14:paraId="509B5A21" w14:textId="77777777" w:rsidR="00D32939" w:rsidRPr="0080433A" w:rsidRDefault="00000000">
            <w:pPr>
              <w:rPr>
                <w:rFonts w:ascii="Open Sauce One" w:hAnsi="Open Sauce One"/>
              </w:rPr>
            </w:pPr>
            <w:r w:rsidRPr="0080433A">
              <w:rPr>
                <w:rFonts w:ascii="Open Sauce One" w:eastAsia="Bookman Old Style" w:hAnsi="Open Sauce One" w:cs="Bookman Old Style"/>
                <w:b/>
                <w:bCs/>
                <w:color w:val="292876"/>
                <w:sz w:val="18"/>
                <w:szCs w:val="18"/>
              </w:rPr>
              <w:t>Conditions to Closing</w:t>
            </w:r>
          </w:p>
        </w:tc>
        <w:tc>
          <w:tcPr>
            <w:tcW w:w="6960" w:type="dxa"/>
            <w:tcBorders>
              <w:top w:val="single" w:sz="4" w:space="0" w:color="D9D3E8"/>
              <w:left w:val="single" w:sz="4" w:space="0" w:color="D9D3E8"/>
              <w:bottom w:val="single" w:sz="4" w:space="0" w:color="D9D3E8"/>
              <w:right w:val="single" w:sz="4" w:space="0" w:color="D9D3E8"/>
            </w:tcBorders>
            <w:shd w:val="clear" w:color="auto" w:fill="FFFFFF"/>
            <w:tcMar>
              <w:top w:w="120" w:type="dxa"/>
              <w:left w:w="160" w:type="dxa"/>
              <w:bottom w:w="120" w:type="dxa"/>
              <w:right w:w="160" w:type="dxa"/>
            </w:tcMar>
            <w:vAlign w:val="center"/>
          </w:tcPr>
          <w:p w14:paraId="72DD7DC0" w14:textId="77777777" w:rsidR="00D32939" w:rsidRPr="0080433A" w:rsidRDefault="00000000">
            <w:pPr>
              <w:rPr>
                <w:rFonts w:ascii="Open Sauce One" w:hAnsi="Open Sauce One"/>
              </w:rPr>
            </w:pPr>
            <w:r w:rsidRPr="0080433A">
              <w:rPr>
                <w:rFonts w:ascii="Open Sauce One" w:hAnsi="Open Sauce One"/>
              </w:rPr>
              <w:t>Satisfactory completion of due diligence; negotiation and execution of the Convertible Note Purchase Agreement and Notes; delivery of good-standing certificates, board and (if required) stockholder approvals; and no material adverse change in the Company’s business since the date of this Term Sheet.</w:t>
            </w:r>
          </w:p>
        </w:tc>
      </w:tr>
      <w:tr w:rsidR="00D32939" w:rsidRPr="0080433A" w14:paraId="70EDE74C" w14:textId="77777777">
        <w:tblPrEx>
          <w:tblCellMar>
            <w:top w:w="0" w:type="dxa"/>
            <w:bottom w:w="0" w:type="dxa"/>
          </w:tblCellMar>
        </w:tblPrEx>
        <w:tc>
          <w:tcPr>
            <w:tcW w:w="2400" w:type="dxa"/>
            <w:tcBorders>
              <w:top w:val="single" w:sz="4" w:space="0" w:color="D9D3E8"/>
              <w:left w:val="single" w:sz="4" w:space="0" w:color="D9D3E8"/>
              <w:bottom w:val="single" w:sz="4" w:space="0" w:color="D9D3E8"/>
              <w:right w:val="single" w:sz="4" w:space="0" w:color="D9D3E8"/>
            </w:tcBorders>
            <w:shd w:val="clear" w:color="auto" w:fill="EFEAF7"/>
            <w:tcMar>
              <w:top w:w="120" w:type="dxa"/>
              <w:left w:w="140" w:type="dxa"/>
              <w:bottom w:w="120" w:type="dxa"/>
              <w:right w:w="140" w:type="dxa"/>
            </w:tcMar>
            <w:vAlign w:val="center"/>
          </w:tcPr>
          <w:p w14:paraId="22877283" w14:textId="77777777" w:rsidR="00D32939" w:rsidRPr="0080433A" w:rsidRDefault="00000000">
            <w:pPr>
              <w:rPr>
                <w:rFonts w:ascii="Open Sauce One" w:hAnsi="Open Sauce One"/>
              </w:rPr>
            </w:pPr>
            <w:r w:rsidRPr="0080433A">
              <w:rPr>
                <w:rFonts w:ascii="Open Sauce One" w:eastAsia="Bookman Old Style" w:hAnsi="Open Sauce One" w:cs="Bookman Old Style"/>
                <w:b/>
                <w:bCs/>
                <w:color w:val="292876"/>
                <w:sz w:val="18"/>
                <w:szCs w:val="18"/>
              </w:rPr>
              <w:t>Expenses</w:t>
            </w:r>
          </w:p>
        </w:tc>
        <w:tc>
          <w:tcPr>
            <w:tcW w:w="6960" w:type="dxa"/>
            <w:tcBorders>
              <w:top w:val="single" w:sz="4" w:space="0" w:color="D9D3E8"/>
              <w:left w:val="single" w:sz="4" w:space="0" w:color="D9D3E8"/>
              <w:bottom w:val="single" w:sz="4" w:space="0" w:color="D9D3E8"/>
              <w:right w:val="single" w:sz="4" w:space="0" w:color="D9D3E8"/>
            </w:tcBorders>
            <w:shd w:val="clear" w:color="auto" w:fill="FFFFFF"/>
            <w:tcMar>
              <w:top w:w="120" w:type="dxa"/>
              <w:left w:w="160" w:type="dxa"/>
              <w:bottom w:w="120" w:type="dxa"/>
              <w:right w:w="160" w:type="dxa"/>
            </w:tcMar>
            <w:vAlign w:val="center"/>
          </w:tcPr>
          <w:p w14:paraId="4140E069" w14:textId="77777777" w:rsidR="00D32939" w:rsidRPr="0080433A" w:rsidRDefault="00000000">
            <w:pPr>
              <w:rPr>
                <w:rFonts w:ascii="Open Sauce One" w:hAnsi="Open Sauce One"/>
              </w:rPr>
            </w:pPr>
            <w:r w:rsidRPr="0080433A">
              <w:rPr>
                <w:rFonts w:ascii="Open Sauce One" w:hAnsi="Open Sauce One"/>
              </w:rPr>
              <w:t>[Each party bears its own fees and expenses.] / [The Company will reimburse the Investors’ reasonable, documented legal fees up to a cap of $[_______________], payable at the first closing.]</w:t>
            </w:r>
          </w:p>
        </w:tc>
      </w:tr>
      <w:tr w:rsidR="00D32939" w:rsidRPr="0080433A" w14:paraId="7B4C4198" w14:textId="77777777">
        <w:tblPrEx>
          <w:tblCellMar>
            <w:top w:w="0" w:type="dxa"/>
            <w:bottom w:w="0" w:type="dxa"/>
          </w:tblCellMar>
        </w:tblPrEx>
        <w:tc>
          <w:tcPr>
            <w:tcW w:w="2400" w:type="dxa"/>
            <w:tcBorders>
              <w:top w:val="single" w:sz="4" w:space="0" w:color="D9D3E8"/>
              <w:left w:val="single" w:sz="4" w:space="0" w:color="D9D3E8"/>
              <w:bottom w:val="single" w:sz="4" w:space="0" w:color="D9D3E8"/>
              <w:right w:val="single" w:sz="4" w:space="0" w:color="D9D3E8"/>
            </w:tcBorders>
            <w:shd w:val="clear" w:color="auto" w:fill="FBF8F2"/>
            <w:tcMar>
              <w:top w:w="120" w:type="dxa"/>
              <w:left w:w="140" w:type="dxa"/>
              <w:bottom w:w="120" w:type="dxa"/>
              <w:right w:w="140" w:type="dxa"/>
            </w:tcMar>
            <w:vAlign w:val="center"/>
          </w:tcPr>
          <w:p w14:paraId="71CF2F90" w14:textId="77777777" w:rsidR="00D32939" w:rsidRPr="0080433A" w:rsidRDefault="00000000">
            <w:pPr>
              <w:rPr>
                <w:rFonts w:ascii="Open Sauce One" w:hAnsi="Open Sauce One"/>
              </w:rPr>
            </w:pPr>
            <w:r w:rsidRPr="0080433A">
              <w:rPr>
                <w:rFonts w:ascii="Open Sauce One" w:eastAsia="Bookman Old Style" w:hAnsi="Open Sauce One" w:cs="Bookman Old Style"/>
                <w:b/>
                <w:bCs/>
                <w:color w:val="292876"/>
                <w:sz w:val="18"/>
                <w:szCs w:val="18"/>
              </w:rPr>
              <w:t>Documentation</w:t>
            </w:r>
          </w:p>
        </w:tc>
        <w:tc>
          <w:tcPr>
            <w:tcW w:w="6960" w:type="dxa"/>
            <w:tcBorders>
              <w:top w:val="single" w:sz="4" w:space="0" w:color="D9D3E8"/>
              <w:left w:val="single" w:sz="4" w:space="0" w:color="D9D3E8"/>
              <w:bottom w:val="single" w:sz="4" w:space="0" w:color="D9D3E8"/>
              <w:right w:val="single" w:sz="4" w:space="0" w:color="D9D3E8"/>
            </w:tcBorders>
            <w:shd w:val="clear" w:color="auto" w:fill="FFFFFF"/>
            <w:tcMar>
              <w:top w:w="120" w:type="dxa"/>
              <w:left w:w="160" w:type="dxa"/>
              <w:bottom w:w="120" w:type="dxa"/>
              <w:right w:w="160" w:type="dxa"/>
            </w:tcMar>
            <w:vAlign w:val="center"/>
          </w:tcPr>
          <w:p w14:paraId="3460A950" w14:textId="77777777" w:rsidR="00D32939" w:rsidRPr="0080433A" w:rsidRDefault="00000000">
            <w:pPr>
              <w:rPr>
                <w:rFonts w:ascii="Open Sauce One" w:hAnsi="Open Sauce One"/>
              </w:rPr>
            </w:pPr>
            <w:r w:rsidRPr="0080433A">
              <w:rPr>
                <w:rFonts w:ascii="Open Sauce One" w:hAnsi="Open Sauce One"/>
              </w:rPr>
              <w:t xml:space="preserve">The long-form Convertible Note Purchase Agreement and Notes will be prepared by the Company’s counsel, consistent with this Term </w:t>
            </w:r>
            <w:r w:rsidRPr="0080433A">
              <w:rPr>
                <w:rFonts w:ascii="Open Sauce One" w:hAnsi="Open Sauce One"/>
              </w:rPr>
              <w:lastRenderedPageBreak/>
              <w:t>Sheet and market-standard forms (e.g., the Fenwick &amp; West / NVCA-style seed note or a comparable form agreed by the parties).</w:t>
            </w:r>
          </w:p>
        </w:tc>
      </w:tr>
      <w:tr w:rsidR="00D32939" w:rsidRPr="0080433A" w14:paraId="7B896E43" w14:textId="77777777">
        <w:tblPrEx>
          <w:tblCellMar>
            <w:top w:w="0" w:type="dxa"/>
            <w:bottom w:w="0" w:type="dxa"/>
          </w:tblCellMar>
        </w:tblPrEx>
        <w:tc>
          <w:tcPr>
            <w:tcW w:w="2400" w:type="dxa"/>
            <w:tcBorders>
              <w:top w:val="single" w:sz="4" w:space="0" w:color="D9D3E8"/>
              <w:left w:val="single" w:sz="4" w:space="0" w:color="D9D3E8"/>
              <w:bottom w:val="single" w:sz="4" w:space="0" w:color="D9D3E8"/>
              <w:right w:val="single" w:sz="4" w:space="0" w:color="D9D3E8"/>
            </w:tcBorders>
            <w:shd w:val="clear" w:color="auto" w:fill="EFEAF7"/>
            <w:tcMar>
              <w:top w:w="120" w:type="dxa"/>
              <w:left w:w="140" w:type="dxa"/>
              <w:bottom w:w="120" w:type="dxa"/>
              <w:right w:w="140" w:type="dxa"/>
            </w:tcMar>
            <w:vAlign w:val="center"/>
          </w:tcPr>
          <w:p w14:paraId="377D54C3" w14:textId="77777777" w:rsidR="00D32939" w:rsidRPr="0080433A" w:rsidRDefault="00000000">
            <w:pPr>
              <w:rPr>
                <w:rFonts w:ascii="Open Sauce One" w:hAnsi="Open Sauce One"/>
              </w:rPr>
            </w:pPr>
            <w:r w:rsidRPr="0080433A">
              <w:rPr>
                <w:rFonts w:ascii="Open Sauce One" w:eastAsia="Bookman Old Style" w:hAnsi="Open Sauce One" w:cs="Bookman Old Style"/>
                <w:b/>
                <w:bCs/>
                <w:color w:val="292876"/>
                <w:sz w:val="18"/>
                <w:szCs w:val="18"/>
              </w:rPr>
              <w:lastRenderedPageBreak/>
              <w:t>Governing Law (of the Notes)</w:t>
            </w:r>
          </w:p>
        </w:tc>
        <w:tc>
          <w:tcPr>
            <w:tcW w:w="6960" w:type="dxa"/>
            <w:tcBorders>
              <w:top w:val="single" w:sz="4" w:space="0" w:color="D9D3E8"/>
              <w:left w:val="single" w:sz="4" w:space="0" w:color="D9D3E8"/>
              <w:bottom w:val="single" w:sz="4" w:space="0" w:color="D9D3E8"/>
              <w:right w:val="single" w:sz="4" w:space="0" w:color="D9D3E8"/>
            </w:tcBorders>
            <w:shd w:val="clear" w:color="auto" w:fill="FFFFFF"/>
            <w:tcMar>
              <w:top w:w="120" w:type="dxa"/>
              <w:left w:w="160" w:type="dxa"/>
              <w:bottom w:w="120" w:type="dxa"/>
              <w:right w:w="160" w:type="dxa"/>
            </w:tcMar>
            <w:vAlign w:val="center"/>
          </w:tcPr>
          <w:p w14:paraId="5E299015" w14:textId="77777777" w:rsidR="00D32939" w:rsidRPr="0080433A" w:rsidRDefault="00000000">
            <w:pPr>
              <w:rPr>
                <w:rFonts w:ascii="Open Sauce One" w:hAnsi="Open Sauce One"/>
              </w:rPr>
            </w:pPr>
            <w:r w:rsidRPr="0080433A">
              <w:rPr>
                <w:rFonts w:ascii="Open Sauce One" w:hAnsi="Open Sauce One"/>
              </w:rPr>
              <w:t>State of Delaware.</w:t>
            </w:r>
          </w:p>
        </w:tc>
      </w:tr>
    </w:tbl>
    <w:p w14:paraId="6257EB1C" w14:textId="77777777" w:rsidR="00D32939" w:rsidRPr="0080433A" w:rsidRDefault="00D32939">
      <w:pPr>
        <w:spacing w:after="40"/>
        <w:rPr>
          <w:rFonts w:ascii="Open Sauce One" w:hAnsi="Open Sauce One"/>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D32939" w:rsidRPr="0080433A" w14:paraId="37E7A637" w14:textId="77777777">
        <w:tblPrEx>
          <w:tblCellMar>
            <w:top w:w="0" w:type="dxa"/>
            <w:bottom w:w="0" w:type="dxa"/>
          </w:tblCellMar>
        </w:tblPrEx>
        <w:tc>
          <w:tcPr>
            <w:tcW w:w="9360" w:type="dxa"/>
            <w:tcBorders>
              <w:top w:val="single" w:sz="4" w:space="0" w:color="222222"/>
              <w:left w:val="single" w:sz="28" w:space="0" w:color="FFCD5D"/>
              <w:bottom w:val="single" w:sz="4" w:space="0" w:color="222222"/>
              <w:right w:val="single" w:sz="4" w:space="0" w:color="222222"/>
            </w:tcBorders>
            <w:shd w:val="clear" w:color="auto" w:fill="FFF9E9"/>
            <w:tcMar>
              <w:top w:w="160" w:type="dxa"/>
              <w:left w:w="220" w:type="dxa"/>
              <w:bottom w:w="160" w:type="dxa"/>
              <w:right w:w="220" w:type="dxa"/>
            </w:tcMar>
          </w:tcPr>
          <w:p w14:paraId="61E38B3A" w14:textId="77777777" w:rsidR="00D32939" w:rsidRPr="0080433A" w:rsidRDefault="00000000">
            <w:pPr>
              <w:spacing w:after="60"/>
              <w:rPr>
                <w:rFonts w:ascii="Open Sauce One" w:hAnsi="Open Sauce One"/>
              </w:rPr>
            </w:pPr>
            <w:r w:rsidRPr="0080433A">
              <w:rPr>
                <w:rFonts w:ascii="Open Sauce One" w:eastAsia="Bookman Old Style" w:hAnsi="Open Sauce One" w:cs="Bookman Old Style"/>
                <w:b/>
                <w:bCs/>
                <w:color w:val="292876"/>
                <w:sz w:val="17"/>
                <w:szCs w:val="17"/>
              </w:rPr>
              <w:t>DRAFTING NOTE — CONDITIONAL VS. UNCONDITIONAL QUALIFYING FINANCING</w:t>
            </w:r>
          </w:p>
          <w:p w14:paraId="71612C26" w14:textId="1AE329FF" w:rsidR="00D32939" w:rsidRPr="0080433A" w:rsidRDefault="00000000">
            <w:pPr>
              <w:spacing w:line="264" w:lineRule="auto"/>
              <w:rPr>
                <w:rFonts w:ascii="Open Sauce One" w:hAnsi="Open Sauce One"/>
              </w:rPr>
            </w:pPr>
            <w:r w:rsidRPr="0080433A">
              <w:rPr>
                <w:rFonts w:ascii="Open Sauce One" w:hAnsi="Open Sauce One"/>
                <w:i/>
                <w:iCs/>
                <w:sz w:val="18"/>
                <w:szCs w:val="18"/>
              </w:rPr>
              <w:t>Some term sheets make the Qualifying Financing threshold “conditional” conversion only occurs if the round also closes at or above a minimum pre-money valuation to prevent a small, low-valued round from forcing an early, unfavorable conversion. Consider whether that protection is appropriate here before finalizing the definition above.</w:t>
            </w:r>
          </w:p>
        </w:tc>
      </w:tr>
    </w:tbl>
    <w:p w14:paraId="4CE061EC" w14:textId="77777777" w:rsidR="00D32939" w:rsidRPr="0080433A" w:rsidRDefault="00000000">
      <w:pPr>
        <w:rPr>
          <w:rFonts w:ascii="Open Sauce One" w:hAnsi="Open Sauce One"/>
        </w:rPr>
      </w:pPr>
      <w:r w:rsidRPr="0080433A">
        <w:rPr>
          <w:rFonts w:ascii="Open Sauce One" w:hAnsi="Open Sauce One"/>
        </w:rPr>
        <w:br w:type="page"/>
      </w:r>
    </w:p>
    <w:p w14:paraId="571981AF" w14:textId="77777777" w:rsidR="00D32939" w:rsidRPr="0080433A" w:rsidRDefault="00000000">
      <w:pPr>
        <w:pStyle w:val="Heading1"/>
        <w:pBdr>
          <w:bottom w:val="single" w:sz="10" w:space="5" w:color="633DA5"/>
        </w:pBdr>
        <w:spacing w:before="260" w:after="160"/>
        <w:rPr>
          <w:rFonts w:ascii="Open Sauce One" w:hAnsi="Open Sauce One"/>
        </w:rPr>
      </w:pPr>
      <w:r w:rsidRPr="0080433A">
        <w:rPr>
          <w:rFonts w:ascii="Open Sauce One" w:eastAsia="Bookman Old Style" w:hAnsi="Open Sauce One" w:cs="Bookman Old Style"/>
          <w:b/>
          <w:bCs/>
          <w:color w:val="292876"/>
          <w:sz w:val="27"/>
          <w:szCs w:val="27"/>
        </w:rPr>
        <w:lastRenderedPageBreak/>
        <w:t>Part B — Binding Provisions</w:t>
      </w:r>
    </w:p>
    <w:p w14:paraId="08910672" w14:textId="77777777" w:rsidR="00D32939" w:rsidRPr="0080433A" w:rsidRDefault="00000000">
      <w:pPr>
        <w:spacing w:after="160" w:line="288" w:lineRule="auto"/>
        <w:jc w:val="both"/>
        <w:rPr>
          <w:rFonts w:ascii="Open Sauce One" w:hAnsi="Open Sauce One"/>
        </w:rPr>
      </w:pPr>
      <w:r w:rsidRPr="0080433A">
        <w:rPr>
          <w:rFonts w:ascii="Open Sauce One" w:hAnsi="Open Sauce One"/>
        </w:rPr>
        <w:t>The following provisions of this Term Sheet are intended to be legally binding on the Company and the Investor(s) executing this Term Sheet, notwithstanding that the investment terms set out in Part A are not binding.</w:t>
      </w:r>
    </w:p>
    <w:p w14:paraId="3EB0FE29" w14:textId="77777777" w:rsidR="00D32939" w:rsidRPr="0080433A" w:rsidRDefault="00000000">
      <w:pPr>
        <w:spacing w:before="200" w:after="100"/>
        <w:rPr>
          <w:rFonts w:ascii="Open Sauce One" w:hAnsi="Open Sauce One"/>
        </w:rPr>
      </w:pPr>
      <w:r w:rsidRPr="0080433A">
        <w:rPr>
          <w:rFonts w:ascii="Open Sauce One" w:eastAsia="Bookman Old Style" w:hAnsi="Open Sauce One" w:cs="Bookman Old Style"/>
          <w:b/>
          <w:bCs/>
          <w:color w:val="292876"/>
          <w:sz w:val="21"/>
          <w:szCs w:val="21"/>
        </w:rPr>
        <w:t>B.1  Confidentiality</w:t>
      </w:r>
    </w:p>
    <w:p w14:paraId="27132DF5" w14:textId="77777777" w:rsidR="00D32939" w:rsidRPr="0080433A" w:rsidRDefault="00000000">
      <w:pPr>
        <w:spacing w:after="160" w:line="288" w:lineRule="auto"/>
        <w:jc w:val="both"/>
        <w:rPr>
          <w:rFonts w:ascii="Open Sauce One" w:hAnsi="Open Sauce One"/>
        </w:rPr>
      </w:pPr>
      <w:r w:rsidRPr="0080433A">
        <w:rPr>
          <w:rFonts w:ascii="Open Sauce One" w:hAnsi="Open Sauce One"/>
        </w:rPr>
        <w:t>The terms of this Term Sheet, including its existence, are confidential and shall not be disclosed by either party to any person other than a party’s officers, directors, employees, professional advisers, existing stockholders, or affiliates who have a need to know such information in connection with the proposed financing and who are bound by comparable confidentiality obligations, except as required by law or applicable regulation.</w:t>
      </w:r>
    </w:p>
    <w:p w14:paraId="25D6D949" w14:textId="77777777" w:rsidR="00D32939" w:rsidRPr="0080433A" w:rsidRDefault="00000000">
      <w:pPr>
        <w:spacing w:before="200" w:after="100"/>
        <w:rPr>
          <w:rFonts w:ascii="Open Sauce One" w:hAnsi="Open Sauce One"/>
        </w:rPr>
      </w:pPr>
      <w:r w:rsidRPr="0080433A">
        <w:rPr>
          <w:rFonts w:ascii="Open Sauce One" w:eastAsia="Bookman Old Style" w:hAnsi="Open Sauce One" w:cs="Bookman Old Style"/>
          <w:b/>
          <w:bCs/>
          <w:color w:val="292876"/>
          <w:sz w:val="21"/>
          <w:szCs w:val="21"/>
        </w:rPr>
        <w:t>B.2  Exclusivity / No-Shop</w:t>
      </w:r>
    </w:p>
    <w:p w14:paraId="3E5A91B9" w14:textId="77777777" w:rsidR="00D32939" w:rsidRPr="0080433A" w:rsidRDefault="00000000">
      <w:pPr>
        <w:spacing w:after="160" w:line="288" w:lineRule="auto"/>
        <w:jc w:val="both"/>
        <w:rPr>
          <w:rFonts w:ascii="Open Sauce One" w:hAnsi="Open Sauce One"/>
        </w:rPr>
      </w:pPr>
      <w:r w:rsidRPr="0080433A">
        <w:rPr>
          <w:rFonts w:ascii="Open Sauce One" w:hAnsi="Open Sauce One"/>
        </w:rPr>
        <w:t>For a period of [30–45] days following the date of this Term Sheet (the “Exclusivity Period”), the Company shall not, and shall cause its officers, directors, and representatives not to, solicit, initiate, encourage, or engage in discussions with any third party regarding an alternative investment in, or acquisition of, the Company, other than with the Investors named in this Term Sheet. This Section B.2 shall automatically terminate upon the earlier of (i) execution of the definitive Convertible Note Purchase Agreement, or (ii) written notice from the Investors that they do not intend to proceed with the financing.</w:t>
      </w:r>
    </w:p>
    <w:p w14:paraId="339535A2" w14:textId="77777777" w:rsidR="00D32939" w:rsidRPr="0080433A" w:rsidRDefault="00000000">
      <w:pPr>
        <w:spacing w:before="200" w:after="100"/>
        <w:rPr>
          <w:rFonts w:ascii="Open Sauce One" w:hAnsi="Open Sauce One"/>
        </w:rPr>
      </w:pPr>
      <w:r w:rsidRPr="0080433A">
        <w:rPr>
          <w:rFonts w:ascii="Open Sauce One" w:eastAsia="Bookman Old Style" w:hAnsi="Open Sauce One" w:cs="Bookman Old Style"/>
          <w:b/>
          <w:bCs/>
          <w:color w:val="292876"/>
          <w:sz w:val="21"/>
          <w:szCs w:val="21"/>
        </w:rPr>
        <w:t>B.3  Expenses</w:t>
      </w:r>
    </w:p>
    <w:p w14:paraId="7E375001" w14:textId="77777777" w:rsidR="00D32939" w:rsidRPr="0080433A" w:rsidRDefault="00000000">
      <w:pPr>
        <w:spacing w:after="160" w:line="288" w:lineRule="auto"/>
        <w:jc w:val="both"/>
        <w:rPr>
          <w:rFonts w:ascii="Open Sauce One" w:hAnsi="Open Sauce One"/>
        </w:rPr>
      </w:pPr>
      <w:r w:rsidRPr="0080433A">
        <w:rPr>
          <w:rFonts w:ascii="Open Sauce One" w:hAnsi="Open Sauce One"/>
        </w:rPr>
        <w:t>Except as otherwise agreed in Part A, each party shall bear its own costs and expenses (including legal fees) incurred in connection with the negotiation and preparation of this Term Sheet and the definitive financing documents.</w:t>
      </w:r>
    </w:p>
    <w:p w14:paraId="2B05337F" w14:textId="77777777" w:rsidR="00D32939" w:rsidRPr="0080433A" w:rsidRDefault="00000000">
      <w:pPr>
        <w:spacing w:before="200" w:after="100"/>
        <w:rPr>
          <w:rFonts w:ascii="Open Sauce One" w:hAnsi="Open Sauce One"/>
        </w:rPr>
      </w:pPr>
      <w:r w:rsidRPr="0080433A">
        <w:rPr>
          <w:rFonts w:ascii="Open Sauce One" w:eastAsia="Bookman Old Style" w:hAnsi="Open Sauce One" w:cs="Bookman Old Style"/>
          <w:b/>
          <w:bCs/>
          <w:color w:val="292876"/>
          <w:sz w:val="21"/>
          <w:szCs w:val="21"/>
        </w:rPr>
        <w:t>B.4  Governing Law</w:t>
      </w:r>
    </w:p>
    <w:p w14:paraId="01954FCE" w14:textId="77777777" w:rsidR="00D32939" w:rsidRPr="0080433A" w:rsidRDefault="00000000">
      <w:pPr>
        <w:spacing w:after="160" w:line="288" w:lineRule="auto"/>
        <w:jc w:val="both"/>
        <w:rPr>
          <w:rFonts w:ascii="Open Sauce One" w:hAnsi="Open Sauce One"/>
        </w:rPr>
      </w:pPr>
      <w:r w:rsidRPr="0080433A">
        <w:rPr>
          <w:rFonts w:ascii="Open Sauce One" w:hAnsi="Open Sauce One"/>
        </w:rPr>
        <w:t>This Term Sheet (including this Part B) shall be governed by and construed in accordance with the laws of the State of Delaware, without regard to its conflict of laws principles.</w:t>
      </w:r>
    </w:p>
    <w:p w14:paraId="58233BF2" w14:textId="77777777" w:rsidR="00D32939" w:rsidRPr="0080433A" w:rsidRDefault="00000000">
      <w:pPr>
        <w:spacing w:before="200" w:after="100"/>
        <w:rPr>
          <w:rFonts w:ascii="Open Sauce One" w:hAnsi="Open Sauce One"/>
        </w:rPr>
      </w:pPr>
      <w:r w:rsidRPr="0080433A">
        <w:rPr>
          <w:rFonts w:ascii="Open Sauce One" w:eastAsia="Bookman Old Style" w:hAnsi="Open Sauce One" w:cs="Bookman Old Style"/>
          <w:b/>
          <w:bCs/>
          <w:color w:val="292876"/>
          <w:sz w:val="21"/>
          <w:szCs w:val="21"/>
        </w:rPr>
        <w:t>B.5  Expiration</w:t>
      </w:r>
    </w:p>
    <w:p w14:paraId="5ABF8FE6" w14:textId="77777777" w:rsidR="00D32939" w:rsidRPr="0080433A" w:rsidRDefault="00000000">
      <w:pPr>
        <w:spacing w:after="160" w:line="288" w:lineRule="auto"/>
        <w:jc w:val="both"/>
        <w:rPr>
          <w:rFonts w:ascii="Open Sauce One" w:hAnsi="Open Sauce One"/>
        </w:rPr>
      </w:pPr>
      <w:r w:rsidRPr="0080433A">
        <w:rPr>
          <w:rFonts w:ascii="Open Sauce One" w:hAnsi="Open Sauce One"/>
        </w:rPr>
        <w:t>This Term Sheet shall expire, and Part B shall cease to be binding, if the definitive Convertible Note Purchase Agreement and Notes are not executed by the parties within [60] days of the date of this Term Sheet, unless extended by mutual written agreement.</w:t>
      </w:r>
    </w:p>
    <w:p w14:paraId="02005FD2" w14:textId="77777777" w:rsidR="00D32939" w:rsidRPr="0080433A" w:rsidRDefault="00D32939">
      <w:pPr>
        <w:spacing w:after="40"/>
        <w:rPr>
          <w:rFonts w:ascii="Open Sauce One" w:hAnsi="Open Sauce One"/>
        </w:rPr>
      </w:pPr>
    </w:p>
    <w:p w14:paraId="6368B907" w14:textId="77777777" w:rsidR="00D32939" w:rsidRPr="0080433A" w:rsidRDefault="00000000">
      <w:pPr>
        <w:spacing w:after="160" w:line="288" w:lineRule="auto"/>
        <w:jc w:val="both"/>
        <w:rPr>
          <w:rFonts w:ascii="Open Sauce One" w:hAnsi="Open Sauce One"/>
        </w:rPr>
      </w:pPr>
      <w:r w:rsidRPr="0080433A">
        <w:rPr>
          <w:rFonts w:ascii="Open Sauce One" w:hAnsi="Open Sauce One"/>
        </w:rPr>
        <w:t>To confirm your agreement to the terms above (including the binding provisions of Part B), please sign and date this Term Sheet in the space provided below and return an executed copy to the Company.</w:t>
      </w:r>
    </w:p>
    <w:p w14:paraId="438F3529" w14:textId="77777777" w:rsidR="00D32939" w:rsidRDefault="00D32939">
      <w:pPr>
        <w:spacing w:after="40"/>
        <w:rPr>
          <w:rFonts w:ascii="Open Sauce One" w:hAnsi="Open Sauce One"/>
        </w:rPr>
      </w:pPr>
    </w:p>
    <w:p w14:paraId="6271EF3C" w14:textId="77777777" w:rsidR="0080433A" w:rsidRDefault="0080433A">
      <w:pPr>
        <w:spacing w:after="40"/>
        <w:rPr>
          <w:rFonts w:ascii="Open Sauce One" w:hAnsi="Open Sauce One"/>
        </w:rPr>
      </w:pPr>
    </w:p>
    <w:p w14:paraId="6CC2FFE8" w14:textId="77777777" w:rsidR="0080433A" w:rsidRDefault="0080433A">
      <w:pPr>
        <w:spacing w:after="40"/>
        <w:rPr>
          <w:rFonts w:ascii="Open Sauce One" w:hAnsi="Open Sauce One"/>
        </w:rPr>
      </w:pPr>
    </w:p>
    <w:p w14:paraId="2C9BCC7E" w14:textId="77777777" w:rsidR="0080433A" w:rsidRDefault="0080433A">
      <w:pPr>
        <w:spacing w:after="40"/>
        <w:rPr>
          <w:rFonts w:ascii="Open Sauce One" w:hAnsi="Open Sauce One"/>
        </w:rPr>
      </w:pPr>
    </w:p>
    <w:p w14:paraId="66E7470C" w14:textId="77777777" w:rsidR="0080433A" w:rsidRDefault="0080433A">
      <w:pPr>
        <w:spacing w:after="40"/>
        <w:rPr>
          <w:rFonts w:ascii="Open Sauce One" w:hAnsi="Open Sauce One"/>
        </w:rPr>
      </w:pPr>
    </w:p>
    <w:p w14:paraId="23B5990A" w14:textId="77777777" w:rsidR="0080433A" w:rsidRDefault="0080433A">
      <w:pPr>
        <w:spacing w:after="40"/>
        <w:rPr>
          <w:rFonts w:ascii="Open Sauce One" w:hAnsi="Open Sauce One"/>
        </w:rPr>
      </w:pPr>
    </w:p>
    <w:p w14:paraId="52E76BB2" w14:textId="77777777" w:rsidR="0080433A" w:rsidRDefault="0080433A">
      <w:pPr>
        <w:spacing w:after="40"/>
        <w:rPr>
          <w:rFonts w:ascii="Open Sauce One" w:hAnsi="Open Sauce One"/>
        </w:rPr>
      </w:pPr>
    </w:p>
    <w:p w14:paraId="212268B9" w14:textId="77777777" w:rsidR="0080433A" w:rsidRPr="0080433A" w:rsidRDefault="0080433A">
      <w:pPr>
        <w:spacing w:after="40"/>
        <w:rPr>
          <w:rFonts w:ascii="Open Sauce One" w:hAnsi="Open Sauce One"/>
        </w:rPr>
      </w:pPr>
    </w:p>
    <w:p w14:paraId="67F73AC9" w14:textId="77777777" w:rsidR="00D32939" w:rsidRPr="0080433A" w:rsidRDefault="00000000">
      <w:pPr>
        <w:spacing w:before="300" w:after="260"/>
        <w:rPr>
          <w:rFonts w:ascii="Open Sauce One" w:hAnsi="Open Sauce One"/>
        </w:rPr>
      </w:pPr>
      <w:r w:rsidRPr="0080433A">
        <w:rPr>
          <w:rFonts w:ascii="Open Sauce One" w:eastAsia="Bookman Old Style" w:hAnsi="Open Sauce One" w:cs="Bookman Old Style"/>
          <w:b/>
          <w:bCs/>
          <w:color w:val="292876"/>
        </w:rPr>
        <w:lastRenderedPageBreak/>
        <w:t>COMPANY: [COMPANY NAME]</w:t>
      </w:r>
    </w:p>
    <w:p w14:paraId="12972982" w14:textId="77777777" w:rsidR="00D32939" w:rsidRPr="0080433A" w:rsidRDefault="00000000">
      <w:pPr>
        <w:spacing w:after="200"/>
        <w:rPr>
          <w:rFonts w:ascii="Open Sauce One" w:hAnsi="Open Sauce One"/>
        </w:rPr>
      </w:pPr>
      <w:r w:rsidRPr="0080433A">
        <w:rPr>
          <w:rFonts w:ascii="Open Sauce One" w:hAnsi="Open Sauce One"/>
          <w:sz w:val="19"/>
          <w:szCs w:val="19"/>
        </w:rPr>
        <w:t>By:  _________________________________________</w:t>
      </w:r>
    </w:p>
    <w:p w14:paraId="4C2016B3" w14:textId="77777777" w:rsidR="00D32939" w:rsidRPr="0080433A" w:rsidRDefault="00000000">
      <w:pPr>
        <w:spacing w:after="200"/>
        <w:rPr>
          <w:rFonts w:ascii="Open Sauce One" w:hAnsi="Open Sauce One"/>
        </w:rPr>
      </w:pPr>
      <w:r w:rsidRPr="0080433A">
        <w:rPr>
          <w:rFonts w:ascii="Open Sauce One" w:hAnsi="Open Sauce One"/>
          <w:sz w:val="19"/>
          <w:szCs w:val="19"/>
        </w:rPr>
        <w:t>Name:  _________________________________________</w:t>
      </w:r>
    </w:p>
    <w:p w14:paraId="0613ACE5" w14:textId="77777777" w:rsidR="00D32939" w:rsidRPr="0080433A" w:rsidRDefault="00000000">
      <w:pPr>
        <w:spacing w:after="200"/>
        <w:rPr>
          <w:rFonts w:ascii="Open Sauce One" w:hAnsi="Open Sauce One"/>
        </w:rPr>
      </w:pPr>
      <w:r w:rsidRPr="0080433A">
        <w:rPr>
          <w:rFonts w:ascii="Open Sauce One" w:hAnsi="Open Sauce One"/>
          <w:sz w:val="19"/>
          <w:szCs w:val="19"/>
        </w:rPr>
        <w:t>Title:  _________________________________________</w:t>
      </w:r>
    </w:p>
    <w:p w14:paraId="3BDC74D4" w14:textId="77777777" w:rsidR="00D32939" w:rsidRPr="0080433A" w:rsidRDefault="00000000">
      <w:pPr>
        <w:spacing w:after="200"/>
        <w:rPr>
          <w:rFonts w:ascii="Open Sauce One" w:hAnsi="Open Sauce One"/>
        </w:rPr>
      </w:pPr>
      <w:r w:rsidRPr="0080433A">
        <w:rPr>
          <w:rFonts w:ascii="Open Sauce One" w:hAnsi="Open Sauce One"/>
          <w:sz w:val="19"/>
          <w:szCs w:val="19"/>
        </w:rPr>
        <w:t>Date:  _________________________________________</w:t>
      </w:r>
    </w:p>
    <w:p w14:paraId="137AC63B" w14:textId="77777777" w:rsidR="00D32939" w:rsidRPr="0080433A" w:rsidRDefault="00D32939">
      <w:pPr>
        <w:spacing w:after="40"/>
        <w:rPr>
          <w:rFonts w:ascii="Open Sauce One" w:hAnsi="Open Sauce One"/>
        </w:rPr>
      </w:pPr>
    </w:p>
    <w:p w14:paraId="68137769" w14:textId="77777777" w:rsidR="00D32939" w:rsidRPr="0080433A" w:rsidRDefault="00D32939">
      <w:pPr>
        <w:spacing w:after="40"/>
        <w:rPr>
          <w:rFonts w:ascii="Open Sauce One" w:hAnsi="Open Sauce One"/>
        </w:rPr>
      </w:pPr>
    </w:p>
    <w:p w14:paraId="4DD8D6E7" w14:textId="77777777" w:rsidR="00D32939" w:rsidRPr="0080433A" w:rsidRDefault="00000000">
      <w:pPr>
        <w:spacing w:before="300" w:after="260"/>
        <w:rPr>
          <w:rFonts w:ascii="Open Sauce One" w:hAnsi="Open Sauce One"/>
        </w:rPr>
      </w:pPr>
      <w:r w:rsidRPr="0080433A">
        <w:rPr>
          <w:rFonts w:ascii="Open Sauce One" w:eastAsia="Bookman Old Style" w:hAnsi="Open Sauce One" w:cs="Bookman Old Style"/>
          <w:b/>
          <w:bCs/>
          <w:color w:val="292876"/>
        </w:rPr>
        <w:t>INVESTOR: [INVESTOR NAME]</w:t>
      </w:r>
    </w:p>
    <w:p w14:paraId="12B93B01" w14:textId="77777777" w:rsidR="00D32939" w:rsidRPr="0080433A" w:rsidRDefault="00000000">
      <w:pPr>
        <w:spacing w:after="200"/>
        <w:rPr>
          <w:rFonts w:ascii="Open Sauce One" w:hAnsi="Open Sauce One"/>
        </w:rPr>
      </w:pPr>
      <w:r w:rsidRPr="0080433A">
        <w:rPr>
          <w:rFonts w:ascii="Open Sauce One" w:hAnsi="Open Sauce One"/>
          <w:sz w:val="19"/>
          <w:szCs w:val="19"/>
        </w:rPr>
        <w:t>By:  _________________________________________</w:t>
      </w:r>
    </w:p>
    <w:p w14:paraId="67195C18" w14:textId="77777777" w:rsidR="00D32939" w:rsidRPr="0080433A" w:rsidRDefault="00000000">
      <w:pPr>
        <w:spacing w:after="200"/>
        <w:rPr>
          <w:rFonts w:ascii="Open Sauce One" w:hAnsi="Open Sauce One"/>
        </w:rPr>
      </w:pPr>
      <w:r w:rsidRPr="0080433A">
        <w:rPr>
          <w:rFonts w:ascii="Open Sauce One" w:hAnsi="Open Sauce One"/>
          <w:sz w:val="19"/>
          <w:szCs w:val="19"/>
        </w:rPr>
        <w:t>Name:  _________________________________________</w:t>
      </w:r>
    </w:p>
    <w:p w14:paraId="52EEF08A" w14:textId="77777777" w:rsidR="00D32939" w:rsidRPr="0080433A" w:rsidRDefault="00000000">
      <w:pPr>
        <w:spacing w:after="200"/>
        <w:rPr>
          <w:rFonts w:ascii="Open Sauce One" w:hAnsi="Open Sauce One"/>
        </w:rPr>
      </w:pPr>
      <w:r w:rsidRPr="0080433A">
        <w:rPr>
          <w:rFonts w:ascii="Open Sauce One" w:hAnsi="Open Sauce One"/>
          <w:sz w:val="19"/>
          <w:szCs w:val="19"/>
        </w:rPr>
        <w:t>Title:  _________________________________________</w:t>
      </w:r>
    </w:p>
    <w:p w14:paraId="338EC695" w14:textId="77777777" w:rsidR="00D32939" w:rsidRPr="0080433A" w:rsidRDefault="00000000">
      <w:pPr>
        <w:spacing w:after="200"/>
        <w:rPr>
          <w:rFonts w:ascii="Open Sauce One" w:hAnsi="Open Sauce One"/>
        </w:rPr>
      </w:pPr>
      <w:r w:rsidRPr="0080433A">
        <w:rPr>
          <w:rFonts w:ascii="Open Sauce One" w:hAnsi="Open Sauce One"/>
          <w:sz w:val="19"/>
          <w:szCs w:val="19"/>
        </w:rPr>
        <w:t>Date:  _________________________________________</w:t>
      </w:r>
    </w:p>
    <w:p w14:paraId="076523EA" w14:textId="77777777" w:rsidR="00D32939" w:rsidRPr="0080433A" w:rsidRDefault="00000000">
      <w:pPr>
        <w:rPr>
          <w:rFonts w:ascii="Open Sauce One" w:hAnsi="Open Sauce One"/>
        </w:rPr>
      </w:pPr>
      <w:r w:rsidRPr="0080433A">
        <w:rPr>
          <w:rFonts w:ascii="Open Sauce One" w:hAnsi="Open Sauce One"/>
        </w:rPr>
        <w:br w:type="page"/>
      </w:r>
    </w:p>
    <w:p w14:paraId="70D6BD7E" w14:textId="77777777" w:rsidR="00D32939" w:rsidRPr="0080433A" w:rsidRDefault="00000000">
      <w:pPr>
        <w:pStyle w:val="Heading1"/>
        <w:pBdr>
          <w:bottom w:val="single" w:sz="10" w:space="5" w:color="633DA5"/>
        </w:pBdr>
        <w:spacing w:before="260" w:after="160"/>
        <w:rPr>
          <w:rFonts w:ascii="Open Sauce One" w:hAnsi="Open Sauce One"/>
        </w:rPr>
      </w:pPr>
      <w:r w:rsidRPr="0080433A">
        <w:rPr>
          <w:rFonts w:ascii="Open Sauce One" w:eastAsia="Bookman Old Style" w:hAnsi="Open Sauce One" w:cs="Bookman Old Style"/>
          <w:b/>
          <w:bCs/>
          <w:color w:val="292876"/>
          <w:sz w:val="27"/>
          <w:szCs w:val="27"/>
        </w:rPr>
        <w:lastRenderedPageBreak/>
        <w:t>Important Notice</w:t>
      </w:r>
    </w:p>
    <w:p w14:paraId="79306E46" w14:textId="77777777" w:rsidR="00D32939" w:rsidRPr="0080433A" w:rsidRDefault="00000000">
      <w:pPr>
        <w:spacing w:after="160" w:line="288" w:lineRule="auto"/>
        <w:jc w:val="both"/>
        <w:rPr>
          <w:rFonts w:ascii="Open Sauce One" w:hAnsi="Open Sauce One"/>
        </w:rPr>
      </w:pPr>
      <w:r w:rsidRPr="0080433A">
        <w:rPr>
          <w:rFonts w:ascii="Open Sauce One" w:hAnsi="Open Sauce One"/>
        </w:rPr>
        <w:t>This Convertible Note Term Sheet has been prepared by Qapita as a general-purpose market reference template for US convertible note financings. It is based on customary provisions found in widely used forms, including those published by Fenwick &amp; West, Practical Law, and Y Combinator, together with structural conventions observed in Southeast Asian and other global markets, adapted for Delaware / US practice.</w:t>
      </w:r>
    </w:p>
    <w:p w14:paraId="52037C06" w14:textId="77777777" w:rsidR="00D32939" w:rsidRPr="0080433A" w:rsidRDefault="00000000">
      <w:pPr>
        <w:spacing w:after="160" w:line="288" w:lineRule="auto"/>
        <w:jc w:val="both"/>
        <w:rPr>
          <w:rFonts w:ascii="Open Sauce One" w:hAnsi="Open Sauce One"/>
        </w:rPr>
      </w:pPr>
      <w:r w:rsidRPr="0080433A">
        <w:rPr>
          <w:rFonts w:ascii="Open Sauce One" w:hAnsi="Open Sauce One"/>
        </w:rPr>
        <w:t>This template is provided for informational and educational purposes only. It does not constitute legal, tax, or accounting advice, and it is not a substitute for advice from qualified, independent counsel licensed in the relevant jurisdiction. Convertible note financings involve securities law considerations (including Regulation D, Section 4(a)(2), and state Blue Sky filings), tax considerations (including original issue discount and Section 1202 / QSBS eligibility), and corporate governance considerations that vary by company, investor, and transaction. Every bracketed [placeholder] and italicized drafting note in this document must be reviewed, completed, or deleted by counsel before use.</w:t>
      </w:r>
    </w:p>
    <w:p w14:paraId="6AB9D11D" w14:textId="77777777" w:rsidR="00D32939" w:rsidRPr="0080433A" w:rsidRDefault="00000000">
      <w:pPr>
        <w:spacing w:after="160" w:line="288" w:lineRule="auto"/>
        <w:jc w:val="both"/>
        <w:rPr>
          <w:rFonts w:ascii="Open Sauce One" w:hAnsi="Open Sauce One"/>
        </w:rPr>
      </w:pPr>
      <w:r w:rsidRPr="0080433A">
        <w:rPr>
          <w:rFonts w:ascii="Open Sauce One" w:hAnsi="Open Sauce One"/>
        </w:rPr>
        <w:t>Qapita does not assume any responsibility or liability for the use of this template, and its use does not create an attorney-client relationship or any advisory relationship between Qapita and the user.</w:t>
      </w:r>
    </w:p>
    <w:p w14:paraId="759824B1" w14:textId="77777777" w:rsidR="00D32939" w:rsidRPr="0080433A" w:rsidRDefault="00D32939">
      <w:pPr>
        <w:spacing w:after="40"/>
        <w:rPr>
          <w:rFonts w:ascii="Open Sauce One" w:hAnsi="Open Sauce One"/>
        </w:rPr>
      </w:pPr>
    </w:p>
    <w:p w14:paraId="68C48E5D" w14:textId="77777777" w:rsidR="00D32939" w:rsidRPr="0080433A" w:rsidRDefault="00D32939">
      <w:pPr>
        <w:spacing w:after="40"/>
        <w:rPr>
          <w:rFonts w:ascii="Open Sauce One" w:hAnsi="Open Sauce One"/>
        </w:rPr>
      </w:pPr>
    </w:p>
    <w:p w14:paraId="40F5F6BE" w14:textId="40183894" w:rsidR="00D32939" w:rsidRPr="0080433A" w:rsidRDefault="00D32939">
      <w:pPr>
        <w:spacing w:after="200"/>
        <w:jc w:val="center"/>
        <w:rPr>
          <w:rFonts w:ascii="Open Sauce One" w:hAnsi="Open Sauce One"/>
        </w:rPr>
      </w:pPr>
    </w:p>
    <w:sectPr w:rsidR="00D32939" w:rsidRPr="0080433A" w:rsidSect="0080433A">
      <w:headerReference w:type="default" r:id="rId7"/>
      <w:footerReference w:type="default" r:id="rId8"/>
      <w:pgSz w:w="12240" w:h="15840"/>
      <w:pgMar w:top="1080" w:right="1080" w:bottom="1080" w:left="1080" w:header="170"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8FF09" w14:textId="77777777" w:rsidR="006335B5" w:rsidRDefault="006335B5">
      <w:r>
        <w:separator/>
      </w:r>
    </w:p>
  </w:endnote>
  <w:endnote w:type="continuationSeparator" w:id="0">
    <w:p w14:paraId="27FA0B6A" w14:textId="77777777" w:rsidR="006335B5" w:rsidRDefault="00633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uce One">
    <w:panose1 w:val="00000500000000000000"/>
    <w:charset w:val="00"/>
    <w:family w:val="auto"/>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216EB" w14:textId="77777777" w:rsidR="00D32939" w:rsidRDefault="00000000">
    <w:pPr>
      <w:pBdr>
        <w:top w:val="single" w:sz="4" w:space="4" w:color="D9D3E8"/>
      </w:pBdr>
      <w:tabs>
        <w:tab w:val="right" w:pos="9026"/>
      </w:tabs>
    </w:pPr>
    <w:r>
      <w:rPr>
        <w:i/>
        <w:iCs/>
        <w:color w:val="5A5A5A"/>
        <w:sz w:val="15"/>
        <w:szCs w:val="15"/>
      </w:rPr>
      <w:t>Qapita  |  US Market Legal Template Suite</w:t>
    </w:r>
    <w:r>
      <w:rPr>
        <w:sz w:val="15"/>
        <w:szCs w:val="15"/>
      </w:rPr>
      <w:tab/>
    </w:r>
    <w:r>
      <w:rPr>
        <w:color w:val="5A5A5A"/>
        <w:sz w:val="15"/>
        <w:szCs w:val="15"/>
      </w:rPr>
      <w:t xml:space="preserve">Page </w:t>
    </w:r>
    <w:r>
      <w:rPr>
        <w:color w:val="5A5A5A"/>
        <w:sz w:val="15"/>
        <w:szCs w:val="15"/>
      </w:rPr>
      <w:fldChar w:fldCharType="begin"/>
    </w:r>
    <w:r>
      <w:rPr>
        <w:color w:val="5A5A5A"/>
        <w:sz w:val="15"/>
        <w:szCs w:val="15"/>
      </w:rPr>
      <w:instrText>PAGE</w:instrText>
    </w:r>
    <w:r>
      <w:rPr>
        <w:color w:val="5A5A5A"/>
        <w:sz w:val="15"/>
        <w:szCs w:val="15"/>
      </w:rPr>
      <w:fldChar w:fldCharType="separate"/>
    </w:r>
    <w:r w:rsidR="0080433A">
      <w:rPr>
        <w:noProof/>
        <w:color w:val="5A5A5A"/>
        <w:sz w:val="15"/>
        <w:szCs w:val="15"/>
      </w:rPr>
      <w:t>1</w:t>
    </w:r>
    <w:r>
      <w:rPr>
        <w:color w:val="5A5A5A"/>
        <w:sz w:val="15"/>
        <w:szCs w:val="15"/>
      </w:rPr>
      <w:fldChar w:fldCharType="end"/>
    </w:r>
    <w:r>
      <w:rPr>
        <w:color w:val="5A5A5A"/>
        <w:sz w:val="15"/>
        <w:szCs w:val="15"/>
      </w:rPr>
      <w:t xml:space="preserve"> of </w:t>
    </w:r>
    <w:r>
      <w:rPr>
        <w:color w:val="5A5A5A"/>
        <w:sz w:val="15"/>
        <w:szCs w:val="15"/>
      </w:rPr>
      <w:fldChar w:fldCharType="begin"/>
    </w:r>
    <w:r>
      <w:rPr>
        <w:color w:val="5A5A5A"/>
        <w:sz w:val="15"/>
        <w:szCs w:val="15"/>
      </w:rPr>
      <w:instrText>NUMPAGES</w:instrText>
    </w:r>
    <w:r>
      <w:rPr>
        <w:color w:val="5A5A5A"/>
        <w:sz w:val="15"/>
        <w:szCs w:val="15"/>
      </w:rPr>
      <w:fldChar w:fldCharType="separate"/>
    </w:r>
    <w:r w:rsidR="0080433A">
      <w:rPr>
        <w:noProof/>
        <w:color w:val="5A5A5A"/>
        <w:sz w:val="15"/>
        <w:szCs w:val="15"/>
      </w:rPr>
      <w:t>2</w:t>
    </w:r>
    <w:r>
      <w:rPr>
        <w:color w:val="5A5A5A"/>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B2E90" w14:textId="77777777" w:rsidR="006335B5" w:rsidRDefault="006335B5">
      <w:r>
        <w:separator/>
      </w:r>
    </w:p>
  </w:footnote>
  <w:footnote w:type="continuationSeparator" w:id="0">
    <w:p w14:paraId="2D6183CA" w14:textId="77777777" w:rsidR="006335B5" w:rsidRDefault="006335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859A0" w14:textId="4403A65A" w:rsidR="0080433A" w:rsidRDefault="0080433A">
    <w:pPr>
      <w:pStyle w:val="Header"/>
    </w:pPr>
    <w:r>
      <w:rPr>
        <w:noProof/>
      </w:rPr>
      <w:drawing>
        <wp:inline distT="0" distB="0" distL="0" distR="0" wp14:anchorId="5B11AC67" wp14:editId="21678C5B">
          <wp:extent cx="1276350" cy="455713"/>
          <wp:effectExtent l="0" t="0" r="0" b="1905"/>
          <wp:docPr id="185496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96062" name="Picture 185496062"/>
                  <pic:cNvPicPr/>
                </pic:nvPicPr>
                <pic:blipFill>
                  <a:blip r:embed="rId1">
                    <a:extLst>
                      <a:ext uri="{28A0092B-C50C-407E-A947-70E740481C1C}">
                        <a14:useLocalDpi xmlns:a14="http://schemas.microsoft.com/office/drawing/2010/main" val="0"/>
                      </a:ext>
                    </a:extLst>
                  </a:blip>
                  <a:stretch>
                    <a:fillRect/>
                  </a:stretch>
                </pic:blipFill>
                <pic:spPr>
                  <a:xfrm>
                    <a:off x="0" y="0"/>
                    <a:ext cx="1305079" cy="4659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8D501D"/>
    <w:multiLevelType w:val="hybridMultilevel"/>
    <w:tmpl w:val="571C3DBE"/>
    <w:lvl w:ilvl="0" w:tplc="FEB623B6">
      <w:start w:val="1"/>
      <w:numFmt w:val="bullet"/>
      <w:lvlText w:val="●"/>
      <w:lvlJc w:val="left"/>
      <w:pPr>
        <w:ind w:left="720" w:hanging="360"/>
      </w:pPr>
    </w:lvl>
    <w:lvl w:ilvl="1" w:tplc="6B204352">
      <w:start w:val="1"/>
      <w:numFmt w:val="bullet"/>
      <w:lvlText w:val="○"/>
      <w:lvlJc w:val="left"/>
      <w:pPr>
        <w:ind w:left="1440" w:hanging="360"/>
      </w:pPr>
    </w:lvl>
    <w:lvl w:ilvl="2" w:tplc="0A7A480A">
      <w:start w:val="1"/>
      <w:numFmt w:val="bullet"/>
      <w:lvlText w:val="■"/>
      <w:lvlJc w:val="left"/>
      <w:pPr>
        <w:ind w:left="2160" w:hanging="360"/>
      </w:pPr>
    </w:lvl>
    <w:lvl w:ilvl="3" w:tplc="3BACACFA">
      <w:start w:val="1"/>
      <w:numFmt w:val="bullet"/>
      <w:lvlText w:val="●"/>
      <w:lvlJc w:val="left"/>
      <w:pPr>
        <w:ind w:left="2880" w:hanging="360"/>
      </w:pPr>
    </w:lvl>
    <w:lvl w:ilvl="4" w:tplc="644E9FCA">
      <w:start w:val="1"/>
      <w:numFmt w:val="bullet"/>
      <w:lvlText w:val="○"/>
      <w:lvlJc w:val="left"/>
      <w:pPr>
        <w:ind w:left="3600" w:hanging="360"/>
      </w:pPr>
    </w:lvl>
    <w:lvl w:ilvl="5" w:tplc="7B46C4F6">
      <w:start w:val="1"/>
      <w:numFmt w:val="bullet"/>
      <w:lvlText w:val="■"/>
      <w:lvlJc w:val="left"/>
      <w:pPr>
        <w:ind w:left="4320" w:hanging="360"/>
      </w:pPr>
    </w:lvl>
    <w:lvl w:ilvl="6" w:tplc="8EBC5DA2">
      <w:start w:val="1"/>
      <w:numFmt w:val="bullet"/>
      <w:lvlText w:val="●"/>
      <w:lvlJc w:val="left"/>
      <w:pPr>
        <w:ind w:left="5040" w:hanging="360"/>
      </w:pPr>
    </w:lvl>
    <w:lvl w:ilvl="7" w:tplc="96FA8858">
      <w:start w:val="1"/>
      <w:numFmt w:val="bullet"/>
      <w:lvlText w:val="●"/>
      <w:lvlJc w:val="left"/>
      <w:pPr>
        <w:ind w:left="5760" w:hanging="360"/>
      </w:pPr>
    </w:lvl>
    <w:lvl w:ilvl="8" w:tplc="2B303B8E">
      <w:start w:val="1"/>
      <w:numFmt w:val="bullet"/>
      <w:lvlText w:val="●"/>
      <w:lvlJc w:val="left"/>
      <w:pPr>
        <w:ind w:left="6480" w:hanging="360"/>
      </w:pPr>
    </w:lvl>
  </w:abstractNum>
  <w:num w:numId="1" w16cid:durableId="171554490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939"/>
    <w:rsid w:val="006335B5"/>
    <w:rsid w:val="0080433A"/>
    <w:rsid w:val="00D32939"/>
    <w:rsid w:val="00DE2BD0"/>
    <w:rsid w:val="00E7492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F9D2C"/>
  <w15:docId w15:val="{94956D6B-7F00-4C53-B28C-A7DA83C1D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22222"/>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80433A"/>
    <w:pPr>
      <w:tabs>
        <w:tab w:val="center" w:pos="4513"/>
        <w:tab w:val="right" w:pos="9026"/>
      </w:tabs>
    </w:pPr>
  </w:style>
  <w:style w:type="character" w:customStyle="1" w:styleId="HeaderChar">
    <w:name w:val="Header Char"/>
    <w:basedOn w:val="DefaultParagraphFont"/>
    <w:link w:val="Header"/>
    <w:uiPriority w:val="99"/>
    <w:rsid w:val="0080433A"/>
  </w:style>
  <w:style w:type="paragraph" w:styleId="Footer">
    <w:name w:val="footer"/>
    <w:basedOn w:val="Normal"/>
    <w:link w:val="FooterChar"/>
    <w:uiPriority w:val="99"/>
    <w:unhideWhenUsed/>
    <w:rsid w:val="0080433A"/>
    <w:pPr>
      <w:tabs>
        <w:tab w:val="center" w:pos="4513"/>
        <w:tab w:val="right" w:pos="9026"/>
      </w:tabs>
    </w:pPr>
  </w:style>
  <w:style w:type="character" w:customStyle="1" w:styleId="FooterChar">
    <w:name w:val="Footer Char"/>
    <w:basedOn w:val="DefaultParagraphFont"/>
    <w:link w:val="Footer"/>
    <w:uiPriority w:val="99"/>
    <w:rsid w:val="008043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31DD586C3C1D4E900F32054B159C17" ma:contentTypeVersion="26" ma:contentTypeDescription="Create a new document." ma:contentTypeScope="" ma:versionID="d6824156a1794f5786e227717aa7136a">
  <xsd:schema xmlns:xsd="http://www.w3.org/2001/XMLSchema" xmlns:xs="http://www.w3.org/2001/XMLSchema" xmlns:p="http://schemas.microsoft.com/office/2006/metadata/properties" xmlns:ns1="http://schemas.microsoft.com/sharepoint/v3" xmlns:ns2="07e3052f-dd80-493e-b073-5a9267ae3764" xmlns:ns3="0483de9d-17be-4fea-8983-d8f042caf2ff" targetNamespace="http://schemas.microsoft.com/office/2006/metadata/properties" ma:root="true" ma:fieldsID="097424cf2a0ce2eb3fa73ead4348c854" ns1:_="" ns2:_="" ns3:_="">
    <xsd:import namespace="http://schemas.microsoft.com/sharepoint/v3"/>
    <xsd:import namespace="07e3052f-dd80-493e-b073-5a9267ae3764"/>
    <xsd:import namespace="0483de9d-17be-4fea-8983-d8f042caf2ff"/>
    <xsd:element name="properties">
      <xsd:complexType>
        <xsd:sequence>
          <xsd:element name="documentManagement">
            <xsd:complexType>
              <xsd:all>
                <xsd:element ref="ns2:MigrationWizId" minOccurs="0"/>
                <xsd:element ref="ns2:MigrationWizIdPermissions" minOccurs="0"/>
                <xsd:element ref="ns2:MigrationWizIdVersion" minOccurs="0"/>
                <xsd:element ref="ns2:MigrationWizIdPermissionLevels" minOccurs="0"/>
                <xsd:element ref="ns2:MigrationWizIdDocumentLibraryPermissions" minOccurs="0"/>
                <xsd:element ref="ns2:MigrationWizIdSecurityGroups" minOccurs="0"/>
                <xsd:element ref="ns2:lcf76f155ced4ddcb4097134ff3c332f0" minOccurs="0"/>
                <xsd:element ref="ns2:lcf76f155ced4ddcb4097134ff3c332f1" minOccurs="0"/>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e3052f-dd80-493e-b073-5a9267ae3764"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MigrationWizIdPermissionLevels" ma:index="11" nillable="true" ma:displayName="MigrationWizIdPermissionLevels" ma:internalName="MigrationWizIdPermissionLevels">
      <xsd:simpleType>
        <xsd:restriction base="dms:Text"/>
      </xsd:simpleType>
    </xsd:element>
    <xsd:element name="MigrationWizIdDocumentLibraryPermissions" ma:index="12" nillable="true" ma:displayName="MigrationWizIdDocumentLibraryPermissions" ma:internalName="MigrationWizIdDocumentLibraryPermissions">
      <xsd:simpleType>
        <xsd:restriction base="dms:Text"/>
      </xsd:simpleType>
    </xsd:element>
    <xsd:element name="MigrationWizIdSecurityGroups" ma:index="13" nillable="true" ma:displayName="MigrationWizIdSecurityGroups" ma:internalName="MigrationWizIdSecurityGroups">
      <xsd:simpleType>
        <xsd:restriction base="dms:Text"/>
      </xsd:simpleType>
    </xsd:element>
    <xsd:element name="lcf76f155ced4ddcb4097134ff3c332f0" ma:index="14" nillable="true" ma:displayName="Image Tags_0" ma:hidden="true" ma:internalName="lcf76f155ced4ddcb4097134ff3c332f0" ma:readOnly="false">
      <xsd:simpleType>
        <xsd:restriction base="dms:Note"/>
      </xsd:simpleType>
    </xsd:element>
    <xsd:element name="lcf76f155ced4ddcb4097134ff3c332f1" ma:index="15" nillable="true" ma:displayName="Image Tags_0" ma:hidden="true" ma:internalName="lcf76f155ced4ddcb4097134ff3c332f1" ma:readOnly="false">
      <xsd:simpleType>
        <xsd:restriction base="dms:Note"/>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71de680-0493-46ce-a329-1c3c79de96f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dexed="true" ma:internalName="MediaServiceLocation"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83de9d-17be-4fea-8983-d8f042caf2ff"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8eb097ad-acef-429e-b202-e38ca9c68dac}" ma:internalName="TaxCatchAll" ma:showField="CatchAllData" ma:web="0483de9d-17be-4fea-8983-d8f042caf2ff">
      <xsd:complexType>
        <xsd:complexContent>
          <xsd:extension base="dms:MultiChoiceLookup">
            <xsd:sequence>
              <xsd:element name="Value" type="dms:Lookup" maxOccurs="unbounded" minOccurs="0" nillable="true"/>
            </xsd:sequence>
          </xsd:extension>
        </xsd:complexContent>
      </xsd:complex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 xmlns="07e3052f-dd80-493e-b073-5a9267ae3764" xsi:nil="true"/>
    <MigrationWizIdPermissionLevels xmlns="07e3052f-dd80-493e-b073-5a9267ae3764" xsi:nil="true"/>
    <_ip_UnifiedCompliancePolicyUIAction xmlns="http://schemas.microsoft.com/sharepoint/v3" xsi:nil="true"/>
    <lcf76f155ced4ddcb4097134ff3c332f1 xmlns="07e3052f-dd80-493e-b073-5a9267ae3764" xsi:nil="true"/>
    <lcf76f155ced4ddcb4097134ff3c332f0 xmlns="07e3052f-dd80-493e-b073-5a9267ae3764" xsi:nil="true"/>
    <MigrationWizIdSecurityGroups xmlns="07e3052f-dd80-493e-b073-5a9267ae3764" xsi:nil="true"/>
    <TaxCatchAll xmlns="0483de9d-17be-4fea-8983-d8f042caf2ff" xsi:nil="true"/>
    <MigrationWizIdVersion xmlns="07e3052f-dd80-493e-b073-5a9267ae3764" xsi:nil="true"/>
    <MigrationWizIdPermissions xmlns="07e3052f-dd80-493e-b073-5a9267ae3764" xsi:nil="true"/>
    <MigrationWizIdDocumentLibraryPermissions xmlns="07e3052f-dd80-493e-b073-5a9267ae3764" xsi:nil="true"/>
    <_ip_UnifiedCompliancePolicyProperties xmlns="http://schemas.microsoft.com/sharepoint/v3" xsi:nil="true"/>
    <lcf76f155ced4ddcb4097134ff3c332f xmlns="07e3052f-dd80-493e-b073-5a9267ae376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C89EE68-7182-4ED3-AFF1-781EAEED2D4D}"/>
</file>

<file path=customXml/itemProps2.xml><?xml version="1.0" encoding="utf-8"?>
<ds:datastoreItem xmlns:ds="http://schemas.openxmlformats.org/officeDocument/2006/customXml" ds:itemID="{557CFCAB-62B0-4245-B0B0-CA4059ABE3AD}"/>
</file>

<file path=customXml/itemProps3.xml><?xml version="1.0" encoding="utf-8"?>
<ds:datastoreItem xmlns:ds="http://schemas.openxmlformats.org/officeDocument/2006/customXml" ds:itemID="{19D2D5E9-0594-423C-B6A9-F76E689A4107}"/>
</file>

<file path=docProps/app.xml><?xml version="1.0" encoding="utf-8"?>
<Properties xmlns="http://schemas.openxmlformats.org/officeDocument/2006/extended-properties" xmlns:vt="http://schemas.openxmlformats.org/officeDocument/2006/docPropsVTypes">
  <Template>Normal</Template>
  <TotalTime>7</TotalTime>
  <Pages>8</Pages>
  <Words>1784</Words>
  <Characters>10174</Characters>
  <Application>Microsoft Office Word</Application>
  <DocSecurity>0</DocSecurity>
  <Lines>84</Lines>
  <Paragraphs>23</Paragraphs>
  <ScaleCrop>false</ScaleCrop>
  <Company/>
  <LinksUpToDate>false</LinksUpToDate>
  <CharactersWithSpaces>11935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Sayan Banerjee</cp:lastModifiedBy>
  <cp:revision>8</cp:revision>
  <dcterms:created xsi:type="dcterms:W3CDTF">2026-07-16T05:15:00Z</dcterms:created>
  <dcterms:modified xsi:type="dcterms:W3CDTF">2026-07-16T07:10:00Z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0x0101008031DD586C3C1D4E900F32054B159C17</vt:lpwstr>
  </property>
</Properties>
</file>