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71ED" w14:textId="470CBFAD" w:rsidR="007922C8" w:rsidRDefault="007922C8" w:rsidP="009B5FD0">
      <w:pPr>
        <w:tabs>
          <w:tab w:val="left" w:pos="6659"/>
        </w:tabs>
        <w:rPr>
          <w:rFonts w:ascii="Open Sauce One" w:eastAsia="Bookman Old Style" w:hAnsi="Open Sauce One" w:cs="Bookman Old Style"/>
          <w:b/>
          <w:bCs/>
          <w:color w:val="1B2A4A"/>
          <w:sz w:val="60"/>
          <w:szCs w:val="60"/>
        </w:rPr>
      </w:pPr>
    </w:p>
    <w:p w14:paraId="7C5BDBED" w14:textId="77777777" w:rsidR="007922C8" w:rsidRDefault="007922C8" w:rsidP="007922C8">
      <w:pPr>
        <w:rPr>
          <w:rFonts w:ascii="Open Sauce One" w:eastAsia="Bookman Old Style" w:hAnsi="Open Sauce One" w:cs="Bookman Old Style"/>
          <w:b/>
          <w:bCs/>
          <w:color w:val="1B2A4A"/>
          <w:sz w:val="60"/>
          <w:szCs w:val="60"/>
        </w:rPr>
      </w:pPr>
    </w:p>
    <w:p w14:paraId="0A15779A" w14:textId="77777777" w:rsidR="007922C8" w:rsidRDefault="007922C8" w:rsidP="007922C8">
      <w:pPr>
        <w:rPr>
          <w:rFonts w:ascii="Open Sauce One" w:eastAsia="Bookman Old Style" w:hAnsi="Open Sauce One" w:cs="Bookman Old Style"/>
          <w:b/>
          <w:bCs/>
          <w:color w:val="1B2A4A"/>
          <w:sz w:val="60"/>
          <w:szCs w:val="60"/>
        </w:rPr>
      </w:pPr>
    </w:p>
    <w:p w14:paraId="52F9FF4D" w14:textId="77777777" w:rsidR="007922C8" w:rsidRDefault="007922C8" w:rsidP="007922C8">
      <w:pPr>
        <w:rPr>
          <w:rFonts w:ascii="Open Sauce One" w:eastAsia="Bookman Old Style" w:hAnsi="Open Sauce One" w:cs="Bookman Old Style"/>
          <w:b/>
          <w:bCs/>
          <w:color w:val="1B2A4A"/>
          <w:sz w:val="60"/>
          <w:szCs w:val="60"/>
        </w:rPr>
      </w:pPr>
    </w:p>
    <w:p w14:paraId="752399F8" w14:textId="4AA2F4D7" w:rsidR="007922C8" w:rsidRPr="00176E4F" w:rsidRDefault="007922C8" w:rsidP="007922C8">
      <w:pPr>
        <w:rPr>
          <w:rFonts w:ascii="Open Sauce One" w:hAnsi="Open Sauce One"/>
        </w:rPr>
      </w:pPr>
      <w:r>
        <w:rPr>
          <w:rFonts w:ascii="Open Sauce One" w:eastAsia="Bookman Old Style" w:hAnsi="Open Sauce One" w:cs="Bookman Old Style"/>
          <w:b/>
          <w:bCs/>
          <w:color w:val="1B2A4A"/>
          <w:sz w:val="60"/>
          <w:szCs w:val="60"/>
        </w:rPr>
        <w:t xml:space="preserve">   </w:t>
      </w:r>
      <w:r w:rsidR="009B5FD0" w:rsidRPr="009B5FD0">
        <w:rPr>
          <w:rFonts w:ascii="Open Sauce One" w:eastAsia="Bookman Old Style" w:hAnsi="Open Sauce One" w:cs="Bookman Old Style"/>
          <w:b/>
          <w:bCs/>
          <w:color w:val="1B2A4A"/>
          <w:sz w:val="60"/>
          <w:szCs w:val="60"/>
        </w:rPr>
        <w:t>VENTURE DEBT TERM SHEET</w:t>
      </w:r>
    </w:p>
    <w:p w14:paraId="71D6C2BD" w14:textId="3EEE5D77" w:rsidR="007922C8" w:rsidRPr="00176E4F" w:rsidRDefault="007922C8" w:rsidP="007922C8">
      <w:pPr>
        <w:spacing w:after="200"/>
        <w:rPr>
          <w:rFonts w:ascii="Open Sauce One" w:hAnsi="Open Sauce One"/>
        </w:rPr>
      </w:pPr>
      <w:r>
        <w:rPr>
          <w:rFonts w:ascii="Open Sauce One" w:eastAsia="Bookman Old Style" w:hAnsi="Open Sauce One" w:cs="Bookman Old Style"/>
          <w:b/>
          <w:bCs/>
          <w:color w:val="5B3B8C"/>
          <w:sz w:val="60"/>
          <w:szCs w:val="60"/>
        </w:rPr>
        <w:t xml:space="preserve">   </w:t>
      </w:r>
      <w:r w:rsidR="009B5FD0">
        <w:rPr>
          <w:rFonts w:ascii="Open Sauce One" w:eastAsia="Bookman Old Style" w:hAnsi="Open Sauce One" w:cs="Bookman Old Style"/>
          <w:b/>
          <w:bCs/>
          <w:color w:val="5B3B8C"/>
          <w:sz w:val="60"/>
          <w:szCs w:val="60"/>
        </w:rPr>
        <w:t>TEMPLATE</w:t>
      </w:r>
    </w:p>
    <w:p w14:paraId="4909C276" w14:textId="7A71E35B" w:rsidR="007922C8" w:rsidRDefault="007922C8" w:rsidP="007922C8">
      <w:pPr>
        <w:spacing w:before="100" w:after="100"/>
        <w:rPr>
          <w:rFonts w:ascii="Open Sauce One" w:hAnsi="Open Sauce One"/>
        </w:rPr>
      </w:pPr>
      <w:r>
        <w:rPr>
          <w:rFonts w:ascii="Open Sauce One" w:eastAsia="Bookman Old Style" w:hAnsi="Open Sauce One" w:cs="Bookman Old Style"/>
          <w:b/>
          <w:bCs/>
          <w:color w:val="C0347A"/>
          <w:sz w:val="28"/>
          <w:szCs w:val="28"/>
        </w:rPr>
        <w:t xml:space="preserve">    </w:t>
      </w:r>
    </w:p>
    <w:p w14:paraId="7145A7D4" w14:textId="77777777" w:rsidR="007922C8" w:rsidRPr="00176E4F" w:rsidRDefault="007922C8" w:rsidP="007922C8">
      <w:pPr>
        <w:spacing w:before="100" w:after="100"/>
        <w:rPr>
          <w:rFonts w:ascii="Open Sauce One" w:hAnsi="Open Sauce One"/>
        </w:rPr>
      </w:pPr>
    </w:p>
    <w:tbl>
      <w:tblPr>
        <w:tblW w:w="4829" w:type="pct"/>
        <w:tblInd w:w="209" w:type="dxa"/>
        <w:tblBorders>
          <w:top w:val="single" w:sz="4" w:space="0" w:color="F2B705"/>
          <w:left w:val="single" w:sz="4" w:space="0" w:color="F2B705"/>
          <w:bottom w:val="single" w:sz="4" w:space="0" w:color="F2B705"/>
          <w:right w:val="single" w:sz="4" w:space="0" w:color="F2B705"/>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12"/>
      </w:tblGrid>
      <w:tr w:rsidR="007922C8" w:rsidRPr="00176E4F" w14:paraId="539C0BA2" w14:textId="77777777" w:rsidTr="007922C8">
        <w:trPr>
          <w:trHeight w:val="1233"/>
        </w:trPr>
        <w:tc>
          <w:tcPr>
            <w:tcW w:w="5000" w:type="pct"/>
            <w:shd w:val="clear" w:color="auto" w:fill="FDF6E3"/>
            <w:tcMar>
              <w:top w:w="160" w:type="dxa"/>
              <w:left w:w="200" w:type="dxa"/>
              <w:bottom w:w="160" w:type="dxa"/>
              <w:right w:w="200" w:type="dxa"/>
            </w:tcMar>
          </w:tcPr>
          <w:p w14:paraId="16760B2D" w14:textId="77777777" w:rsidR="007922C8" w:rsidRPr="00176E4F" w:rsidRDefault="007922C8" w:rsidP="006B5D05">
            <w:pPr>
              <w:spacing w:after="60"/>
              <w:rPr>
                <w:rFonts w:ascii="Open Sauce One" w:hAnsi="Open Sauce One"/>
              </w:rPr>
            </w:pPr>
            <w:r w:rsidRPr="00176E4F">
              <w:rPr>
                <w:rFonts w:ascii="Open Sauce One" w:hAnsi="Open Sauce One"/>
                <w:b/>
                <w:bCs/>
                <w:color w:val="1B2A4A"/>
                <w:sz w:val="19"/>
                <w:szCs w:val="19"/>
              </w:rPr>
              <w:t>TEMPLATE NOTE</w:t>
            </w:r>
            <w:r>
              <w:rPr>
                <w:rFonts w:ascii="Open Sauce One" w:hAnsi="Open Sauce One"/>
                <w:b/>
                <w:bCs/>
                <w:color w:val="1B2A4A"/>
                <w:sz w:val="19"/>
                <w:szCs w:val="19"/>
              </w:rPr>
              <w:t>/ DISCLAIMER</w:t>
            </w:r>
          </w:p>
          <w:p w14:paraId="49977CD0" w14:textId="1EE5D266" w:rsidR="007922C8" w:rsidRPr="00176E4F" w:rsidRDefault="009B5FD0" w:rsidP="006B5D05">
            <w:pPr>
              <w:spacing w:line="264" w:lineRule="auto"/>
              <w:rPr>
                <w:rFonts w:ascii="Open Sauce One" w:hAnsi="Open Sauce One"/>
              </w:rPr>
            </w:pPr>
            <w:r w:rsidRPr="009B5FD0">
              <w:rPr>
                <w:rFonts w:ascii="Open Sauce One" w:hAnsi="Open Sauce One"/>
                <w:i/>
                <w:iCs/>
                <w:color w:val="5A5A5A"/>
                <w:sz w:val="19"/>
                <w:szCs w:val="19"/>
              </w:rPr>
              <w:t xml:space="preserve">These assets are provided for reference and informational purposes only. They are not legal, tax, or financial advice. </w:t>
            </w:r>
            <w:proofErr w:type="spellStart"/>
            <w:r w:rsidRPr="009B5FD0">
              <w:rPr>
                <w:rFonts w:ascii="Open Sauce One" w:hAnsi="Open Sauce One"/>
                <w:i/>
                <w:iCs/>
                <w:color w:val="5A5A5A"/>
                <w:sz w:val="19"/>
                <w:szCs w:val="19"/>
              </w:rPr>
              <w:t>Qapita</w:t>
            </w:r>
            <w:proofErr w:type="spellEnd"/>
            <w:r w:rsidRPr="009B5FD0">
              <w:rPr>
                <w:rFonts w:ascii="Open Sauce One" w:hAnsi="Open Sauce One"/>
                <w:i/>
                <w:iCs/>
                <w:color w:val="5A5A5A"/>
                <w:sz w:val="19"/>
                <w:szCs w:val="19"/>
              </w:rPr>
              <w:t xml:space="preserve"> assumes no legal responsibility or liability for the use, accuracy, or application of these materials. Users should consult with qualified legal, tax, and financial advisors before relying on or implementing any content contained herein.</w:t>
            </w:r>
          </w:p>
        </w:tc>
      </w:tr>
    </w:tbl>
    <w:p w14:paraId="74C6782E" w14:textId="77777777" w:rsidR="00D729DA" w:rsidRPr="007922C8" w:rsidRDefault="00D729DA">
      <w:pPr>
        <w:rPr>
          <w:rFonts w:ascii="Open Sauce One" w:hAnsi="Open Sauce One"/>
        </w:rPr>
        <w:sectPr w:rsidR="00D729DA" w:rsidRPr="007922C8">
          <w:headerReference w:type="default" r:id="rId7"/>
          <w:footerReference w:type="default" r:id="rId8"/>
          <w:pgSz w:w="12240" w:h="15840"/>
          <w:pgMar w:top="0" w:right="0" w:bottom="0" w:left="0" w:header="708" w:footer="708" w:gutter="0"/>
          <w:cols w:space="720"/>
          <w:docGrid w:linePitch="360"/>
        </w:sectPr>
      </w:pPr>
    </w:p>
    <w:p w14:paraId="7CFD7411"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lastRenderedPageBreak/>
        <w:t>Why This Template Exists</w:t>
      </w:r>
    </w:p>
    <w:p w14:paraId="225ABE04" w14:textId="67766454"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Venture debt term sheets look simple on the surface</w:t>
      </w:r>
      <w:r w:rsidR="009B5FD0">
        <w:rPr>
          <w:rFonts w:ascii="Open Sauce One" w:eastAsia="Calibri" w:hAnsi="Open Sauce One" w:cs="Calibri"/>
          <w:color w:val="2E2E2E"/>
          <w:sz w:val="21"/>
          <w:szCs w:val="21"/>
        </w:rPr>
        <w:t xml:space="preserve">, </w:t>
      </w:r>
      <w:r w:rsidRPr="007922C8">
        <w:rPr>
          <w:rFonts w:ascii="Open Sauce One" w:eastAsia="Calibri" w:hAnsi="Open Sauce One" w:cs="Calibri"/>
          <w:color w:val="2E2E2E"/>
          <w:sz w:val="21"/>
          <w:szCs w:val="21"/>
        </w:rPr>
        <w:t xml:space="preserve">a principal amount, an interest rate, a maturity date. The part that </w:t>
      </w:r>
      <w:proofErr w:type="gramStart"/>
      <w:r w:rsidRPr="007922C8">
        <w:rPr>
          <w:rFonts w:ascii="Open Sauce One" w:eastAsia="Calibri" w:hAnsi="Open Sauce One" w:cs="Calibri"/>
          <w:color w:val="2E2E2E"/>
          <w:sz w:val="21"/>
          <w:szCs w:val="21"/>
        </w:rPr>
        <w:t>actually moves</w:t>
      </w:r>
      <w:proofErr w:type="gramEnd"/>
      <w:r w:rsidRPr="007922C8">
        <w:rPr>
          <w:rFonts w:ascii="Open Sauce One" w:eastAsia="Calibri" w:hAnsi="Open Sauce One" w:cs="Calibri"/>
          <w:color w:val="2E2E2E"/>
          <w:sz w:val="21"/>
          <w:szCs w:val="21"/>
        </w:rPr>
        <w:t xml:space="preserve"> outcomes is buried in Section IV: warrant coverage. That single clause determines how much of the company the lender ends up owning, and it interacts directly with every prior equity round, every option pool top-up, and every future financing the company will raise.</w:t>
      </w:r>
    </w:p>
    <w:p w14:paraId="0E387373" w14:textId="210DD4D0"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 xml:space="preserve">Most term sheet templates including the one this is built from treat warrant coverage as a line item to fill in later. This template treats it as the term worth the most scrutiny, because that's where it actually </w:t>
      </w:r>
      <w:proofErr w:type="gramStart"/>
      <w:r w:rsidRPr="007922C8">
        <w:rPr>
          <w:rFonts w:ascii="Open Sauce One" w:eastAsia="Calibri" w:hAnsi="Open Sauce One" w:cs="Calibri"/>
          <w:color w:val="2E2E2E"/>
          <w:sz w:val="21"/>
          <w:szCs w:val="21"/>
        </w:rPr>
        <w:t>lives:</w:t>
      </w:r>
      <w:proofErr w:type="gramEnd"/>
      <w:r w:rsidRPr="007922C8">
        <w:rPr>
          <w:rFonts w:ascii="Open Sauce One" w:eastAsia="Calibri" w:hAnsi="Open Sauce One" w:cs="Calibri"/>
          <w:color w:val="2E2E2E"/>
          <w:sz w:val="21"/>
          <w:szCs w:val="21"/>
        </w:rPr>
        <w:t xml:space="preserve"> on the cap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45"/>
      </w:tblGrid>
      <w:tr w:rsidR="00D729DA" w:rsidRPr="007922C8" w14:paraId="379AC240" w14:textId="77777777">
        <w:tblPrEx>
          <w:tblCellMar>
            <w:top w:w="0" w:type="dxa"/>
            <w:bottom w:w="0" w:type="dxa"/>
          </w:tblCellMar>
        </w:tblPrEx>
        <w:trPr>
          <w:cantSplit/>
        </w:trPr>
        <w:tc>
          <w:tcPr>
            <w:tcW w:w="9360" w:type="dxa"/>
            <w:tcBorders>
              <w:top w:val="single" w:sz="4" w:space="0" w:color="F2B705"/>
              <w:left w:val="single" w:sz="24" w:space="0" w:color="F2B705"/>
              <w:bottom w:val="single" w:sz="4" w:space="0" w:color="F2B705"/>
              <w:right w:val="single" w:sz="4" w:space="0" w:color="F2B705"/>
            </w:tcBorders>
            <w:shd w:val="clear" w:color="auto" w:fill="F4F5F9"/>
            <w:tcMar>
              <w:top w:w="200" w:type="dxa"/>
              <w:left w:w="260" w:type="dxa"/>
              <w:bottom w:w="200" w:type="dxa"/>
              <w:right w:w="260" w:type="dxa"/>
            </w:tcMar>
          </w:tcPr>
          <w:p w14:paraId="26B1CE02" w14:textId="77777777" w:rsidR="00D729DA" w:rsidRPr="007922C8" w:rsidRDefault="00000000">
            <w:pPr>
              <w:spacing w:after="80"/>
              <w:rPr>
                <w:rFonts w:ascii="Open Sauce One" w:hAnsi="Open Sauce One"/>
              </w:rPr>
            </w:pPr>
            <w:r w:rsidRPr="007922C8">
              <w:rPr>
                <w:rFonts w:ascii="Open Sauce One" w:eastAsia="Bookman Old Style" w:hAnsi="Open Sauce One" w:cs="Bookman Old Style"/>
                <w:b/>
                <w:bCs/>
                <w:color w:val="1B2A5B"/>
                <w:sz w:val="21"/>
                <w:szCs w:val="21"/>
              </w:rPr>
              <w:t xml:space="preserve">Where </w:t>
            </w:r>
            <w:proofErr w:type="spellStart"/>
            <w:r w:rsidRPr="007922C8">
              <w:rPr>
                <w:rFonts w:ascii="Open Sauce One" w:eastAsia="Bookman Old Style" w:hAnsi="Open Sauce One" w:cs="Bookman Old Style"/>
                <w:b/>
                <w:bCs/>
                <w:color w:val="1B2A5B"/>
                <w:sz w:val="21"/>
                <w:szCs w:val="21"/>
              </w:rPr>
              <w:t>Qapita</w:t>
            </w:r>
            <w:proofErr w:type="spellEnd"/>
            <w:r w:rsidRPr="007922C8">
              <w:rPr>
                <w:rFonts w:ascii="Open Sauce One" w:eastAsia="Bookman Old Style" w:hAnsi="Open Sauce One" w:cs="Bookman Old Style"/>
                <w:b/>
                <w:bCs/>
                <w:color w:val="1B2A5B"/>
                <w:sz w:val="21"/>
                <w:szCs w:val="21"/>
              </w:rPr>
              <w:t xml:space="preserve"> fits</w:t>
            </w:r>
          </w:p>
          <w:p w14:paraId="0E38E44B" w14:textId="551CCD7A" w:rsidR="00D729DA" w:rsidRPr="007922C8" w:rsidRDefault="00000000">
            <w:pPr>
              <w:spacing w:line="270" w:lineRule="auto"/>
              <w:rPr>
                <w:rFonts w:ascii="Open Sauce One" w:hAnsi="Open Sauce One"/>
              </w:rPr>
            </w:pPr>
            <w:proofErr w:type="spellStart"/>
            <w:r w:rsidRPr="007922C8">
              <w:rPr>
                <w:rFonts w:ascii="Open Sauce One" w:eastAsia="Calibri" w:hAnsi="Open Sauce One" w:cs="Calibri"/>
                <w:color w:val="2E2E2E"/>
              </w:rPr>
              <w:t>Qapita</w:t>
            </w:r>
            <w:proofErr w:type="spellEnd"/>
            <w:r w:rsidRPr="007922C8">
              <w:rPr>
                <w:rFonts w:ascii="Open Sauce One" w:eastAsia="Calibri" w:hAnsi="Open Sauce One" w:cs="Calibri"/>
                <w:color w:val="2E2E2E"/>
              </w:rPr>
              <w:t xml:space="preserve"> is the equity management platform of record for 2,700+ companies across India, Southeast Asia, and now the US. We model warrant coverage, exercise price, and vesting schedules directly against your live cap table</w:t>
            </w:r>
            <w:r w:rsidR="007922C8">
              <w:rPr>
                <w:rFonts w:ascii="Open Sauce One" w:eastAsia="Calibri" w:hAnsi="Open Sauce One" w:cs="Calibri"/>
                <w:color w:val="2E2E2E"/>
              </w:rPr>
              <w:t xml:space="preserve"> </w:t>
            </w:r>
            <w:r w:rsidRPr="007922C8">
              <w:rPr>
                <w:rFonts w:ascii="Open Sauce One" w:eastAsia="Calibri" w:hAnsi="Open Sauce One" w:cs="Calibri"/>
                <w:color w:val="2E2E2E"/>
              </w:rPr>
              <w:t>before you sign, not after so you know exactly what venture debt costs in dilution, not just in interest.</w:t>
            </w:r>
          </w:p>
        </w:tc>
      </w:tr>
    </w:tbl>
    <w:p w14:paraId="471AE326" w14:textId="77777777" w:rsidR="00D729DA" w:rsidRPr="007922C8" w:rsidRDefault="00D729DA">
      <w:pPr>
        <w:spacing w:after="200"/>
        <w:rPr>
          <w:rFonts w:ascii="Open Sauce One" w:hAnsi="Open Sauce One"/>
        </w:rPr>
      </w:pPr>
    </w:p>
    <w:p w14:paraId="6D88F0BC" w14:textId="77777777" w:rsidR="00D729DA" w:rsidRPr="007922C8" w:rsidRDefault="00000000">
      <w:pPr>
        <w:pStyle w:val="Heading2"/>
        <w:spacing w:before="280" w:after="140"/>
        <w:rPr>
          <w:rFonts w:ascii="Open Sauce One" w:hAnsi="Open Sauce One"/>
        </w:rPr>
      </w:pPr>
      <w:r w:rsidRPr="007922C8">
        <w:rPr>
          <w:rFonts w:ascii="Open Sauce One" w:eastAsia="Bookman Old Style" w:hAnsi="Open Sauce One" w:cs="Bookman Old Style"/>
          <w:b/>
          <w:bCs/>
          <w:color w:val="5B3A99"/>
          <w:sz w:val="24"/>
          <w:szCs w:val="24"/>
        </w:rPr>
        <w:t>How to use this template</w:t>
      </w:r>
    </w:p>
    <w:p w14:paraId="39884486"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 xml:space="preserve">Fill in every </w:t>
      </w:r>
      <w:r w:rsidRPr="007922C8">
        <w:rPr>
          <w:rFonts w:ascii="Open Sauce One" w:eastAsia="Calibri" w:hAnsi="Open Sauce One" w:cs="Calibri"/>
          <w:b/>
          <w:bCs/>
          <w:i/>
          <w:iCs/>
          <w:color w:val="5B3A99"/>
          <w:sz w:val="21"/>
          <w:szCs w:val="21"/>
        </w:rPr>
        <w:t>[bracketed field]</w:t>
      </w:r>
      <w:r w:rsidRPr="007922C8">
        <w:rPr>
          <w:rFonts w:ascii="Open Sauce One" w:eastAsia="Calibri" w:hAnsi="Open Sauce One" w:cs="Calibri"/>
          <w:color w:val="2E2E2E"/>
          <w:sz w:val="21"/>
          <w:szCs w:val="21"/>
        </w:rPr>
        <w:t xml:space="preserve"> with deal-specific terms before sending to counsel or the lender.</w:t>
      </w:r>
    </w:p>
    <w:p w14:paraId="3BB995A2" w14:textId="575C80CB"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Treat Section IV (Warrant Coverage) and Section V (Covenants) as the negotiation</w:t>
      </w:r>
      <w:r w:rsidR="009B5FD0">
        <w:rPr>
          <w:rFonts w:ascii="Open Sauce One" w:eastAsia="Calibri" w:hAnsi="Open Sauce One" w:cs="Calibri"/>
          <w:color w:val="2E2E2E"/>
          <w:sz w:val="21"/>
          <w:szCs w:val="21"/>
        </w:rPr>
        <w:t xml:space="preserve">, </w:t>
      </w:r>
      <w:r w:rsidRPr="007922C8">
        <w:rPr>
          <w:rFonts w:ascii="Open Sauce One" w:eastAsia="Calibri" w:hAnsi="Open Sauce One" w:cs="Calibri"/>
          <w:color w:val="2E2E2E"/>
          <w:sz w:val="21"/>
          <w:szCs w:val="21"/>
        </w:rPr>
        <w:t>everything else is largely standardized across lenders.</w:t>
      </w:r>
    </w:p>
    <w:p w14:paraId="59AE303B"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Model the warrant coverage against your fully diluted cap table before you counter. A 1% coverage figure means different things at different valuations and different pool sizes.</w:t>
      </w:r>
    </w:p>
    <w:p w14:paraId="0A7D331C"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Run every negative covenant past your next planned raise. A covenant that blocks “additional indebtedness without consent” can quietly complicate a future SAFE or bridge.</w:t>
      </w:r>
    </w:p>
    <w:p w14:paraId="001E6D54" w14:textId="77777777" w:rsidR="00D729DA" w:rsidRPr="007922C8" w:rsidRDefault="00000000">
      <w:pPr>
        <w:rPr>
          <w:rFonts w:ascii="Open Sauce One" w:hAnsi="Open Sauce One"/>
        </w:rPr>
      </w:pPr>
      <w:r w:rsidRPr="007922C8">
        <w:rPr>
          <w:rFonts w:ascii="Open Sauce One" w:hAnsi="Open Sauce One"/>
        </w:rPr>
        <w:br w:type="page"/>
      </w:r>
    </w:p>
    <w:p w14:paraId="2A54CCD0"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lastRenderedPageBreak/>
        <w:t>I. General Information</w:t>
      </w:r>
    </w:p>
    <w:p w14:paraId="1242223B"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color w:val="2E2E2E"/>
          <w:sz w:val="21"/>
          <w:szCs w:val="21"/>
        </w:rPr>
        <w:t xml:space="preserve">This Term Sheet summarizes the principal terms of the venture debt financing proposed by </w:t>
      </w:r>
      <w:r w:rsidRPr="007922C8">
        <w:rPr>
          <w:rFonts w:ascii="Open Sauce One" w:eastAsia="Calibri" w:hAnsi="Open Sauce One" w:cs="Calibri"/>
          <w:b/>
          <w:bCs/>
          <w:i/>
          <w:iCs/>
          <w:color w:val="5B3A99"/>
          <w:sz w:val="21"/>
          <w:szCs w:val="21"/>
        </w:rPr>
        <w:t>[Lender Name]</w:t>
      </w:r>
      <w:r w:rsidRPr="007922C8">
        <w:rPr>
          <w:rFonts w:ascii="Open Sauce One" w:eastAsia="Calibri" w:hAnsi="Open Sauce One" w:cs="Calibri"/>
          <w:color w:val="2E2E2E"/>
          <w:sz w:val="21"/>
          <w:szCs w:val="21"/>
        </w:rPr>
        <w:t xml:space="preserve"> to </w:t>
      </w:r>
      <w:r w:rsidRPr="007922C8">
        <w:rPr>
          <w:rFonts w:ascii="Open Sauce One" w:eastAsia="Calibri" w:hAnsi="Open Sauce One" w:cs="Calibri"/>
          <w:b/>
          <w:bCs/>
          <w:i/>
          <w:iCs/>
          <w:color w:val="5B3A99"/>
          <w:sz w:val="21"/>
          <w:szCs w:val="21"/>
        </w:rPr>
        <w:t>[Borrower Company Name]</w:t>
      </w:r>
      <w:r w:rsidRPr="007922C8">
        <w:rPr>
          <w:rFonts w:ascii="Open Sauce One" w:eastAsia="Calibri" w:hAnsi="Open Sauce One" w:cs="Calibri"/>
          <w:color w:val="2E2E2E"/>
          <w:sz w:val="21"/>
          <w:szCs w:val="21"/>
        </w:rPr>
        <w:t xml:space="preserve"> (the “Company”). This Term Sheet is for discussion purposes only and does not constitute a legally binding obligation on either party, except as to confidentiality and exclusivity (if applicable), until definitive agreements are executed and delivered.</w:t>
      </w:r>
    </w:p>
    <w:p w14:paraId="0E27EB0F"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color w:val="2E2E2E"/>
          <w:sz w:val="21"/>
          <w:szCs w:val="21"/>
        </w:rPr>
        <w:t xml:space="preserve">This financing is intended to support the Company's growth objectives, including </w:t>
      </w:r>
      <w:r w:rsidRPr="007922C8">
        <w:rPr>
          <w:rFonts w:ascii="Open Sauce One" w:eastAsia="Calibri" w:hAnsi="Open Sauce One" w:cs="Calibri"/>
          <w:b/>
          <w:bCs/>
          <w:i/>
          <w:iCs/>
          <w:color w:val="5B3A99"/>
          <w:sz w:val="21"/>
          <w:szCs w:val="21"/>
        </w:rPr>
        <w:t>[primary use case, e.g., extending runway to next equity milestone]</w:t>
      </w:r>
      <w:r w:rsidRPr="007922C8">
        <w:rPr>
          <w:rFonts w:ascii="Open Sauce One" w:eastAsia="Calibri" w:hAnsi="Open Sauce One" w:cs="Calibri"/>
          <w:color w:val="2E2E2E"/>
          <w:sz w:val="21"/>
          <w:szCs w:val="21"/>
        </w:rPr>
        <w:t>. The terms below reflect a preliminary risk/reward allocation between the parties and are subject to further diligence, including review of the Company's capitalization table, financial statements, and existing debt instruments.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20"/>
        <w:gridCol w:w="3120"/>
        <w:gridCol w:w="3120"/>
      </w:tblGrid>
      <w:tr w:rsidR="00D729DA" w:rsidRPr="007922C8" w14:paraId="4524EC2E" w14:textId="77777777">
        <w:tblPrEx>
          <w:tblCellMar>
            <w:top w:w="0" w:type="dxa"/>
            <w:bottom w:w="0" w:type="dxa"/>
          </w:tblCellMar>
        </w:tblPrEx>
        <w:trPr>
          <w:cantSplit/>
        </w:trPr>
        <w:tc>
          <w:tcPr>
            <w:tcW w:w="3120" w:type="dxa"/>
            <w:shd w:val="clear" w:color="auto" w:fill="1B2A5B"/>
            <w:tcMar>
              <w:top w:w="100" w:type="dxa"/>
              <w:left w:w="140" w:type="dxa"/>
              <w:bottom w:w="100" w:type="dxa"/>
              <w:right w:w="140" w:type="dxa"/>
            </w:tcMar>
          </w:tcPr>
          <w:p w14:paraId="2C7145B7" w14:textId="77777777" w:rsidR="00D729DA" w:rsidRPr="007922C8" w:rsidRDefault="00000000">
            <w:pPr>
              <w:rPr>
                <w:rFonts w:ascii="Open Sauce One" w:hAnsi="Open Sauce One"/>
              </w:rPr>
            </w:pPr>
            <w:r w:rsidRPr="007922C8">
              <w:rPr>
                <w:rFonts w:ascii="Open Sauce One" w:eastAsia="Calibri" w:hAnsi="Open Sauce One" w:cs="Calibri"/>
                <w:b/>
                <w:bCs/>
                <w:color w:val="FFFFFF"/>
                <w:sz w:val="18"/>
                <w:szCs w:val="18"/>
              </w:rPr>
              <w:t>Lender</w:t>
            </w:r>
          </w:p>
        </w:tc>
        <w:tc>
          <w:tcPr>
            <w:tcW w:w="3120" w:type="dxa"/>
            <w:shd w:val="clear" w:color="auto" w:fill="1B2A5B"/>
            <w:tcMar>
              <w:top w:w="100" w:type="dxa"/>
              <w:left w:w="140" w:type="dxa"/>
              <w:bottom w:w="100" w:type="dxa"/>
              <w:right w:w="140" w:type="dxa"/>
            </w:tcMar>
          </w:tcPr>
          <w:p w14:paraId="108C37DA" w14:textId="77777777" w:rsidR="00D729DA" w:rsidRPr="007922C8" w:rsidRDefault="00000000">
            <w:pPr>
              <w:rPr>
                <w:rFonts w:ascii="Open Sauce One" w:hAnsi="Open Sauce One"/>
              </w:rPr>
            </w:pPr>
            <w:r w:rsidRPr="007922C8">
              <w:rPr>
                <w:rFonts w:ascii="Open Sauce One" w:eastAsia="Calibri" w:hAnsi="Open Sauce One" w:cs="Calibri"/>
                <w:b/>
                <w:bCs/>
                <w:color w:val="FFFFFF"/>
                <w:sz w:val="18"/>
                <w:szCs w:val="18"/>
              </w:rPr>
              <w:t>Borrower</w:t>
            </w:r>
          </w:p>
        </w:tc>
        <w:tc>
          <w:tcPr>
            <w:tcW w:w="3120" w:type="dxa"/>
            <w:shd w:val="clear" w:color="auto" w:fill="1B2A5B"/>
            <w:tcMar>
              <w:top w:w="100" w:type="dxa"/>
              <w:left w:w="140" w:type="dxa"/>
              <w:bottom w:w="100" w:type="dxa"/>
              <w:right w:w="140" w:type="dxa"/>
            </w:tcMar>
          </w:tcPr>
          <w:p w14:paraId="6E476CC6" w14:textId="77777777" w:rsidR="00D729DA" w:rsidRPr="007922C8" w:rsidRDefault="00000000">
            <w:pPr>
              <w:rPr>
                <w:rFonts w:ascii="Open Sauce One" w:hAnsi="Open Sauce One"/>
              </w:rPr>
            </w:pPr>
            <w:r w:rsidRPr="007922C8">
              <w:rPr>
                <w:rFonts w:ascii="Open Sauce One" w:eastAsia="Calibri" w:hAnsi="Open Sauce One" w:cs="Calibri"/>
                <w:b/>
                <w:bCs/>
                <w:color w:val="FFFFFF"/>
                <w:sz w:val="18"/>
                <w:szCs w:val="18"/>
              </w:rPr>
              <w:t>Term Sheet Date</w:t>
            </w:r>
          </w:p>
        </w:tc>
      </w:tr>
      <w:tr w:rsidR="00D729DA" w:rsidRPr="007922C8" w14:paraId="1B553EA9" w14:textId="77777777">
        <w:tblPrEx>
          <w:tblCellMar>
            <w:top w:w="0" w:type="dxa"/>
            <w:bottom w:w="0" w:type="dxa"/>
          </w:tblCellMar>
        </w:tblPrEx>
        <w:trPr>
          <w:cantSplit/>
        </w:trPr>
        <w:tc>
          <w:tcPr>
            <w:tcW w:w="3120" w:type="dxa"/>
            <w:shd w:val="clear" w:color="auto" w:fill="F4F5F9"/>
            <w:tcMar>
              <w:top w:w="100" w:type="dxa"/>
              <w:left w:w="140" w:type="dxa"/>
              <w:bottom w:w="100" w:type="dxa"/>
              <w:right w:w="140" w:type="dxa"/>
            </w:tcMar>
          </w:tcPr>
          <w:p w14:paraId="34856B1E" w14:textId="77777777" w:rsidR="00D729DA" w:rsidRPr="007922C8" w:rsidRDefault="00000000">
            <w:pPr>
              <w:rPr>
                <w:rFonts w:ascii="Open Sauce One" w:hAnsi="Open Sauce One"/>
              </w:rPr>
            </w:pPr>
            <w:r w:rsidRPr="007922C8">
              <w:rPr>
                <w:rFonts w:ascii="Open Sauce One" w:eastAsia="Calibri" w:hAnsi="Open Sauce One" w:cs="Calibri"/>
                <w:i/>
                <w:iCs/>
                <w:color w:val="5B3A99"/>
                <w:sz w:val="19"/>
                <w:szCs w:val="19"/>
              </w:rPr>
              <w:t>[Lender Name]</w:t>
            </w:r>
          </w:p>
        </w:tc>
        <w:tc>
          <w:tcPr>
            <w:tcW w:w="3120" w:type="dxa"/>
            <w:shd w:val="clear" w:color="auto" w:fill="F4F5F9"/>
            <w:tcMar>
              <w:top w:w="100" w:type="dxa"/>
              <w:left w:w="140" w:type="dxa"/>
              <w:bottom w:w="100" w:type="dxa"/>
              <w:right w:w="140" w:type="dxa"/>
            </w:tcMar>
          </w:tcPr>
          <w:p w14:paraId="7D6B1F88" w14:textId="77777777" w:rsidR="00D729DA" w:rsidRPr="007922C8" w:rsidRDefault="00000000">
            <w:pPr>
              <w:rPr>
                <w:rFonts w:ascii="Open Sauce One" w:hAnsi="Open Sauce One"/>
              </w:rPr>
            </w:pPr>
            <w:r w:rsidRPr="007922C8">
              <w:rPr>
                <w:rFonts w:ascii="Open Sauce One" w:eastAsia="Calibri" w:hAnsi="Open Sauce One" w:cs="Calibri"/>
                <w:i/>
                <w:iCs/>
                <w:color w:val="5B3A99"/>
                <w:sz w:val="19"/>
                <w:szCs w:val="19"/>
              </w:rPr>
              <w:t>[Borrower Company Name]</w:t>
            </w:r>
          </w:p>
        </w:tc>
        <w:tc>
          <w:tcPr>
            <w:tcW w:w="3120" w:type="dxa"/>
            <w:shd w:val="clear" w:color="auto" w:fill="F4F5F9"/>
            <w:tcMar>
              <w:top w:w="100" w:type="dxa"/>
              <w:left w:w="140" w:type="dxa"/>
              <w:bottom w:w="100" w:type="dxa"/>
              <w:right w:w="140" w:type="dxa"/>
            </w:tcMar>
          </w:tcPr>
          <w:p w14:paraId="11A5A91B" w14:textId="77777777" w:rsidR="00D729DA" w:rsidRPr="007922C8" w:rsidRDefault="00000000">
            <w:pPr>
              <w:rPr>
                <w:rFonts w:ascii="Open Sauce One" w:hAnsi="Open Sauce One"/>
              </w:rPr>
            </w:pPr>
            <w:r w:rsidRPr="007922C8">
              <w:rPr>
                <w:rFonts w:ascii="Open Sauce One" w:eastAsia="Calibri" w:hAnsi="Open Sauce One" w:cs="Calibri"/>
                <w:i/>
                <w:iCs/>
                <w:color w:val="5B3A99"/>
                <w:sz w:val="19"/>
                <w:szCs w:val="19"/>
              </w:rPr>
              <w:t>[Date]</w:t>
            </w:r>
          </w:p>
        </w:tc>
      </w:tr>
    </w:tbl>
    <w:p w14:paraId="3051A8AC"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t>II. Financial Terms</w:t>
      </w:r>
    </w:p>
    <w:p w14:paraId="47C088B4" w14:textId="77777777"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The key financial parameters of the proposed venture debt facility are as follows:</w:t>
      </w:r>
    </w:p>
    <w:tbl>
      <w:tblPr>
        <w:tblW w:w="9360" w:type="dxa"/>
        <w:tblBorders>
          <w:top w:val="single" w:sz="4" w:space="0" w:color="D0D0D8"/>
          <w:left w:val="single" w:sz="4" w:space="0" w:color="D0D0D8"/>
          <w:bottom w:val="single" w:sz="4" w:space="0" w:color="D0D0D8"/>
          <w:right w:val="single" w:sz="4" w:space="0" w:color="D0D0D8"/>
          <w:insideH w:val="single" w:sz="4" w:space="0" w:color="D0D0D8"/>
          <w:insideV w:val="single" w:sz="4" w:space="0" w:color="D0D0D8"/>
        </w:tblBorders>
        <w:tblCellMar>
          <w:left w:w="10" w:type="dxa"/>
          <w:right w:w="10" w:type="dxa"/>
        </w:tblCellMar>
        <w:tblLook w:val="0000" w:firstRow="0" w:lastRow="0" w:firstColumn="0" w:lastColumn="0" w:noHBand="0" w:noVBand="0"/>
      </w:tblPr>
      <w:tblGrid>
        <w:gridCol w:w="3200"/>
        <w:gridCol w:w="6160"/>
      </w:tblGrid>
      <w:tr w:rsidR="00D729DA" w:rsidRPr="007922C8" w14:paraId="710E27A7"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40494066" w14:textId="77777777" w:rsidR="00D729DA" w:rsidRPr="007922C8" w:rsidRDefault="00000000">
            <w:pPr>
              <w:rPr>
                <w:rFonts w:ascii="Open Sauce One" w:hAnsi="Open Sauce One"/>
              </w:rPr>
            </w:pPr>
            <w:r w:rsidRPr="007922C8">
              <w:rPr>
                <w:rFonts w:ascii="Open Sauce One" w:eastAsia="Calibri" w:hAnsi="Open Sauce One" w:cs="Calibri"/>
                <w:b/>
                <w:bCs/>
                <w:color w:val="1B2A5B"/>
              </w:rPr>
              <w:t>Facility Type</w:t>
            </w:r>
          </w:p>
        </w:tc>
        <w:tc>
          <w:tcPr>
            <w:tcW w:w="6160" w:type="dxa"/>
            <w:shd w:val="clear" w:color="auto" w:fill="F4F5F9"/>
            <w:tcMar>
              <w:top w:w="120" w:type="dxa"/>
              <w:left w:w="160" w:type="dxa"/>
              <w:bottom w:w="120" w:type="dxa"/>
              <w:right w:w="160" w:type="dxa"/>
            </w:tcMar>
            <w:vAlign w:val="center"/>
          </w:tcPr>
          <w:p w14:paraId="55386F2E" w14:textId="77777777" w:rsidR="00D729DA" w:rsidRPr="007922C8" w:rsidRDefault="00000000">
            <w:pPr>
              <w:rPr>
                <w:rFonts w:ascii="Open Sauce One" w:hAnsi="Open Sauce One"/>
              </w:rPr>
            </w:pPr>
            <w:r w:rsidRPr="007922C8">
              <w:rPr>
                <w:rFonts w:ascii="Open Sauce One" w:eastAsia="Calibri" w:hAnsi="Open Sauce One" w:cs="Calibri"/>
                <w:i/>
                <w:iCs/>
                <w:color w:val="5B3A99"/>
              </w:rPr>
              <w:t>[Term loan / growth capital / equipment financing / revenue-based]</w:t>
            </w:r>
          </w:p>
        </w:tc>
      </w:tr>
      <w:tr w:rsidR="00D729DA" w:rsidRPr="007922C8" w14:paraId="6954070A"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471419BE" w14:textId="77777777" w:rsidR="00D729DA" w:rsidRPr="007922C8" w:rsidRDefault="00000000">
            <w:pPr>
              <w:rPr>
                <w:rFonts w:ascii="Open Sauce One" w:hAnsi="Open Sauce One"/>
              </w:rPr>
            </w:pPr>
            <w:r w:rsidRPr="007922C8">
              <w:rPr>
                <w:rFonts w:ascii="Open Sauce One" w:eastAsia="Calibri" w:hAnsi="Open Sauce One" w:cs="Calibri"/>
                <w:b/>
                <w:bCs/>
                <w:color w:val="1B2A5B"/>
              </w:rPr>
              <w:t>Principal Amount</w:t>
            </w:r>
          </w:p>
        </w:tc>
        <w:tc>
          <w:tcPr>
            <w:tcW w:w="6160" w:type="dxa"/>
            <w:tcMar>
              <w:top w:w="120" w:type="dxa"/>
              <w:left w:w="160" w:type="dxa"/>
              <w:bottom w:w="120" w:type="dxa"/>
              <w:right w:w="160" w:type="dxa"/>
            </w:tcMar>
            <w:vAlign w:val="center"/>
          </w:tcPr>
          <w:p w14:paraId="692C7366"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Principal Amount]</w:t>
            </w:r>
          </w:p>
        </w:tc>
      </w:tr>
      <w:tr w:rsidR="00D729DA" w:rsidRPr="007922C8" w14:paraId="7A4093F2"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579EF58E" w14:textId="77777777" w:rsidR="00D729DA" w:rsidRPr="007922C8" w:rsidRDefault="00000000">
            <w:pPr>
              <w:rPr>
                <w:rFonts w:ascii="Open Sauce One" w:hAnsi="Open Sauce One"/>
              </w:rPr>
            </w:pPr>
            <w:r w:rsidRPr="007922C8">
              <w:rPr>
                <w:rFonts w:ascii="Open Sauce One" w:eastAsia="Calibri" w:hAnsi="Open Sauce One" w:cs="Calibri"/>
                <w:b/>
                <w:bCs/>
                <w:color w:val="1B2A5B"/>
              </w:rPr>
              <w:t>Interest Rate</w:t>
            </w:r>
          </w:p>
        </w:tc>
        <w:tc>
          <w:tcPr>
            <w:tcW w:w="6160" w:type="dxa"/>
            <w:shd w:val="clear" w:color="auto" w:fill="F4F5F9"/>
            <w:tcMar>
              <w:top w:w="120" w:type="dxa"/>
              <w:left w:w="160" w:type="dxa"/>
              <w:bottom w:w="120" w:type="dxa"/>
              <w:right w:w="160" w:type="dxa"/>
            </w:tcMar>
            <w:vAlign w:val="center"/>
          </w:tcPr>
          <w:p w14:paraId="083F2A25"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per annum — [fixed / floating, benchmark + spread]</w:t>
            </w:r>
          </w:p>
        </w:tc>
      </w:tr>
      <w:tr w:rsidR="00D729DA" w:rsidRPr="007922C8" w14:paraId="298FEBB2"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1A78A832" w14:textId="77777777" w:rsidR="00D729DA" w:rsidRPr="007922C8" w:rsidRDefault="00000000">
            <w:pPr>
              <w:rPr>
                <w:rFonts w:ascii="Open Sauce One" w:hAnsi="Open Sauce One"/>
              </w:rPr>
            </w:pPr>
            <w:r w:rsidRPr="007922C8">
              <w:rPr>
                <w:rFonts w:ascii="Open Sauce One" w:eastAsia="Calibri" w:hAnsi="Open Sauce One" w:cs="Calibri"/>
                <w:b/>
                <w:bCs/>
                <w:color w:val="1B2A5B"/>
              </w:rPr>
              <w:t>Draw Structure</w:t>
            </w:r>
          </w:p>
        </w:tc>
        <w:tc>
          <w:tcPr>
            <w:tcW w:w="6160" w:type="dxa"/>
            <w:tcMar>
              <w:top w:w="120" w:type="dxa"/>
              <w:left w:w="160" w:type="dxa"/>
              <w:bottom w:w="120" w:type="dxa"/>
              <w:right w:w="160" w:type="dxa"/>
            </w:tcMar>
            <w:vAlign w:val="center"/>
          </w:tcPr>
          <w:p w14:paraId="21D9549E" w14:textId="77777777" w:rsidR="00D729DA" w:rsidRPr="007922C8" w:rsidRDefault="00000000">
            <w:pPr>
              <w:rPr>
                <w:rFonts w:ascii="Open Sauce One" w:hAnsi="Open Sauce One"/>
              </w:rPr>
            </w:pPr>
            <w:r w:rsidRPr="007922C8">
              <w:rPr>
                <w:rFonts w:ascii="Open Sauce One" w:eastAsia="Calibri" w:hAnsi="Open Sauce One" w:cs="Calibri"/>
                <w:i/>
                <w:iCs/>
                <w:color w:val="5B3A99"/>
              </w:rPr>
              <w:t>[Single draw at close / multi-tranche subject to milestones]</w:t>
            </w:r>
          </w:p>
        </w:tc>
      </w:tr>
      <w:tr w:rsidR="00D729DA" w:rsidRPr="007922C8" w14:paraId="618C366D"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1151CB48" w14:textId="77777777" w:rsidR="00D729DA" w:rsidRPr="007922C8" w:rsidRDefault="00000000">
            <w:pPr>
              <w:rPr>
                <w:rFonts w:ascii="Open Sauce One" w:hAnsi="Open Sauce One"/>
              </w:rPr>
            </w:pPr>
            <w:r w:rsidRPr="007922C8">
              <w:rPr>
                <w:rFonts w:ascii="Open Sauce One" w:eastAsia="Calibri" w:hAnsi="Open Sauce One" w:cs="Calibri"/>
                <w:b/>
                <w:bCs/>
                <w:color w:val="1B2A5B"/>
              </w:rPr>
              <w:t>Interest-Only Period</w:t>
            </w:r>
          </w:p>
        </w:tc>
        <w:tc>
          <w:tcPr>
            <w:tcW w:w="6160" w:type="dxa"/>
            <w:shd w:val="clear" w:color="auto" w:fill="F4F5F9"/>
            <w:tcMar>
              <w:top w:w="120" w:type="dxa"/>
              <w:left w:w="160" w:type="dxa"/>
              <w:bottom w:w="120" w:type="dxa"/>
              <w:right w:w="160" w:type="dxa"/>
            </w:tcMar>
            <w:vAlign w:val="center"/>
          </w:tcPr>
          <w:p w14:paraId="09F044CE" w14:textId="77777777" w:rsidR="00D729DA" w:rsidRPr="007922C8" w:rsidRDefault="00000000">
            <w:pPr>
              <w:rPr>
                <w:rFonts w:ascii="Open Sauce One" w:hAnsi="Open Sauce One"/>
              </w:rPr>
            </w:pPr>
            <w:r w:rsidRPr="007922C8">
              <w:rPr>
                <w:rFonts w:ascii="Open Sauce One" w:eastAsia="Calibri" w:hAnsi="Open Sauce One" w:cs="Calibri"/>
                <w:i/>
                <w:iCs/>
                <w:color w:val="5B3A99"/>
              </w:rPr>
              <w:t>[Number of months, if any]</w:t>
            </w:r>
          </w:p>
        </w:tc>
      </w:tr>
      <w:tr w:rsidR="00D729DA" w:rsidRPr="007922C8" w14:paraId="4D96B02D"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5B10D826" w14:textId="77777777" w:rsidR="00D729DA" w:rsidRPr="007922C8" w:rsidRDefault="00000000">
            <w:pPr>
              <w:rPr>
                <w:rFonts w:ascii="Open Sauce One" w:hAnsi="Open Sauce One"/>
              </w:rPr>
            </w:pPr>
            <w:r w:rsidRPr="007922C8">
              <w:rPr>
                <w:rFonts w:ascii="Open Sauce One" w:eastAsia="Calibri" w:hAnsi="Open Sauce One" w:cs="Calibri"/>
                <w:b/>
                <w:bCs/>
                <w:color w:val="1B2A5B"/>
              </w:rPr>
              <w:t>Maturity Date</w:t>
            </w:r>
          </w:p>
        </w:tc>
        <w:tc>
          <w:tcPr>
            <w:tcW w:w="6160" w:type="dxa"/>
            <w:tcMar>
              <w:top w:w="120" w:type="dxa"/>
              <w:left w:w="160" w:type="dxa"/>
              <w:bottom w:w="120" w:type="dxa"/>
              <w:right w:w="160" w:type="dxa"/>
            </w:tcMar>
            <w:vAlign w:val="center"/>
          </w:tcPr>
          <w:p w14:paraId="304120DE" w14:textId="77777777" w:rsidR="00D729DA" w:rsidRPr="007922C8" w:rsidRDefault="00000000">
            <w:pPr>
              <w:rPr>
                <w:rFonts w:ascii="Open Sauce One" w:hAnsi="Open Sauce One"/>
              </w:rPr>
            </w:pPr>
            <w:r w:rsidRPr="007922C8">
              <w:rPr>
                <w:rFonts w:ascii="Open Sauce One" w:eastAsia="Calibri" w:hAnsi="Open Sauce One" w:cs="Calibri"/>
                <w:i/>
                <w:iCs/>
                <w:color w:val="5B3A99"/>
              </w:rPr>
              <w:t>[Maturity Date] (typically 24–48 months from close)</w:t>
            </w:r>
          </w:p>
        </w:tc>
      </w:tr>
      <w:tr w:rsidR="00D729DA" w:rsidRPr="007922C8" w14:paraId="0607C551"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28F18BC9" w14:textId="77777777" w:rsidR="00D729DA" w:rsidRPr="007922C8" w:rsidRDefault="00000000">
            <w:pPr>
              <w:rPr>
                <w:rFonts w:ascii="Open Sauce One" w:hAnsi="Open Sauce One"/>
              </w:rPr>
            </w:pPr>
            <w:r w:rsidRPr="007922C8">
              <w:rPr>
                <w:rFonts w:ascii="Open Sauce One" w:eastAsia="Calibri" w:hAnsi="Open Sauce One" w:cs="Calibri"/>
                <w:b/>
                <w:bCs/>
                <w:color w:val="1B2A5B"/>
              </w:rPr>
              <w:t>Repayment Schedule</w:t>
            </w:r>
          </w:p>
        </w:tc>
        <w:tc>
          <w:tcPr>
            <w:tcW w:w="6160" w:type="dxa"/>
            <w:shd w:val="clear" w:color="auto" w:fill="F4F5F9"/>
            <w:tcMar>
              <w:top w:w="120" w:type="dxa"/>
              <w:left w:w="160" w:type="dxa"/>
              <w:bottom w:w="120" w:type="dxa"/>
              <w:right w:w="160" w:type="dxa"/>
            </w:tcMar>
            <w:vAlign w:val="center"/>
          </w:tcPr>
          <w:p w14:paraId="558C64E7" w14:textId="77777777" w:rsidR="00D729DA" w:rsidRPr="007922C8" w:rsidRDefault="00000000">
            <w:pPr>
              <w:rPr>
                <w:rFonts w:ascii="Open Sauce One" w:hAnsi="Open Sauce One"/>
              </w:rPr>
            </w:pPr>
            <w:r w:rsidRPr="007922C8">
              <w:rPr>
                <w:rFonts w:ascii="Open Sauce One" w:eastAsia="Calibri" w:hAnsi="Open Sauce One" w:cs="Calibri"/>
                <w:i/>
                <w:iCs/>
                <w:color w:val="5B3A99"/>
              </w:rPr>
              <w:t>Monthly payments commencing [Start Date]</w:t>
            </w:r>
          </w:p>
        </w:tc>
      </w:tr>
      <w:tr w:rsidR="00D729DA" w:rsidRPr="007922C8" w14:paraId="78C6D506"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73296E45" w14:textId="77777777" w:rsidR="00D729DA" w:rsidRPr="007922C8" w:rsidRDefault="00000000">
            <w:pPr>
              <w:rPr>
                <w:rFonts w:ascii="Open Sauce One" w:hAnsi="Open Sauce One"/>
              </w:rPr>
            </w:pPr>
            <w:r w:rsidRPr="007922C8">
              <w:rPr>
                <w:rFonts w:ascii="Open Sauce One" w:eastAsia="Calibri" w:hAnsi="Open Sauce One" w:cs="Calibri"/>
                <w:b/>
                <w:bCs/>
                <w:color w:val="1B2A5B"/>
              </w:rPr>
              <w:t>Amortization</w:t>
            </w:r>
          </w:p>
        </w:tc>
        <w:tc>
          <w:tcPr>
            <w:tcW w:w="6160" w:type="dxa"/>
            <w:tcMar>
              <w:top w:w="120" w:type="dxa"/>
              <w:left w:w="160" w:type="dxa"/>
              <w:bottom w:w="120" w:type="dxa"/>
              <w:right w:w="160" w:type="dxa"/>
            </w:tcMar>
            <w:vAlign w:val="center"/>
          </w:tcPr>
          <w:p w14:paraId="17782F9A"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xml:space="preserve">[Straight-line / </w:t>
            </w:r>
            <w:proofErr w:type="gramStart"/>
            <w:r w:rsidRPr="007922C8">
              <w:rPr>
                <w:rFonts w:ascii="Open Sauce One" w:eastAsia="Calibri" w:hAnsi="Open Sauce One" w:cs="Calibri"/>
                <w:i/>
                <w:iCs/>
                <w:color w:val="5B3A99"/>
              </w:rPr>
              <w:t>back-loaded</w:t>
            </w:r>
            <w:proofErr w:type="gramEnd"/>
            <w:r w:rsidRPr="007922C8">
              <w:rPr>
                <w:rFonts w:ascii="Open Sauce One" w:eastAsia="Calibri" w:hAnsi="Open Sauce One" w:cs="Calibri"/>
                <w:i/>
                <w:iCs/>
                <w:color w:val="5B3A99"/>
              </w:rPr>
              <w:t xml:space="preserve"> / balloon at maturity]</w:t>
            </w:r>
          </w:p>
        </w:tc>
      </w:tr>
      <w:tr w:rsidR="00D729DA" w:rsidRPr="007922C8" w14:paraId="364710ED"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7EE73C37" w14:textId="77777777" w:rsidR="00D729DA" w:rsidRPr="007922C8" w:rsidRDefault="00000000">
            <w:pPr>
              <w:rPr>
                <w:rFonts w:ascii="Open Sauce One" w:hAnsi="Open Sauce One"/>
              </w:rPr>
            </w:pPr>
            <w:r w:rsidRPr="007922C8">
              <w:rPr>
                <w:rFonts w:ascii="Open Sauce One" w:eastAsia="Calibri" w:hAnsi="Open Sauce One" w:cs="Calibri"/>
                <w:b/>
                <w:bCs/>
                <w:color w:val="1B2A5B"/>
              </w:rPr>
              <w:t>Early Repayment Penalty</w:t>
            </w:r>
          </w:p>
        </w:tc>
        <w:tc>
          <w:tcPr>
            <w:tcW w:w="6160" w:type="dxa"/>
            <w:shd w:val="clear" w:color="auto" w:fill="F4F5F9"/>
            <w:tcMar>
              <w:top w:w="120" w:type="dxa"/>
              <w:left w:w="160" w:type="dxa"/>
              <w:bottom w:w="120" w:type="dxa"/>
              <w:right w:w="160" w:type="dxa"/>
            </w:tcMar>
            <w:vAlign w:val="center"/>
          </w:tcPr>
          <w:p w14:paraId="07FDFFB2"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of remaining principal, or “none”]</w:t>
            </w:r>
          </w:p>
        </w:tc>
      </w:tr>
      <w:tr w:rsidR="00D729DA" w:rsidRPr="007922C8" w14:paraId="058A109E"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5F6135F4" w14:textId="77777777" w:rsidR="00D729DA" w:rsidRPr="007922C8" w:rsidRDefault="00000000">
            <w:pPr>
              <w:rPr>
                <w:rFonts w:ascii="Open Sauce One" w:hAnsi="Open Sauce One"/>
              </w:rPr>
            </w:pPr>
            <w:r w:rsidRPr="007922C8">
              <w:rPr>
                <w:rFonts w:ascii="Open Sauce One" w:eastAsia="Calibri" w:hAnsi="Open Sauce One" w:cs="Calibri"/>
                <w:b/>
                <w:bCs/>
                <w:color w:val="1B2A5B"/>
              </w:rPr>
              <w:t>Origination Fee</w:t>
            </w:r>
          </w:p>
        </w:tc>
        <w:tc>
          <w:tcPr>
            <w:tcW w:w="6160" w:type="dxa"/>
            <w:tcMar>
              <w:top w:w="120" w:type="dxa"/>
              <w:left w:w="160" w:type="dxa"/>
              <w:bottom w:w="120" w:type="dxa"/>
              <w:right w:w="160" w:type="dxa"/>
            </w:tcMar>
            <w:vAlign w:val="center"/>
          </w:tcPr>
          <w:p w14:paraId="2F5FB406" w14:textId="77777777" w:rsidR="00D729DA" w:rsidRPr="007922C8" w:rsidRDefault="00000000">
            <w:pPr>
              <w:rPr>
                <w:rFonts w:ascii="Open Sauce One" w:hAnsi="Open Sauce One"/>
              </w:rPr>
            </w:pPr>
            <w:r w:rsidRPr="007922C8">
              <w:rPr>
                <w:rFonts w:ascii="Open Sauce One" w:eastAsia="Calibri" w:hAnsi="Open Sauce One" w:cs="Calibri"/>
                <w:i/>
                <w:iCs/>
                <w:color w:val="5B3A99"/>
              </w:rPr>
              <w:t>[Amount or % of principal]</w:t>
            </w:r>
          </w:p>
        </w:tc>
      </w:tr>
      <w:tr w:rsidR="00D729DA" w:rsidRPr="007922C8" w14:paraId="73EDB32E"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1CAC26FC" w14:textId="77777777" w:rsidR="00D729DA" w:rsidRPr="007922C8" w:rsidRDefault="00000000">
            <w:pPr>
              <w:rPr>
                <w:rFonts w:ascii="Open Sauce One" w:hAnsi="Open Sauce One"/>
              </w:rPr>
            </w:pPr>
            <w:r w:rsidRPr="007922C8">
              <w:rPr>
                <w:rFonts w:ascii="Open Sauce One" w:eastAsia="Calibri" w:hAnsi="Open Sauce One" w:cs="Calibri"/>
                <w:b/>
                <w:bCs/>
                <w:color w:val="1B2A5B"/>
              </w:rPr>
              <w:t>Commitment / Unused Line Fee</w:t>
            </w:r>
          </w:p>
        </w:tc>
        <w:tc>
          <w:tcPr>
            <w:tcW w:w="6160" w:type="dxa"/>
            <w:shd w:val="clear" w:color="auto" w:fill="F4F5F9"/>
            <w:tcMar>
              <w:top w:w="120" w:type="dxa"/>
              <w:left w:w="160" w:type="dxa"/>
              <w:bottom w:w="120" w:type="dxa"/>
              <w:right w:w="160" w:type="dxa"/>
            </w:tcMar>
            <w:vAlign w:val="center"/>
          </w:tcPr>
          <w:p w14:paraId="1360641F" w14:textId="77777777" w:rsidR="00D729DA" w:rsidRPr="007922C8" w:rsidRDefault="00000000">
            <w:pPr>
              <w:rPr>
                <w:rFonts w:ascii="Open Sauce One" w:hAnsi="Open Sauce One"/>
              </w:rPr>
            </w:pPr>
            <w:r w:rsidRPr="007922C8">
              <w:rPr>
                <w:rFonts w:ascii="Open Sauce One" w:eastAsia="Calibri" w:hAnsi="Open Sauce One" w:cs="Calibri"/>
                <w:i/>
                <w:iCs/>
                <w:color w:val="5B3A99"/>
              </w:rPr>
              <w:t>[Amount or %]</w:t>
            </w:r>
          </w:p>
        </w:tc>
      </w:tr>
      <w:tr w:rsidR="00D729DA" w:rsidRPr="007922C8" w14:paraId="202F34BC"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00FFD537" w14:textId="77777777" w:rsidR="00D729DA" w:rsidRPr="007922C8" w:rsidRDefault="00000000">
            <w:pPr>
              <w:rPr>
                <w:rFonts w:ascii="Open Sauce One" w:hAnsi="Open Sauce One"/>
              </w:rPr>
            </w:pPr>
            <w:r w:rsidRPr="007922C8">
              <w:rPr>
                <w:rFonts w:ascii="Open Sauce One" w:eastAsia="Calibri" w:hAnsi="Open Sauce One" w:cs="Calibri"/>
                <w:b/>
                <w:bCs/>
                <w:color w:val="1B2A5B"/>
              </w:rPr>
              <w:t>End-of-Term Fee (“balloon”/final payment)</w:t>
            </w:r>
          </w:p>
        </w:tc>
        <w:tc>
          <w:tcPr>
            <w:tcW w:w="6160" w:type="dxa"/>
            <w:tcMar>
              <w:top w:w="120" w:type="dxa"/>
              <w:left w:w="160" w:type="dxa"/>
              <w:bottom w:w="120" w:type="dxa"/>
              <w:right w:w="160" w:type="dxa"/>
            </w:tcMar>
            <w:vAlign w:val="center"/>
          </w:tcPr>
          <w:p w14:paraId="71A348DD"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of principal, common in venture debt]</w:t>
            </w:r>
          </w:p>
        </w:tc>
      </w:tr>
    </w:tbl>
    <w:p w14:paraId="4E06C545" w14:textId="77777777" w:rsidR="00D729DA" w:rsidRPr="007922C8" w:rsidRDefault="00D729DA">
      <w:pPr>
        <w:spacing w:after="160"/>
        <w:rPr>
          <w:rFonts w:ascii="Open Sauce One" w:hAnsi="Open Sauce 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45"/>
      </w:tblGrid>
      <w:tr w:rsidR="00D729DA" w:rsidRPr="007922C8" w14:paraId="0B6A029A" w14:textId="77777777">
        <w:tblPrEx>
          <w:tblCellMar>
            <w:top w:w="0" w:type="dxa"/>
            <w:bottom w:w="0" w:type="dxa"/>
          </w:tblCellMar>
        </w:tblPrEx>
        <w:trPr>
          <w:cantSplit/>
        </w:trPr>
        <w:tc>
          <w:tcPr>
            <w:tcW w:w="9360" w:type="dxa"/>
            <w:tcBorders>
              <w:top w:val="single" w:sz="4" w:space="0" w:color="F2B705"/>
              <w:left w:val="single" w:sz="24" w:space="0" w:color="F2B705"/>
              <w:bottom w:val="single" w:sz="4" w:space="0" w:color="F2B705"/>
              <w:right w:val="single" w:sz="4" w:space="0" w:color="F2B705"/>
            </w:tcBorders>
            <w:shd w:val="clear" w:color="auto" w:fill="F4F5F9"/>
            <w:tcMar>
              <w:top w:w="200" w:type="dxa"/>
              <w:left w:w="260" w:type="dxa"/>
              <w:bottom w:w="200" w:type="dxa"/>
              <w:right w:w="260" w:type="dxa"/>
            </w:tcMar>
          </w:tcPr>
          <w:p w14:paraId="74CAD203" w14:textId="77777777" w:rsidR="00D729DA" w:rsidRPr="007922C8" w:rsidRDefault="00000000">
            <w:pPr>
              <w:spacing w:after="80"/>
              <w:rPr>
                <w:rFonts w:ascii="Open Sauce One" w:hAnsi="Open Sauce One"/>
              </w:rPr>
            </w:pPr>
            <w:r w:rsidRPr="007922C8">
              <w:rPr>
                <w:rFonts w:ascii="Open Sauce One" w:eastAsia="Bookman Old Style" w:hAnsi="Open Sauce One" w:cs="Bookman Old Style"/>
                <w:b/>
                <w:bCs/>
                <w:color w:val="1B2A5B"/>
                <w:sz w:val="21"/>
                <w:szCs w:val="21"/>
              </w:rPr>
              <w:t>Watch the end-of-term fee</w:t>
            </w:r>
          </w:p>
          <w:p w14:paraId="23E7B726" w14:textId="25E41704" w:rsidR="00D729DA" w:rsidRPr="007922C8" w:rsidRDefault="00000000">
            <w:pPr>
              <w:spacing w:line="270" w:lineRule="auto"/>
              <w:rPr>
                <w:rFonts w:ascii="Open Sauce One" w:hAnsi="Open Sauce One"/>
              </w:rPr>
            </w:pPr>
            <w:r w:rsidRPr="007922C8">
              <w:rPr>
                <w:rFonts w:ascii="Open Sauce One" w:eastAsia="Calibri" w:hAnsi="Open Sauce One" w:cs="Calibri"/>
                <w:color w:val="2E2E2E"/>
              </w:rPr>
              <w:t>Venture debt lenders frequently price a large final payment (4–8% of principal) into the effective yield instead of the headline interest rate. When comparing lenders, calculate the all-in internal rate of return not just the stated coupon including origination fee, end-of-term fee, and warrant value.</w:t>
            </w:r>
          </w:p>
        </w:tc>
      </w:tr>
    </w:tbl>
    <w:p w14:paraId="7CF28098"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t>III. Use of Proceeds</w:t>
      </w:r>
    </w:p>
    <w:p w14:paraId="7E3C3F53"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color w:val="2E2E2E"/>
          <w:sz w:val="21"/>
          <w:szCs w:val="21"/>
        </w:rPr>
        <w:t xml:space="preserve">Proceeds from this facility will be used in accordance with the budget reviewed and approved by </w:t>
      </w:r>
      <w:r w:rsidRPr="007922C8">
        <w:rPr>
          <w:rFonts w:ascii="Open Sauce One" w:eastAsia="Calibri" w:hAnsi="Open Sauce One" w:cs="Calibri"/>
          <w:b/>
          <w:bCs/>
          <w:i/>
          <w:iCs/>
          <w:color w:val="5B3A99"/>
          <w:sz w:val="21"/>
          <w:szCs w:val="21"/>
        </w:rPr>
        <w:t>[Lender Name]</w:t>
      </w:r>
      <w:r w:rsidRPr="007922C8">
        <w:rPr>
          <w:rFonts w:ascii="Open Sauce One" w:eastAsia="Calibri" w:hAnsi="Open Sauce One" w:cs="Calibri"/>
          <w:color w:val="2E2E2E"/>
          <w:sz w:val="21"/>
          <w:szCs w:val="21"/>
        </w:rPr>
        <w:t>. Permitted categories include:</w:t>
      </w:r>
    </w:p>
    <w:p w14:paraId="685659F2"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Extension of operating runway to the next planned equity milestone</w:t>
      </w:r>
    </w:p>
    <w:p w14:paraId="53C5906C"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Working capital and inventory / infrastructure build-out</w:t>
      </w:r>
    </w:p>
    <w:p w14:paraId="5D427492"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Sales and marketing expansion tied to a defined ROI target</w:t>
      </w:r>
    </w:p>
    <w:p w14:paraId="597EF01C"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 xml:space="preserve">Equipment </w:t>
      </w:r>
      <w:proofErr w:type="gramStart"/>
      <w:r w:rsidRPr="007922C8">
        <w:rPr>
          <w:rFonts w:ascii="Open Sauce One" w:eastAsia="Calibri" w:hAnsi="Open Sauce One" w:cs="Calibri"/>
          <w:color w:val="2E2E2E"/>
          <w:sz w:val="21"/>
          <w:szCs w:val="21"/>
        </w:rPr>
        <w:t>purchase</w:t>
      </w:r>
      <w:proofErr w:type="gramEnd"/>
      <w:r w:rsidRPr="007922C8">
        <w:rPr>
          <w:rFonts w:ascii="Open Sauce One" w:eastAsia="Calibri" w:hAnsi="Open Sauce One" w:cs="Calibri"/>
          <w:color w:val="2E2E2E"/>
          <w:sz w:val="21"/>
          <w:szCs w:val="21"/>
        </w:rPr>
        <w:t xml:space="preserve"> or capital expenditure (if applicable)</w:t>
      </w:r>
    </w:p>
    <w:p w14:paraId="75CE51AA" w14:textId="44887882"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b/>
          <w:bCs/>
          <w:i/>
          <w:iCs/>
          <w:color w:val="5B3A99"/>
          <w:sz w:val="21"/>
          <w:szCs w:val="21"/>
        </w:rPr>
        <w:t>[Excluded uses, e.g., dividend recapitalization, founder buyouts, or refinancing unrelated debt</w:t>
      </w:r>
      <w:r w:rsidR="009B5FD0">
        <w:rPr>
          <w:rFonts w:ascii="Open Sauce One" w:eastAsia="Calibri" w:hAnsi="Open Sauce One" w:cs="Calibri"/>
          <w:b/>
          <w:bCs/>
          <w:i/>
          <w:iCs/>
          <w:color w:val="5B3A99"/>
          <w:sz w:val="21"/>
          <w:szCs w:val="21"/>
        </w:rPr>
        <w:t xml:space="preserve">, </w:t>
      </w:r>
      <w:r w:rsidRPr="007922C8">
        <w:rPr>
          <w:rFonts w:ascii="Open Sauce One" w:eastAsia="Calibri" w:hAnsi="Open Sauce One" w:cs="Calibri"/>
          <w:b/>
          <w:bCs/>
          <w:i/>
          <w:iCs/>
          <w:color w:val="5B3A99"/>
          <w:sz w:val="21"/>
          <w:szCs w:val="21"/>
        </w:rPr>
        <w:t>specify]</w:t>
      </w:r>
    </w:p>
    <w:p w14:paraId="071FCB64" w14:textId="77777777"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Material deviation from the approved allocation requires prior written consent from [Lender Name]. Borrowers should negotiate this clause to preserve reasonable operating flexibility — an overly narrow use-of-proceeds restriction can trigger technical default even for ordinary-course spending shifts.</w:t>
      </w:r>
    </w:p>
    <w:p w14:paraId="69CA6CB4" w14:textId="77777777" w:rsidR="00D729DA" w:rsidRPr="007922C8" w:rsidRDefault="00000000">
      <w:pPr>
        <w:rPr>
          <w:rFonts w:ascii="Open Sauce One" w:hAnsi="Open Sauce One"/>
        </w:rPr>
      </w:pPr>
      <w:r w:rsidRPr="007922C8">
        <w:rPr>
          <w:rFonts w:ascii="Open Sauce One" w:hAnsi="Open Sauce One"/>
        </w:rPr>
        <w:br w:type="page"/>
      </w:r>
    </w:p>
    <w:p w14:paraId="15B92A22"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lastRenderedPageBreak/>
        <w:t>IV. Warrant Coverage</w:t>
      </w:r>
    </w:p>
    <w:p w14:paraId="7B920DAD"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color w:val="2E2E2E"/>
          <w:sz w:val="21"/>
          <w:szCs w:val="21"/>
        </w:rPr>
        <w:t xml:space="preserve">As partial consideration for this facility, </w:t>
      </w:r>
      <w:r w:rsidRPr="007922C8">
        <w:rPr>
          <w:rFonts w:ascii="Open Sauce One" w:eastAsia="Calibri" w:hAnsi="Open Sauce One" w:cs="Calibri"/>
          <w:b/>
          <w:bCs/>
          <w:i/>
          <w:iCs/>
          <w:color w:val="5B3A99"/>
          <w:sz w:val="21"/>
          <w:szCs w:val="21"/>
        </w:rPr>
        <w:t>[Lender Name]</w:t>
      </w:r>
      <w:r w:rsidRPr="007922C8">
        <w:rPr>
          <w:rFonts w:ascii="Open Sauce One" w:eastAsia="Calibri" w:hAnsi="Open Sauce One" w:cs="Calibri"/>
          <w:color w:val="2E2E2E"/>
          <w:sz w:val="21"/>
          <w:szCs w:val="21"/>
        </w:rPr>
        <w:t xml:space="preserve"> will receive warrants to purchase shares of </w:t>
      </w:r>
      <w:r w:rsidRPr="007922C8">
        <w:rPr>
          <w:rFonts w:ascii="Open Sauce One" w:eastAsia="Calibri" w:hAnsi="Open Sauce One" w:cs="Calibri"/>
          <w:b/>
          <w:bCs/>
          <w:i/>
          <w:iCs/>
          <w:color w:val="5B3A99"/>
          <w:sz w:val="21"/>
          <w:szCs w:val="21"/>
        </w:rPr>
        <w:t>[Borrower Company Name]</w:t>
      </w:r>
      <w:r w:rsidRPr="007922C8">
        <w:rPr>
          <w:rFonts w:ascii="Open Sauce One" w:eastAsia="Calibri" w:hAnsi="Open Sauce One" w:cs="Calibri"/>
          <w:color w:val="2E2E2E"/>
          <w:sz w:val="21"/>
          <w:szCs w:val="21"/>
        </w:rPr>
        <w:t xml:space="preserve">'s </w:t>
      </w:r>
      <w:r w:rsidRPr="007922C8">
        <w:rPr>
          <w:rFonts w:ascii="Open Sauce One" w:eastAsia="Calibri" w:hAnsi="Open Sauce One" w:cs="Calibri"/>
          <w:b/>
          <w:bCs/>
          <w:i/>
          <w:iCs/>
          <w:color w:val="5B3A99"/>
          <w:sz w:val="21"/>
          <w:szCs w:val="21"/>
        </w:rPr>
        <w:t>[Series __ Preferred / Common]</w:t>
      </w:r>
      <w:r w:rsidRPr="007922C8">
        <w:rPr>
          <w:rFonts w:ascii="Open Sauce One" w:eastAsia="Calibri" w:hAnsi="Open Sauce One" w:cs="Calibri"/>
          <w:color w:val="2E2E2E"/>
          <w:sz w:val="21"/>
          <w:szCs w:val="21"/>
        </w:rPr>
        <w:t xml:space="preserve"> stock (the “Warrants”).</w:t>
      </w:r>
    </w:p>
    <w:tbl>
      <w:tblPr>
        <w:tblW w:w="9360" w:type="dxa"/>
        <w:tblBorders>
          <w:top w:val="single" w:sz="4" w:space="0" w:color="D0D0D8"/>
          <w:left w:val="single" w:sz="4" w:space="0" w:color="D0D0D8"/>
          <w:bottom w:val="single" w:sz="4" w:space="0" w:color="D0D0D8"/>
          <w:right w:val="single" w:sz="4" w:space="0" w:color="D0D0D8"/>
          <w:insideH w:val="single" w:sz="4" w:space="0" w:color="D0D0D8"/>
          <w:insideV w:val="single" w:sz="4" w:space="0" w:color="D0D0D8"/>
        </w:tblBorders>
        <w:tblCellMar>
          <w:left w:w="10" w:type="dxa"/>
          <w:right w:w="10" w:type="dxa"/>
        </w:tblCellMar>
        <w:tblLook w:val="0000" w:firstRow="0" w:lastRow="0" w:firstColumn="0" w:lastColumn="0" w:noHBand="0" w:noVBand="0"/>
      </w:tblPr>
      <w:tblGrid>
        <w:gridCol w:w="3200"/>
        <w:gridCol w:w="6160"/>
      </w:tblGrid>
      <w:tr w:rsidR="00D729DA" w:rsidRPr="007922C8" w14:paraId="29F88056"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2D238FF3" w14:textId="77777777" w:rsidR="00D729DA" w:rsidRPr="007922C8" w:rsidRDefault="00000000">
            <w:pPr>
              <w:rPr>
                <w:rFonts w:ascii="Open Sauce One" w:hAnsi="Open Sauce One"/>
              </w:rPr>
            </w:pPr>
            <w:r w:rsidRPr="007922C8">
              <w:rPr>
                <w:rFonts w:ascii="Open Sauce One" w:eastAsia="Calibri" w:hAnsi="Open Sauce One" w:cs="Calibri"/>
                <w:b/>
                <w:bCs/>
                <w:color w:val="1B2A5B"/>
              </w:rPr>
              <w:t>Warrant Coverage</w:t>
            </w:r>
          </w:p>
        </w:tc>
        <w:tc>
          <w:tcPr>
            <w:tcW w:w="6160" w:type="dxa"/>
            <w:shd w:val="clear" w:color="auto" w:fill="F4F5F9"/>
            <w:tcMar>
              <w:top w:w="120" w:type="dxa"/>
              <w:left w:w="160" w:type="dxa"/>
              <w:bottom w:w="120" w:type="dxa"/>
              <w:right w:w="160" w:type="dxa"/>
            </w:tcMar>
            <w:vAlign w:val="center"/>
          </w:tcPr>
          <w:p w14:paraId="4856188C"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of total loan commitment (typically 5–20% for early-stage venture debt)</w:t>
            </w:r>
          </w:p>
        </w:tc>
      </w:tr>
      <w:tr w:rsidR="00D729DA" w:rsidRPr="007922C8" w14:paraId="114D21A5"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3D60360A" w14:textId="77777777" w:rsidR="00D729DA" w:rsidRPr="007922C8" w:rsidRDefault="00000000">
            <w:pPr>
              <w:rPr>
                <w:rFonts w:ascii="Open Sauce One" w:hAnsi="Open Sauce One"/>
              </w:rPr>
            </w:pPr>
            <w:r w:rsidRPr="007922C8">
              <w:rPr>
                <w:rFonts w:ascii="Open Sauce One" w:eastAsia="Calibri" w:hAnsi="Open Sauce One" w:cs="Calibri"/>
                <w:b/>
                <w:bCs/>
                <w:color w:val="1B2A5B"/>
              </w:rPr>
              <w:t>Warrant Shares (Fully Diluted)</w:t>
            </w:r>
          </w:p>
        </w:tc>
        <w:tc>
          <w:tcPr>
            <w:tcW w:w="6160" w:type="dxa"/>
            <w:tcMar>
              <w:top w:w="120" w:type="dxa"/>
              <w:left w:w="160" w:type="dxa"/>
              <w:bottom w:w="120" w:type="dxa"/>
              <w:right w:w="160" w:type="dxa"/>
            </w:tcMar>
            <w:vAlign w:val="center"/>
          </w:tcPr>
          <w:p w14:paraId="2F05EC75" w14:textId="77777777" w:rsidR="00D729DA" w:rsidRPr="007922C8" w:rsidRDefault="00000000">
            <w:pPr>
              <w:rPr>
                <w:rFonts w:ascii="Open Sauce One" w:hAnsi="Open Sauce One"/>
              </w:rPr>
            </w:pPr>
            <w:r w:rsidRPr="007922C8">
              <w:rPr>
                <w:rFonts w:ascii="Open Sauce One" w:eastAsia="Calibri" w:hAnsi="Open Sauce One" w:cs="Calibri"/>
                <w:i/>
                <w:iCs/>
                <w:color w:val="5B3A99"/>
              </w:rPr>
              <w:t>[Number], representing [%] of fully diluted capitalization as of [date]</w:t>
            </w:r>
          </w:p>
        </w:tc>
      </w:tr>
      <w:tr w:rsidR="00D729DA" w:rsidRPr="007922C8" w14:paraId="20095C3E"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571061F3" w14:textId="77777777" w:rsidR="00D729DA" w:rsidRPr="007922C8" w:rsidRDefault="00000000">
            <w:pPr>
              <w:rPr>
                <w:rFonts w:ascii="Open Sauce One" w:hAnsi="Open Sauce One"/>
              </w:rPr>
            </w:pPr>
            <w:r w:rsidRPr="007922C8">
              <w:rPr>
                <w:rFonts w:ascii="Open Sauce One" w:eastAsia="Calibri" w:hAnsi="Open Sauce One" w:cs="Calibri"/>
                <w:b/>
                <w:bCs/>
                <w:color w:val="1B2A5B"/>
              </w:rPr>
              <w:t>Share Class</w:t>
            </w:r>
          </w:p>
        </w:tc>
        <w:tc>
          <w:tcPr>
            <w:tcW w:w="6160" w:type="dxa"/>
            <w:shd w:val="clear" w:color="auto" w:fill="F4F5F9"/>
            <w:tcMar>
              <w:top w:w="120" w:type="dxa"/>
              <w:left w:w="160" w:type="dxa"/>
              <w:bottom w:w="120" w:type="dxa"/>
              <w:right w:w="160" w:type="dxa"/>
            </w:tcMar>
            <w:vAlign w:val="center"/>
          </w:tcPr>
          <w:p w14:paraId="2A8A8B29" w14:textId="77777777" w:rsidR="00D729DA" w:rsidRPr="007922C8" w:rsidRDefault="00000000">
            <w:pPr>
              <w:rPr>
                <w:rFonts w:ascii="Open Sauce One" w:hAnsi="Open Sauce One"/>
              </w:rPr>
            </w:pPr>
            <w:r w:rsidRPr="007922C8">
              <w:rPr>
                <w:rFonts w:ascii="Open Sauce One" w:eastAsia="Calibri" w:hAnsi="Open Sauce One" w:cs="Calibri"/>
                <w:i/>
                <w:iCs/>
                <w:color w:val="5B3A99"/>
              </w:rPr>
              <w:t>[Same class as most recent priced round, or specify]</w:t>
            </w:r>
          </w:p>
        </w:tc>
      </w:tr>
      <w:tr w:rsidR="00D729DA" w:rsidRPr="007922C8" w14:paraId="104B85A3"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222480C8" w14:textId="77777777" w:rsidR="00D729DA" w:rsidRPr="007922C8" w:rsidRDefault="00000000">
            <w:pPr>
              <w:rPr>
                <w:rFonts w:ascii="Open Sauce One" w:hAnsi="Open Sauce One"/>
              </w:rPr>
            </w:pPr>
            <w:r w:rsidRPr="007922C8">
              <w:rPr>
                <w:rFonts w:ascii="Open Sauce One" w:eastAsia="Calibri" w:hAnsi="Open Sauce One" w:cs="Calibri"/>
                <w:b/>
                <w:bCs/>
                <w:color w:val="1B2A5B"/>
              </w:rPr>
              <w:t>Exercise Price</w:t>
            </w:r>
          </w:p>
        </w:tc>
        <w:tc>
          <w:tcPr>
            <w:tcW w:w="6160" w:type="dxa"/>
            <w:tcMar>
              <w:top w:w="120" w:type="dxa"/>
              <w:left w:w="160" w:type="dxa"/>
              <w:bottom w:w="120" w:type="dxa"/>
              <w:right w:w="160" w:type="dxa"/>
            </w:tcMar>
            <w:vAlign w:val="center"/>
          </w:tcPr>
          <w:p w14:paraId="6D6D2C5B" w14:textId="77777777" w:rsidR="00D729DA" w:rsidRPr="007922C8" w:rsidRDefault="00000000">
            <w:pPr>
              <w:rPr>
                <w:rFonts w:ascii="Open Sauce One" w:hAnsi="Open Sauce One"/>
              </w:rPr>
            </w:pPr>
            <w:r w:rsidRPr="007922C8">
              <w:rPr>
                <w:rFonts w:ascii="Open Sauce One" w:eastAsia="Calibri" w:hAnsi="Open Sauce One" w:cs="Calibri"/>
                <w:i/>
                <w:iCs/>
                <w:color w:val="5B3A99"/>
              </w:rPr>
              <w:t>[$ Price] per share — [most recent 409A FMV / last round price]</w:t>
            </w:r>
          </w:p>
        </w:tc>
      </w:tr>
      <w:tr w:rsidR="00D729DA" w:rsidRPr="007922C8" w14:paraId="2A9FF474"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3C528B51" w14:textId="77777777" w:rsidR="00D729DA" w:rsidRPr="007922C8" w:rsidRDefault="00000000">
            <w:pPr>
              <w:rPr>
                <w:rFonts w:ascii="Open Sauce One" w:hAnsi="Open Sauce One"/>
              </w:rPr>
            </w:pPr>
            <w:r w:rsidRPr="007922C8">
              <w:rPr>
                <w:rFonts w:ascii="Open Sauce One" w:eastAsia="Calibri" w:hAnsi="Open Sauce One" w:cs="Calibri"/>
                <w:b/>
                <w:bCs/>
                <w:color w:val="1B2A5B"/>
              </w:rPr>
              <w:t>Vesting</w:t>
            </w:r>
          </w:p>
        </w:tc>
        <w:tc>
          <w:tcPr>
            <w:tcW w:w="6160" w:type="dxa"/>
            <w:shd w:val="clear" w:color="auto" w:fill="F4F5F9"/>
            <w:tcMar>
              <w:top w:w="120" w:type="dxa"/>
              <w:left w:w="160" w:type="dxa"/>
              <w:bottom w:w="120" w:type="dxa"/>
              <w:right w:w="160" w:type="dxa"/>
            </w:tcMar>
            <w:vAlign w:val="center"/>
          </w:tcPr>
          <w:p w14:paraId="45B778BE" w14:textId="77777777" w:rsidR="00D729DA" w:rsidRPr="007922C8" w:rsidRDefault="00000000">
            <w:pPr>
              <w:rPr>
                <w:rFonts w:ascii="Open Sauce One" w:hAnsi="Open Sauce One"/>
              </w:rPr>
            </w:pPr>
            <w:r w:rsidRPr="007922C8">
              <w:rPr>
                <w:rFonts w:ascii="Open Sauce One" w:eastAsia="Calibri" w:hAnsi="Open Sauce One" w:cs="Calibri"/>
                <w:i/>
                <w:iCs/>
                <w:color w:val="5B3A99"/>
              </w:rPr>
              <w:t>[100% vested at signing — standard for venture debt warrants] or [25% at signing, 25% quarterly thereafter]</w:t>
            </w:r>
          </w:p>
        </w:tc>
      </w:tr>
      <w:tr w:rsidR="00D729DA" w:rsidRPr="007922C8" w14:paraId="311893DF"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5571E167" w14:textId="77777777" w:rsidR="00D729DA" w:rsidRPr="007922C8" w:rsidRDefault="00000000">
            <w:pPr>
              <w:rPr>
                <w:rFonts w:ascii="Open Sauce One" w:hAnsi="Open Sauce One"/>
              </w:rPr>
            </w:pPr>
            <w:r w:rsidRPr="007922C8">
              <w:rPr>
                <w:rFonts w:ascii="Open Sauce One" w:eastAsia="Calibri" w:hAnsi="Open Sauce One" w:cs="Calibri"/>
                <w:b/>
                <w:bCs/>
                <w:color w:val="1B2A5B"/>
              </w:rPr>
              <w:t>Exercise Period</w:t>
            </w:r>
          </w:p>
        </w:tc>
        <w:tc>
          <w:tcPr>
            <w:tcW w:w="6160" w:type="dxa"/>
            <w:tcMar>
              <w:top w:w="120" w:type="dxa"/>
              <w:left w:w="160" w:type="dxa"/>
              <w:bottom w:w="120" w:type="dxa"/>
              <w:right w:w="160" w:type="dxa"/>
            </w:tcMar>
            <w:vAlign w:val="center"/>
          </w:tcPr>
          <w:p w14:paraId="0CE10F67" w14:textId="77777777" w:rsidR="00D729DA" w:rsidRPr="007922C8" w:rsidRDefault="00000000">
            <w:pPr>
              <w:rPr>
                <w:rFonts w:ascii="Open Sauce One" w:hAnsi="Open Sauce One"/>
              </w:rPr>
            </w:pPr>
            <w:r w:rsidRPr="007922C8">
              <w:rPr>
                <w:rFonts w:ascii="Open Sauce One" w:eastAsia="Calibri" w:hAnsi="Open Sauce One" w:cs="Calibri"/>
                <w:i/>
                <w:iCs/>
                <w:color w:val="5B3A99"/>
              </w:rPr>
              <w:t>[7–10 years from issuance]</w:t>
            </w:r>
          </w:p>
        </w:tc>
      </w:tr>
      <w:tr w:rsidR="00D729DA" w:rsidRPr="007922C8" w14:paraId="6F759B98"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16EDA75C" w14:textId="77777777" w:rsidR="00D729DA" w:rsidRPr="007922C8" w:rsidRDefault="00000000">
            <w:pPr>
              <w:rPr>
                <w:rFonts w:ascii="Open Sauce One" w:hAnsi="Open Sauce One"/>
              </w:rPr>
            </w:pPr>
            <w:r w:rsidRPr="007922C8">
              <w:rPr>
                <w:rFonts w:ascii="Open Sauce One" w:eastAsia="Calibri" w:hAnsi="Open Sauce One" w:cs="Calibri"/>
                <w:b/>
                <w:bCs/>
                <w:color w:val="1B2A5B"/>
              </w:rPr>
              <w:t>Anti-Dilution Protection</w:t>
            </w:r>
          </w:p>
        </w:tc>
        <w:tc>
          <w:tcPr>
            <w:tcW w:w="6160" w:type="dxa"/>
            <w:shd w:val="clear" w:color="auto" w:fill="F4F5F9"/>
            <w:tcMar>
              <w:top w:w="120" w:type="dxa"/>
              <w:left w:w="160" w:type="dxa"/>
              <w:bottom w:w="120" w:type="dxa"/>
              <w:right w:w="160" w:type="dxa"/>
            </w:tcMar>
            <w:vAlign w:val="center"/>
          </w:tcPr>
          <w:p w14:paraId="363A23A1" w14:textId="77777777" w:rsidR="00D729DA" w:rsidRPr="007922C8" w:rsidRDefault="00000000">
            <w:pPr>
              <w:rPr>
                <w:rFonts w:ascii="Open Sauce One" w:hAnsi="Open Sauce One"/>
              </w:rPr>
            </w:pPr>
            <w:r w:rsidRPr="007922C8">
              <w:rPr>
                <w:rFonts w:ascii="Open Sauce One" w:eastAsia="Calibri" w:hAnsi="Open Sauce One" w:cs="Calibri"/>
                <w:i/>
                <w:iCs/>
                <w:color w:val="5B3A99"/>
              </w:rPr>
              <w:t>[Broad-based weighted average / full ratchet / none]</w:t>
            </w:r>
          </w:p>
        </w:tc>
      </w:tr>
      <w:tr w:rsidR="00D729DA" w:rsidRPr="007922C8" w14:paraId="51CC7770" w14:textId="77777777">
        <w:tblPrEx>
          <w:tblCellMar>
            <w:top w:w="0" w:type="dxa"/>
            <w:bottom w:w="0" w:type="dxa"/>
          </w:tblCellMar>
        </w:tblPrEx>
        <w:trPr>
          <w:cantSplit/>
        </w:trPr>
        <w:tc>
          <w:tcPr>
            <w:tcW w:w="3200" w:type="dxa"/>
            <w:tcMar>
              <w:top w:w="120" w:type="dxa"/>
              <w:left w:w="160" w:type="dxa"/>
              <w:bottom w:w="120" w:type="dxa"/>
              <w:right w:w="120" w:type="dxa"/>
            </w:tcMar>
            <w:vAlign w:val="center"/>
          </w:tcPr>
          <w:p w14:paraId="0DDF1AB2" w14:textId="77777777" w:rsidR="00D729DA" w:rsidRPr="007922C8" w:rsidRDefault="00000000">
            <w:pPr>
              <w:rPr>
                <w:rFonts w:ascii="Open Sauce One" w:hAnsi="Open Sauce One"/>
              </w:rPr>
            </w:pPr>
            <w:r w:rsidRPr="007922C8">
              <w:rPr>
                <w:rFonts w:ascii="Open Sauce One" w:eastAsia="Calibri" w:hAnsi="Open Sauce One" w:cs="Calibri"/>
                <w:b/>
                <w:bCs/>
                <w:color w:val="1B2A5B"/>
              </w:rPr>
              <w:t>Net Exercise (Cashless) Right</w:t>
            </w:r>
          </w:p>
        </w:tc>
        <w:tc>
          <w:tcPr>
            <w:tcW w:w="6160" w:type="dxa"/>
            <w:tcMar>
              <w:top w:w="120" w:type="dxa"/>
              <w:left w:w="160" w:type="dxa"/>
              <w:bottom w:w="120" w:type="dxa"/>
              <w:right w:w="160" w:type="dxa"/>
            </w:tcMar>
            <w:vAlign w:val="center"/>
          </w:tcPr>
          <w:p w14:paraId="430FD789" w14:textId="77777777" w:rsidR="00D729DA" w:rsidRPr="007922C8" w:rsidRDefault="00000000">
            <w:pPr>
              <w:rPr>
                <w:rFonts w:ascii="Open Sauce One" w:hAnsi="Open Sauce One"/>
              </w:rPr>
            </w:pPr>
            <w:r w:rsidRPr="007922C8">
              <w:rPr>
                <w:rFonts w:ascii="Open Sauce One" w:eastAsia="Calibri" w:hAnsi="Open Sauce One" w:cs="Calibri"/>
                <w:i/>
                <w:iCs/>
                <w:color w:val="5B3A99"/>
              </w:rPr>
              <w:t>[Yes / No]</w:t>
            </w:r>
          </w:p>
        </w:tc>
      </w:tr>
      <w:tr w:rsidR="00D729DA" w:rsidRPr="007922C8" w14:paraId="5187ECA8" w14:textId="77777777">
        <w:tblPrEx>
          <w:tblCellMar>
            <w:top w:w="0" w:type="dxa"/>
            <w:bottom w:w="0" w:type="dxa"/>
          </w:tblCellMar>
        </w:tblPrEx>
        <w:trPr>
          <w:cantSplit/>
        </w:trPr>
        <w:tc>
          <w:tcPr>
            <w:tcW w:w="3200" w:type="dxa"/>
            <w:shd w:val="clear" w:color="auto" w:fill="F4F5F9"/>
            <w:tcMar>
              <w:top w:w="120" w:type="dxa"/>
              <w:left w:w="160" w:type="dxa"/>
              <w:bottom w:w="120" w:type="dxa"/>
              <w:right w:w="120" w:type="dxa"/>
            </w:tcMar>
            <w:vAlign w:val="center"/>
          </w:tcPr>
          <w:p w14:paraId="2C0EE745" w14:textId="77777777" w:rsidR="00D729DA" w:rsidRPr="007922C8" w:rsidRDefault="00000000">
            <w:pPr>
              <w:rPr>
                <w:rFonts w:ascii="Open Sauce One" w:hAnsi="Open Sauce One"/>
              </w:rPr>
            </w:pPr>
            <w:r w:rsidRPr="007922C8">
              <w:rPr>
                <w:rFonts w:ascii="Open Sauce One" w:eastAsia="Calibri" w:hAnsi="Open Sauce One" w:cs="Calibri"/>
                <w:b/>
                <w:bCs/>
                <w:color w:val="1B2A5B"/>
              </w:rPr>
              <w:t>Transferability</w:t>
            </w:r>
          </w:p>
        </w:tc>
        <w:tc>
          <w:tcPr>
            <w:tcW w:w="6160" w:type="dxa"/>
            <w:shd w:val="clear" w:color="auto" w:fill="F4F5F9"/>
            <w:tcMar>
              <w:top w:w="120" w:type="dxa"/>
              <w:left w:w="160" w:type="dxa"/>
              <w:bottom w:w="120" w:type="dxa"/>
              <w:right w:w="160" w:type="dxa"/>
            </w:tcMar>
            <w:vAlign w:val="center"/>
          </w:tcPr>
          <w:p w14:paraId="52CB04E7" w14:textId="77777777" w:rsidR="00D729DA" w:rsidRPr="007922C8" w:rsidRDefault="00000000">
            <w:pPr>
              <w:rPr>
                <w:rFonts w:ascii="Open Sauce One" w:hAnsi="Open Sauce One"/>
              </w:rPr>
            </w:pPr>
            <w:r w:rsidRPr="007922C8">
              <w:rPr>
                <w:rFonts w:ascii="Open Sauce One" w:eastAsia="Calibri" w:hAnsi="Open Sauce One" w:cs="Calibri"/>
                <w:i/>
                <w:iCs/>
                <w:color w:val="5B3A99"/>
              </w:rPr>
              <w:t>[Freely transferable / restricted to affiliates]</w:t>
            </w:r>
          </w:p>
        </w:tc>
      </w:tr>
    </w:tbl>
    <w:p w14:paraId="668EC198" w14:textId="77777777" w:rsidR="00D729DA" w:rsidRPr="007922C8" w:rsidRDefault="00D729DA">
      <w:pPr>
        <w:spacing w:after="160"/>
        <w:rPr>
          <w:rFonts w:ascii="Open Sauce One" w:hAnsi="Open Sauce 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45"/>
      </w:tblGrid>
      <w:tr w:rsidR="00D729DA" w:rsidRPr="007922C8" w14:paraId="38F0EE82" w14:textId="77777777">
        <w:tblPrEx>
          <w:tblCellMar>
            <w:top w:w="0" w:type="dxa"/>
            <w:bottom w:w="0" w:type="dxa"/>
          </w:tblCellMar>
        </w:tblPrEx>
        <w:trPr>
          <w:cantSplit/>
        </w:trPr>
        <w:tc>
          <w:tcPr>
            <w:tcW w:w="9360" w:type="dxa"/>
            <w:tcBorders>
              <w:top w:val="single" w:sz="4" w:space="0" w:color="F2B705"/>
              <w:left w:val="single" w:sz="24" w:space="0" w:color="F2B705"/>
              <w:bottom w:val="single" w:sz="4" w:space="0" w:color="F2B705"/>
              <w:right w:val="single" w:sz="4" w:space="0" w:color="F2B705"/>
            </w:tcBorders>
            <w:shd w:val="clear" w:color="auto" w:fill="F4F5F9"/>
            <w:tcMar>
              <w:top w:w="200" w:type="dxa"/>
              <w:left w:w="260" w:type="dxa"/>
              <w:bottom w:w="200" w:type="dxa"/>
              <w:right w:w="260" w:type="dxa"/>
            </w:tcMar>
          </w:tcPr>
          <w:p w14:paraId="0DA5D8E3" w14:textId="77777777" w:rsidR="00D729DA" w:rsidRPr="007922C8" w:rsidRDefault="00000000">
            <w:pPr>
              <w:spacing w:after="80"/>
              <w:rPr>
                <w:rFonts w:ascii="Open Sauce One" w:hAnsi="Open Sauce One"/>
              </w:rPr>
            </w:pPr>
            <w:r w:rsidRPr="007922C8">
              <w:rPr>
                <w:rFonts w:ascii="Open Sauce One" w:eastAsia="Bookman Old Style" w:hAnsi="Open Sauce One" w:cs="Bookman Old Style"/>
                <w:b/>
                <w:bCs/>
                <w:color w:val="1B2A5B"/>
                <w:sz w:val="21"/>
                <w:szCs w:val="21"/>
              </w:rPr>
              <w:t>Model this before you sign</w:t>
            </w:r>
          </w:p>
          <w:p w14:paraId="2E7E28D3" w14:textId="5BFF01C4" w:rsidR="00D729DA" w:rsidRPr="007922C8" w:rsidRDefault="00000000">
            <w:pPr>
              <w:spacing w:line="270" w:lineRule="auto"/>
              <w:rPr>
                <w:rFonts w:ascii="Open Sauce One" w:hAnsi="Open Sauce One"/>
              </w:rPr>
            </w:pPr>
            <w:r w:rsidRPr="007922C8">
              <w:rPr>
                <w:rFonts w:ascii="Open Sauce One" w:eastAsia="Calibri" w:hAnsi="Open Sauce One" w:cs="Calibri"/>
                <w:color w:val="2E2E2E"/>
              </w:rPr>
              <w:t xml:space="preserve">Unlike an equity round, warrant coverage is priced and dated at closing but its dilutive impact isn't felt until exercise often years later, at a much higher valuation. A 10% coverage warrant struck today at a $2 FMV can be worth materially more, and dilute materially more, by the time it's exercised post-Series-C. </w:t>
            </w:r>
            <w:proofErr w:type="spellStart"/>
            <w:r w:rsidRPr="007922C8">
              <w:rPr>
                <w:rFonts w:ascii="Open Sauce One" w:eastAsia="Calibri" w:hAnsi="Open Sauce One" w:cs="Calibri"/>
                <w:color w:val="2E2E2E"/>
              </w:rPr>
              <w:t>Qapita's</w:t>
            </w:r>
            <w:proofErr w:type="spellEnd"/>
            <w:r w:rsidRPr="007922C8">
              <w:rPr>
                <w:rFonts w:ascii="Open Sauce One" w:eastAsia="Calibri" w:hAnsi="Open Sauce One" w:cs="Calibri"/>
                <w:color w:val="2E2E2E"/>
              </w:rPr>
              <w:t xml:space="preserve"> cap table platform models warrant overhang against projected future rounds so founders see the fully diluted impact before agreeing to a coverage percentage, not after the next 409A comes back.</w:t>
            </w:r>
          </w:p>
        </w:tc>
      </w:tr>
    </w:tbl>
    <w:p w14:paraId="0DFAD27D"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t>V. Covenants and Conditions</w:t>
      </w:r>
    </w:p>
    <w:p w14:paraId="6A69B00B" w14:textId="77777777"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As part of this facility, the Company agrees to the following affirmative and negative covenants:</w:t>
      </w:r>
    </w:p>
    <w:p w14:paraId="73937D65" w14:textId="77777777" w:rsidR="00D729DA" w:rsidRPr="007922C8" w:rsidRDefault="00000000">
      <w:pPr>
        <w:pStyle w:val="Heading2"/>
        <w:spacing w:before="280" w:after="140"/>
        <w:rPr>
          <w:rFonts w:ascii="Open Sauce One" w:hAnsi="Open Sauce One"/>
        </w:rPr>
      </w:pPr>
      <w:r w:rsidRPr="007922C8">
        <w:rPr>
          <w:rFonts w:ascii="Open Sauce One" w:eastAsia="Bookman Old Style" w:hAnsi="Open Sauce One" w:cs="Bookman Old Style"/>
          <w:b/>
          <w:bCs/>
          <w:color w:val="5B3A99"/>
          <w:sz w:val="24"/>
          <w:szCs w:val="24"/>
        </w:rPr>
        <w:t>Affirmative Covenants</w:t>
      </w:r>
    </w:p>
    <w:p w14:paraId="7C3E7F01"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Submit periodic financial statements (monthly or quarterly) and an annual budget/forecast</w:t>
      </w:r>
    </w:p>
    <w:p w14:paraId="049B3830"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Maintain a minimum cash balance of [$ Amount] or [___] months of runway</w:t>
      </w:r>
    </w:p>
    <w:p w14:paraId="51C72F6D"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lastRenderedPageBreak/>
        <w:t>Maintain a debt service coverage ratio of at least [Number]</w:t>
      </w:r>
    </w:p>
    <w:p w14:paraId="617345F5"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Maintain deposit accounts with [Lender / designated bank], subject to a control agreement (if applicable)</w:t>
      </w:r>
    </w:p>
    <w:p w14:paraId="1E4FAE49"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Maintain accurate books and records and provide access for periodic audits</w:t>
      </w:r>
    </w:p>
    <w:p w14:paraId="71DDD7AB" w14:textId="77777777" w:rsidR="00D729DA" w:rsidRPr="007922C8" w:rsidRDefault="00000000">
      <w:pPr>
        <w:pStyle w:val="Heading2"/>
        <w:spacing w:before="280" w:after="140"/>
        <w:rPr>
          <w:rFonts w:ascii="Open Sauce One" w:hAnsi="Open Sauce One"/>
        </w:rPr>
      </w:pPr>
      <w:r w:rsidRPr="007922C8">
        <w:rPr>
          <w:rFonts w:ascii="Open Sauce One" w:eastAsia="Bookman Old Style" w:hAnsi="Open Sauce One" w:cs="Bookman Old Style"/>
          <w:b/>
          <w:bCs/>
          <w:color w:val="5B3A99"/>
          <w:sz w:val="24"/>
          <w:szCs w:val="24"/>
        </w:rPr>
        <w:t>Negative Covenants</w:t>
      </w:r>
    </w:p>
    <w:p w14:paraId="66A7C151"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No additional indebtedness without prior written consent, other than [permitted debt basket, e.g., trade payables, equipment leases up to $__]</w:t>
      </w:r>
    </w:p>
    <w:p w14:paraId="4CB0268D"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No liens on assets other than [permitted liens]</w:t>
      </w:r>
    </w:p>
    <w:p w14:paraId="1CC3DF2B"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No change of control without prior notice to [Lender Name] (and, if applicable, consent or mandatory prepayment)</w:t>
      </w:r>
    </w:p>
    <w:p w14:paraId="21553656"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No dividends, distributions, or stock buybacks without consent</w:t>
      </w:r>
    </w:p>
    <w:p w14:paraId="5D12402E"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No material changes to the nature of the business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45"/>
      </w:tblGrid>
      <w:tr w:rsidR="00D729DA" w:rsidRPr="007922C8" w14:paraId="6CFBF237" w14:textId="77777777">
        <w:tblPrEx>
          <w:tblCellMar>
            <w:top w:w="0" w:type="dxa"/>
            <w:bottom w:w="0" w:type="dxa"/>
          </w:tblCellMar>
        </w:tblPrEx>
        <w:trPr>
          <w:cantSplit/>
        </w:trPr>
        <w:tc>
          <w:tcPr>
            <w:tcW w:w="9360" w:type="dxa"/>
            <w:tcBorders>
              <w:top w:val="single" w:sz="4" w:space="0" w:color="F2B705"/>
              <w:left w:val="single" w:sz="24" w:space="0" w:color="F2B705"/>
              <w:bottom w:val="single" w:sz="4" w:space="0" w:color="F2B705"/>
              <w:right w:val="single" w:sz="4" w:space="0" w:color="F2B705"/>
            </w:tcBorders>
            <w:shd w:val="clear" w:color="auto" w:fill="F4F5F9"/>
            <w:tcMar>
              <w:top w:w="200" w:type="dxa"/>
              <w:left w:w="260" w:type="dxa"/>
              <w:bottom w:w="200" w:type="dxa"/>
              <w:right w:w="260" w:type="dxa"/>
            </w:tcMar>
          </w:tcPr>
          <w:p w14:paraId="203514BB" w14:textId="77777777" w:rsidR="00D729DA" w:rsidRPr="007922C8" w:rsidRDefault="00000000">
            <w:pPr>
              <w:spacing w:after="80"/>
              <w:rPr>
                <w:rFonts w:ascii="Open Sauce One" w:hAnsi="Open Sauce One"/>
              </w:rPr>
            </w:pPr>
            <w:r w:rsidRPr="007922C8">
              <w:rPr>
                <w:rFonts w:ascii="Open Sauce One" w:eastAsia="Bookman Old Style" w:hAnsi="Open Sauce One" w:cs="Bookman Old Style"/>
                <w:b/>
                <w:bCs/>
                <w:color w:val="1B2A5B"/>
                <w:sz w:val="21"/>
                <w:szCs w:val="21"/>
              </w:rPr>
              <w:t>Negotiate the permitted-debt basket now</w:t>
            </w:r>
          </w:p>
          <w:p w14:paraId="2F69129E" w14:textId="7E9035FB" w:rsidR="00D729DA" w:rsidRPr="007922C8" w:rsidRDefault="00000000">
            <w:pPr>
              <w:spacing w:line="270" w:lineRule="auto"/>
              <w:rPr>
                <w:rFonts w:ascii="Open Sauce One" w:hAnsi="Open Sauce One"/>
              </w:rPr>
            </w:pPr>
            <w:r w:rsidRPr="007922C8">
              <w:rPr>
                <w:rFonts w:ascii="Open Sauce One" w:eastAsia="Calibri" w:hAnsi="Open Sauce One" w:cs="Calibri"/>
                <w:color w:val="2E2E2E"/>
              </w:rPr>
              <w:t>A blanket “no additional indebtedness” covenant can block a future bridge note or SAFE without amendment. Negotiate a permitted-debt basket and a clear consent process at signing not when you're mid-raise and need an answer in 48 hours.</w:t>
            </w:r>
          </w:p>
        </w:tc>
      </w:tr>
    </w:tbl>
    <w:p w14:paraId="18881860" w14:textId="77777777" w:rsidR="00D729DA" w:rsidRPr="007922C8" w:rsidRDefault="00000000">
      <w:pPr>
        <w:rPr>
          <w:rFonts w:ascii="Open Sauce One" w:hAnsi="Open Sauce One"/>
        </w:rPr>
      </w:pPr>
      <w:r w:rsidRPr="007922C8">
        <w:rPr>
          <w:rFonts w:ascii="Open Sauce One" w:hAnsi="Open Sauce One"/>
        </w:rPr>
        <w:br w:type="page"/>
      </w:r>
    </w:p>
    <w:p w14:paraId="381BE009"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lastRenderedPageBreak/>
        <w:t>VI. Legal and Regulatory Compliance</w:t>
      </w:r>
    </w:p>
    <w:p w14:paraId="206E85D9" w14:textId="77777777"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The Company must maintain compliance with all applicable laws and regulations for the term of the facility, including financial reporting standards, data protection regulations, and industry-specific requirements relevant to its operations.</w:t>
      </w:r>
    </w:p>
    <w:p w14:paraId="4B11A1BC" w14:textId="77777777"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[Lender Name] may conduct periodic audits or request documentation to confirm ongoing compliance, cap table accuracy, and covenant adherence. Failure to meet these requirements may trigger rectification obligations or, in severe cases, default remedies including accelerated repayment.</w:t>
      </w:r>
    </w:p>
    <w:p w14:paraId="7E768335" w14:textId="77777777" w:rsidR="00D729DA" w:rsidRPr="007922C8" w:rsidRDefault="00000000">
      <w:pPr>
        <w:pStyle w:val="Heading2"/>
        <w:spacing w:before="280" w:after="140"/>
        <w:rPr>
          <w:rFonts w:ascii="Open Sauce One" w:hAnsi="Open Sauce One"/>
        </w:rPr>
      </w:pPr>
      <w:r w:rsidRPr="007922C8">
        <w:rPr>
          <w:rFonts w:ascii="Open Sauce One" w:eastAsia="Bookman Old Style" w:hAnsi="Open Sauce One" w:cs="Bookman Old Style"/>
          <w:b/>
          <w:bCs/>
          <w:color w:val="5B3A99"/>
          <w:sz w:val="24"/>
          <w:szCs w:val="24"/>
        </w:rPr>
        <w:t>Conditions Precedent to Closing</w:t>
      </w:r>
    </w:p>
    <w:p w14:paraId="23948742"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Satisfactory completion of legal, financial, and cap table due diligence</w:t>
      </w:r>
    </w:p>
    <w:p w14:paraId="1415C453"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Delivery of an up-to-date, auditable capitalization table</w:t>
      </w:r>
    </w:p>
    <w:p w14:paraId="2219535C"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color w:val="2E2E2E"/>
          <w:sz w:val="21"/>
          <w:szCs w:val="21"/>
        </w:rPr>
        <w:t>Execution of definitive loan and warrant agreements</w:t>
      </w:r>
    </w:p>
    <w:p w14:paraId="409FB488"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b/>
          <w:bCs/>
          <w:i/>
          <w:iCs/>
          <w:color w:val="5B3A99"/>
          <w:sz w:val="21"/>
          <w:szCs w:val="21"/>
        </w:rPr>
        <w:t>[Board / stockholder approval, if required by the Company's governing documents]</w:t>
      </w:r>
    </w:p>
    <w:p w14:paraId="49DDA384" w14:textId="77777777" w:rsidR="00D729DA" w:rsidRPr="007922C8" w:rsidRDefault="00000000">
      <w:pPr>
        <w:pStyle w:val="ListParagraph"/>
        <w:numPr>
          <w:ilvl w:val="0"/>
          <w:numId w:val="2"/>
        </w:numPr>
        <w:spacing w:after="100" w:line="270" w:lineRule="auto"/>
        <w:rPr>
          <w:rFonts w:ascii="Open Sauce One" w:hAnsi="Open Sauce One"/>
        </w:rPr>
      </w:pPr>
      <w:r w:rsidRPr="007922C8">
        <w:rPr>
          <w:rFonts w:ascii="Open Sauce One" w:eastAsia="Calibri" w:hAnsi="Open Sauce One" w:cs="Calibri"/>
          <w:b/>
          <w:bCs/>
          <w:i/>
          <w:iCs/>
          <w:color w:val="5B3A99"/>
          <w:sz w:val="21"/>
          <w:szCs w:val="21"/>
        </w:rPr>
        <w:t>[UCC lien search / perfection of security interest, if secured facility]</w:t>
      </w:r>
    </w:p>
    <w:p w14:paraId="56D6DE30" w14:textId="77777777" w:rsidR="00D729DA" w:rsidRPr="007922C8" w:rsidRDefault="00000000">
      <w:pPr>
        <w:pStyle w:val="Heading1"/>
        <w:pBdr>
          <w:bottom w:val="single" w:sz="18" w:space="6" w:color="F2B705"/>
        </w:pBdr>
        <w:spacing w:before="400" w:after="200"/>
        <w:rPr>
          <w:rFonts w:ascii="Open Sauce One" w:hAnsi="Open Sauce One"/>
        </w:rPr>
      </w:pPr>
      <w:r w:rsidRPr="007922C8">
        <w:rPr>
          <w:rFonts w:ascii="Open Sauce One" w:eastAsia="Bookman Old Style" w:hAnsi="Open Sauce One" w:cs="Bookman Old Style"/>
          <w:b/>
          <w:bCs/>
          <w:color w:val="1B2A5B"/>
        </w:rPr>
        <w:t>VII. Signatories</w:t>
      </w:r>
    </w:p>
    <w:p w14:paraId="0C16AC1C" w14:textId="77777777" w:rsidR="00D729DA" w:rsidRPr="007922C8" w:rsidRDefault="00000000">
      <w:pPr>
        <w:spacing w:after="160" w:line="276" w:lineRule="auto"/>
        <w:rPr>
          <w:rFonts w:ascii="Open Sauce One" w:hAnsi="Open Sauce One"/>
        </w:rPr>
      </w:pPr>
      <w:r w:rsidRPr="007922C8">
        <w:rPr>
          <w:rFonts w:ascii="Open Sauce One" w:eastAsia="Calibri" w:hAnsi="Open Sauce One" w:cs="Calibri"/>
          <w:color w:val="2E2E2E"/>
          <w:sz w:val="21"/>
          <w:szCs w:val="21"/>
        </w:rPr>
        <w:t>This Term Sheet is non-binding except as to confidentiality, exclusivity, and expenses (as applicable), and is subject to approval and execution of definitive agreements by authorized representatives of both parties.</w:t>
      </w:r>
    </w:p>
    <w:p w14:paraId="5CD56B63" w14:textId="77777777" w:rsidR="00D729DA" w:rsidRPr="007922C8" w:rsidRDefault="00D729DA">
      <w:pPr>
        <w:spacing w:after="300"/>
        <w:rPr>
          <w:rFonts w:ascii="Open Sauce One" w:hAnsi="Open Sauce One"/>
        </w:rPr>
      </w:pPr>
    </w:p>
    <w:p w14:paraId="02859E2B" w14:textId="77777777" w:rsidR="00D729DA" w:rsidRPr="007922C8" w:rsidRDefault="00000000">
      <w:pPr>
        <w:spacing w:after="80"/>
        <w:rPr>
          <w:rFonts w:ascii="Open Sauce One" w:hAnsi="Open Sauce One"/>
        </w:rPr>
      </w:pPr>
      <w:r w:rsidRPr="007922C8">
        <w:rPr>
          <w:rFonts w:ascii="Open Sauce One" w:eastAsia="Calibri" w:hAnsi="Open Sauce One" w:cs="Calibri"/>
          <w:color w:val="6B6B6B"/>
          <w:sz w:val="21"/>
          <w:szCs w:val="21"/>
        </w:rPr>
        <w:t>——————————————</w:t>
      </w:r>
    </w:p>
    <w:p w14:paraId="5B118BFF"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b/>
          <w:bCs/>
          <w:color w:val="2E2E2E"/>
          <w:sz w:val="21"/>
          <w:szCs w:val="21"/>
        </w:rPr>
        <w:t>[Lender Name]</w:t>
      </w:r>
    </w:p>
    <w:p w14:paraId="4B348E34"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b/>
          <w:bCs/>
          <w:i/>
          <w:iCs/>
          <w:color w:val="5B3A99"/>
          <w:sz w:val="21"/>
          <w:szCs w:val="21"/>
        </w:rPr>
        <w:t>By: [Name, Title]</w:t>
      </w:r>
    </w:p>
    <w:p w14:paraId="3A404632" w14:textId="77777777" w:rsidR="00D729DA" w:rsidRPr="007922C8" w:rsidRDefault="00D729DA">
      <w:pPr>
        <w:spacing w:after="300"/>
        <w:rPr>
          <w:rFonts w:ascii="Open Sauce One" w:hAnsi="Open Sauce One"/>
        </w:rPr>
      </w:pPr>
    </w:p>
    <w:p w14:paraId="4ED1B5D1" w14:textId="77777777" w:rsidR="00D729DA" w:rsidRPr="007922C8" w:rsidRDefault="00000000">
      <w:pPr>
        <w:spacing w:after="80"/>
        <w:rPr>
          <w:rFonts w:ascii="Open Sauce One" w:hAnsi="Open Sauce One"/>
        </w:rPr>
      </w:pPr>
      <w:r w:rsidRPr="007922C8">
        <w:rPr>
          <w:rFonts w:ascii="Open Sauce One" w:eastAsia="Calibri" w:hAnsi="Open Sauce One" w:cs="Calibri"/>
          <w:color w:val="6B6B6B"/>
          <w:sz w:val="21"/>
          <w:szCs w:val="21"/>
        </w:rPr>
        <w:t>——————————————</w:t>
      </w:r>
    </w:p>
    <w:p w14:paraId="5E3901F8"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b/>
          <w:bCs/>
          <w:color w:val="2E2E2E"/>
          <w:sz w:val="21"/>
          <w:szCs w:val="21"/>
        </w:rPr>
        <w:t>[Borrower Company Name]</w:t>
      </w:r>
    </w:p>
    <w:p w14:paraId="4C0D6846" w14:textId="77777777" w:rsidR="00D729DA" w:rsidRPr="007922C8" w:rsidRDefault="00000000">
      <w:pPr>
        <w:spacing w:after="120" w:line="276" w:lineRule="auto"/>
        <w:rPr>
          <w:rFonts w:ascii="Open Sauce One" w:hAnsi="Open Sauce One"/>
        </w:rPr>
      </w:pPr>
      <w:r w:rsidRPr="007922C8">
        <w:rPr>
          <w:rFonts w:ascii="Open Sauce One" w:eastAsia="Calibri" w:hAnsi="Open Sauce One" w:cs="Calibri"/>
          <w:b/>
          <w:bCs/>
          <w:i/>
          <w:iCs/>
          <w:color w:val="5B3A99"/>
          <w:sz w:val="21"/>
          <w:szCs w:val="21"/>
        </w:rPr>
        <w:t>By: [Name, Title]</w:t>
      </w:r>
    </w:p>
    <w:p w14:paraId="396635D3" w14:textId="77777777" w:rsidR="00D729DA" w:rsidRPr="007922C8" w:rsidRDefault="00D729DA">
      <w:pPr>
        <w:spacing w:after="400"/>
        <w:rPr>
          <w:rFonts w:ascii="Open Sauce One" w:hAnsi="Open Sauce 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45"/>
      </w:tblGrid>
      <w:tr w:rsidR="00D729DA" w:rsidRPr="007922C8" w14:paraId="20330CFC" w14:textId="77777777">
        <w:tblPrEx>
          <w:tblCellMar>
            <w:top w:w="0" w:type="dxa"/>
            <w:bottom w:w="0" w:type="dxa"/>
          </w:tblCellMar>
        </w:tblPrEx>
        <w:trPr>
          <w:cantSplit/>
        </w:trPr>
        <w:tc>
          <w:tcPr>
            <w:tcW w:w="9360" w:type="dxa"/>
            <w:tcBorders>
              <w:top w:val="single" w:sz="4" w:space="0" w:color="F2B705"/>
              <w:left w:val="single" w:sz="24" w:space="0" w:color="F2B705"/>
              <w:bottom w:val="single" w:sz="4" w:space="0" w:color="F2B705"/>
              <w:right w:val="single" w:sz="4" w:space="0" w:color="F2B705"/>
            </w:tcBorders>
            <w:shd w:val="clear" w:color="auto" w:fill="F4F5F9"/>
            <w:tcMar>
              <w:top w:w="200" w:type="dxa"/>
              <w:left w:w="260" w:type="dxa"/>
              <w:bottom w:w="200" w:type="dxa"/>
              <w:right w:w="260" w:type="dxa"/>
            </w:tcMar>
          </w:tcPr>
          <w:p w14:paraId="212BA4D0" w14:textId="77777777" w:rsidR="00D729DA" w:rsidRPr="007922C8" w:rsidRDefault="00000000">
            <w:pPr>
              <w:spacing w:after="80"/>
              <w:rPr>
                <w:rFonts w:ascii="Open Sauce One" w:hAnsi="Open Sauce One"/>
              </w:rPr>
            </w:pPr>
            <w:r w:rsidRPr="007922C8">
              <w:rPr>
                <w:rFonts w:ascii="Open Sauce One" w:eastAsia="Bookman Old Style" w:hAnsi="Open Sauce One" w:cs="Bookman Old Style"/>
                <w:b/>
                <w:bCs/>
                <w:color w:val="1B2A5B"/>
                <w:sz w:val="21"/>
                <w:szCs w:val="21"/>
              </w:rPr>
              <w:lastRenderedPageBreak/>
              <w:t>Before you sign</w:t>
            </w:r>
          </w:p>
          <w:p w14:paraId="225E8C24" w14:textId="30ACB4F3" w:rsidR="00D729DA" w:rsidRPr="007922C8" w:rsidRDefault="00000000">
            <w:pPr>
              <w:spacing w:line="270" w:lineRule="auto"/>
              <w:rPr>
                <w:rFonts w:ascii="Open Sauce One" w:hAnsi="Open Sauce One"/>
              </w:rPr>
            </w:pPr>
            <w:r w:rsidRPr="007922C8">
              <w:rPr>
                <w:rFonts w:ascii="Open Sauce One" w:eastAsia="Calibri" w:hAnsi="Open Sauce One" w:cs="Calibri"/>
                <w:color w:val="2E2E2E"/>
              </w:rPr>
              <w:t xml:space="preserve">Run the fully diluted warrant impact through your cap table platform, not a spreadsheet estimate. </w:t>
            </w:r>
            <w:proofErr w:type="spellStart"/>
            <w:r w:rsidRPr="007922C8">
              <w:rPr>
                <w:rFonts w:ascii="Open Sauce One" w:eastAsia="Calibri" w:hAnsi="Open Sauce One" w:cs="Calibri"/>
                <w:color w:val="2E2E2E"/>
              </w:rPr>
              <w:t>Qapita</w:t>
            </w:r>
            <w:proofErr w:type="spellEnd"/>
            <w:r w:rsidRPr="007922C8">
              <w:rPr>
                <w:rFonts w:ascii="Open Sauce One" w:eastAsia="Calibri" w:hAnsi="Open Sauce One" w:cs="Calibri"/>
                <w:color w:val="2E2E2E"/>
              </w:rPr>
              <w:t xml:space="preserve"> models the exercise price, vesting, and dilution of this facility's warrant coverage against your real capitalization including outstanding options, SAFEs, and prior warrants so the number you're agreeing to is the number you </w:t>
            </w:r>
            <w:proofErr w:type="gramStart"/>
            <w:r w:rsidRPr="007922C8">
              <w:rPr>
                <w:rFonts w:ascii="Open Sauce One" w:eastAsia="Calibri" w:hAnsi="Open Sauce One" w:cs="Calibri"/>
                <w:color w:val="2E2E2E"/>
              </w:rPr>
              <w:t>actually get</w:t>
            </w:r>
            <w:proofErr w:type="gramEnd"/>
            <w:r w:rsidRPr="007922C8">
              <w:rPr>
                <w:rFonts w:ascii="Open Sauce One" w:eastAsia="Calibri" w:hAnsi="Open Sauce One" w:cs="Calibri"/>
                <w:color w:val="2E2E2E"/>
              </w:rPr>
              <w:t>.</w:t>
            </w:r>
          </w:p>
        </w:tc>
      </w:tr>
    </w:tbl>
    <w:p w14:paraId="6185D319" w14:textId="77777777" w:rsidR="00A718E1" w:rsidRPr="007922C8" w:rsidRDefault="00A718E1">
      <w:pPr>
        <w:rPr>
          <w:rFonts w:ascii="Open Sauce One" w:hAnsi="Open Sauce One"/>
        </w:rPr>
      </w:pPr>
    </w:p>
    <w:sectPr w:rsidR="00A718E1" w:rsidRPr="007922C8">
      <w:headerReference w:type="default" r:id="rId9"/>
      <w:footerReference w:type="default" r:id="rId10"/>
      <w:pgSz w:w="12240" w:h="15840"/>
      <w:pgMar w:top="1350" w:right="1080" w:bottom="135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BED09" w14:textId="77777777" w:rsidR="00A718E1" w:rsidRDefault="00A718E1">
      <w:r>
        <w:separator/>
      </w:r>
    </w:p>
  </w:endnote>
  <w:endnote w:type="continuationSeparator" w:id="0">
    <w:p w14:paraId="30590662" w14:textId="77777777" w:rsidR="00A718E1" w:rsidRDefault="00A7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EA5B3B7B93C2454B9D1B69DCD52189FF"/>
      </w:placeholder>
      <w:temporary/>
      <w:showingPlcHdr/>
      <w15:appearance w15:val="hidden"/>
    </w:sdtPr>
    <w:sdtContent>
      <w:p w14:paraId="3DD938ED" w14:textId="77777777" w:rsidR="009B5FD0" w:rsidRDefault="009B5FD0">
        <w:pPr>
          <w:pStyle w:val="Footer"/>
        </w:pPr>
        <w:r>
          <w:t>[Type here]</w:t>
        </w:r>
      </w:p>
    </w:sdtContent>
  </w:sdt>
  <w:p w14:paraId="2601CD0B" w14:textId="77777777" w:rsidR="009B5FD0" w:rsidRDefault="009B5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BF62" w14:textId="77777777" w:rsidR="00D729DA" w:rsidRDefault="00000000">
    <w:pPr>
      <w:jc w:val="center"/>
    </w:pPr>
    <w:proofErr w:type="spellStart"/>
    <w:proofErr w:type="gramStart"/>
    <w:r>
      <w:rPr>
        <w:rFonts w:ascii="Calibri" w:eastAsia="Calibri" w:hAnsi="Calibri" w:cs="Calibri"/>
        <w:color w:val="6B6B6B"/>
        <w:sz w:val="15"/>
        <w:szCs w:val="15"/>
      </w:rPr>
      <w:t>Qapita</w:t>
    </w:r>
    <w:proofErr w:type="spellEnd"/>
    <w:r>
      <w:rPr>
        <w:rFonts w:ascii="Calibri" w:eastAsia="Calibri" w:hAnsi="Calibri" w:cs="Calibri"/>
        <w:color w:val="6B6B6B"/>
        <w:sz w:val="15"/>
        <w:szCs w:val="15"/>
      </w:rPr>
      <w:t xml:space="preserve">  —</w:t>
    </w:r>
    <w:proofErr w:type="gramEnd"/>
    <w:r>
      <w:rPr>
        <w:rFonts w:ascii="Calibri" w:eastAsia="Calibri" w:hAnsi="Calibri" w:cs="Calibri"/>
        <w:color w:val="6B6B6B"/>
        <w:sz w:val="15"/>
        <w:szCs w:val="15"/>
      </w:rPr>
      <w:t xml:space="preserve">  Equity Management, </w:t>
    </w:r>
    <w:proofErr w:type="gramStart"/>
    <w:r>
      <w:rPr>
        <w:rFonts w:ascii="Calibri" w:eastAsia="Calibri" w:hAnsi="Calibri" w:cs="Calibri"/>
        <w:color w:val="6B6B6B"/>
        <w:sz w:val="15"/>
        <w:szCs w:val="15"/>
      </w:rPr>
      <w:t>Simplified  —</w:t>
    </w:r>
    <w:proofErr w:type="gramEnd"/>
    <w:r>
      <w:rPr>
        <w:rFonts w:ascii="Calibri" w:eastAsia="Calibri" w:hAnsi="Calibri" w:cs="Calibri"/>
        <w:color w:val="6B6B6B"/>
        <w:sz w:val="15"/>
        <w:szCs w:val="15"/>
      </w:rPr>
      <w:t xml:space="preserve">  Page </w:t>
    </w:r>
    <w:r>
      <w:rPr>
        <w:rFonts w:ascii="Calibri" w:eastAsia="Calibri" w:hAnsi="Calibri" w:cs="Calibri"/>
        <w:color w:val="6B6B6B"/>
        <w:sz w:val="15"/>
        <w:szCs w:val="15"/>
      </w:rPr>
      <w:fldChar w:fldCharType="begin"/>
    </w:r>
    <w:r>
      <w:rPr>
        <w:rFonts w:ascii="Calibri" w:eastAsia="Calibri" w:hAnsi="Calibri" w:cs="Calibri"/>
        <w:color w:val="6B6B6B"/>
        <w:sz w:val="15"/>
        <w:szCs w:val="15"/>
      </w:rPr>
      <w:instrText>PAGE</w:instrText>
    </w:r>
    <w:r>
      <w:rPr>
        <w:rFonts w:ascii="Calibri" w:eastAsia="Calibri" w:hAnsi="Calibri" w:cs="Calibri"/>
        <w:color w:val="6B6B6B"/>
        <w:sz w:val="15"/>
        <w:szCs w:val="15"/>
      </w:rPr>
      <w:fldChar w:fldCharType="separate"/>
    </w:r>
    <w:r w:rsidR="007922C8">
      <w:rPr>
        <w:rFonts w:ascii="Calibri" w:eastAsia="Calibri" w:hAnsi="Calibri" w:cs="Calibri"/>
        <w:noProof/>
        <w:color w:val="6B6B6B"/>
        <w:sz w:val="15"/>
        <w:szCs w:val="15"/>
      </w:rPr>
      <w:t>3</w:t>
    </w:r>
    <w:r>
      <w:rPr>
        <w:rFonts w:ascii="Calibri" w:eastAsia="Calibri" w:hAnsi="Calibri" w:cs="Calibri"/>
        <w:color w:val="6B6B6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BB95" w14:textId="77777777" w:rsidR="00A718E1" w:rsidRDefault="00A718E1">
      <w:r>
        <w:separator/>
      </w:r>
    </w:p>
  </w:footnote>
  <w:footnote w:type="continuationSeparator" w:id="0">
    <w:p w14:paraId="4DF03A55" w14:textId="77777777" w:rsidR="00A718E1" w:rsidRDefault="00A7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13E9" w14:textId="66FB1100" w:rsidR="009B5FD0" w:rsidRDefault="009B5FD0" w:rsidP="009B5FD0">
    <w:pPr>
      <w:pStyle w:val="Header"/>
      <w:jc w:val="right"/>
    </w:pPr>
    <w:r>
      <w:rPr>
        <w:noProof/>
      </w:rPr>
      <w:drawing>
        <wp:inline distT="0" distB="0" distL="0" distR="0" wp14:anchorId="48C82A6E" wp14:editId="0A9ED77E">
          <wp:extent cx="1077268" cy="384613"/>
          <wp:effectExtent l="0" t="0" r="0" b="0"/>
          <wp:docPr id="433656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56813" name="Picture 433656813"/>
                  <pic:cNvPicPr/>
                </pic:nvPicPr>
                <pic:blipFill>
                  <a:blip r:embed="rId1">
                    <a:extLst>
                      <a:ext uri="{28A0092B-C50C-407E-A947-70E740481C1C}">
                        <a14:useLocalDpi xmlns:a14="http://schemas.microsoft.com/office/drawing/2010/main" val="0"/>
                      </a:ext>
                    </a:extLst>
                  </a:blip>
                  <a:stretch>
                    <a:fillRect/>
                  </a:stretch>
                </pic:blipFill>
                <pic:spPr>
                  <a:xfrm>
                    <a:off x="0" y="0"/>
                    <a:ext cx="1174102" cy="4191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8E34E" w14:textId="662A7BD7" w:rsidR="00D729DA" w:rsidRPr="009B5FD0" w:rsidRDefault="009B5FD0">
    <w:pPr>
      <w:pBdr>
        <w:bottom w:val="single" w:sz="8" w:space="4" w:color="F2B705"/>
      </w:pBdr>
      <w:jc w:val="right"/>
      <w:rPr>
        <w:lang w:val="en-US"/>
      </w:rPr>
    </w:pPr>
    <w:r>
      <w:rPr>
        <w:noProof/>
      </w:rPr>
      <w:drawing>
        <wp:inline distT="0" distB="0" distL="0" distR="0" wp14:anchorId="06DDE237" wp14:editId="093C1C2B">
          <wp:extent cx="1077268" cy="384613"/>
          <wp:effectExtent l="0" t="0" r="0" b="0"/>
          <wp:docPr id="179422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56813" name="Picture 433656813"/>
                  <pic:cNvPicPr/>
                </pic:nvPicPr>
                <pic:blipFill>
                  <a:blip r:embed="rId1">
                    <a:extLst>
                      <a:ext uri="{28A0092B-C50C-407E-A947-70E740481C1C}">
                        <a14:useLocalDpi xmlns:a14="http://schemas.microsoft.com/office/drawing/2010/main" val="0"/>
                      </a:ext>
                    </a:extLst>
                  </a:blip>
                  <a:stretch>
                    <a:fillRect/>
                  </a:stretch>
                </pic:blipFill>
                <pic:spPr>
                  <a:xfrm>
                    <a:off x="0" y="0"/>
                    <a:ext cx="1174102" cy="4191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84266"/>
    <w:multiLevelType w:val="hybridMultilevel"/>
    <w:tmpl w:val="EF5EB042"/>
    <w:lvl w:ilvl="0" w:tplc="6C8A4C42">
      <w:start w:val="1"/>
      <w:numFmt w:val="bullet"/>
      <w:lvlText w:val="•"/>
      <w:lvlJc w:val="left"/>
      <w:pPr>
        <w:ind w:left="460" w:hanging="260"/>
      </w:pPr>
    </w:lvl>
    <w:lvl w:ilvl="1" w:tplc="D5081B2A">
      <w:start w:val="1"/>
      <w:numFmt w:val="bullet"/>
      <w:lvlText w:val="◦"/>
      <w:lvlJc w:val="left"/>
      <w:pPr>
        <w:ind w:left="920" w:hanging="260"/>
      </w:pPr>
    </w:lvl>
    <w:lvl w:ilvl="2" w:tplc="81BEC4B4">
      <w:numFmt w:val="decimal"/>
      <w:lvlText w:val=""/>
      <w:lvlJc w:val="left"/>
    </w:lvl>
    <w:lvl w:ilvl="3" w:tplc="C908D164">
      <w:numFmt w:val="decimal"/>
      <w:lvlText w:val=""/>
      <w:lvlJc w:val="left"/>
    </w:lvl>
    <w:lvl w:ilvl="4" w:tplc="883861E2">
      <w:numFmt w:val="decimal"/>
      <w:lvlText w:val=""/>
      <w:lvlJc w:val="left"/>
    </w:lvl>
    <w:lvl w:ilvl="5" w:tplc="AC8CF3DA">
      <w:numFmt w:val="decimal"/>
      <w:lvlText w:val=""/>
      <w:lvlJc w:val="left"/>
    </w:lvl>
    <w:lvl w:ilvl="6" w:tplc="BC6AD5B6">
      <w:numFmt w:val="decimal"/>
      <w:lvlText w:val=""/>
      <w:lvlJc w:val="left"/>
    </w:lvl>
    <w:lvl w:ilvl="7" w:tplc="24145F34">
      <w:numFmt w:val="decimal"/>
      <w:lvlText w:val=""/>
      <w:lvlJc w:val="left"/>
    </w:lvl>
    <w:lvl w:ilvl="8" w:tplc="A80455CA">
      <w:numFmt w:val="decimal"/>
      <w:lvlText w:val=""/>
      <w:lvlJc w:val="left"/>
    </w:lvl>
  </w:abstractNum>
  <w:abstractNum w:abstractNumId="1" w15:restartNumberingAfterBreak="0">
    <w:nsid w:val="5DD56C63"/>
    <w:multiLevelType w:val="hybridMultilevel"/>
    <w:tmpl w:val="70A61A7C"/>
    <w:lvl w:ilvl="0" w:tplc="7182E67A">
      <w:start w:val="1"/>
      <w:numFmt w:val="bullet"/>
      <w:lvlText w:val="●"/>
      <w:lvlJc w:val="left"/>
      <w:pPr>
        <w:ind w:left="720" w:hanging="360"/>
      </w:pPr>
    </w:lvl>
    <w:lvl w:ilvl="1" w:tplc="5660283C">
      <w:start w:val="1"/>
      <w:numFmt w:val="bullet"/>
      <w:lvlText w:val="○"/>
      <w:lvlJc w:val="left"/>
      <w:pPr>
        <w:ind w:left="1440" w:hanging="360"/>
      </w:pPr>
    </w:lvl>
    <w:lvl w:ilvl="2" w:tplc="13425330">
      <w:start w:val="1"/>
      <w:numFmt w:val="bullet"/>
      <w:lvlText w:val="■"/>
      <w:lvlJc w:val="left"/>
      <w:pPr>
        <w:ind w:left="2160" w:hanging="360"/>
      </w:pPr>
    </w:lvl>
    <w:lvl w:ilvl="3" w:tplc="CCC2C4A6">
      <w:start w:val="1"/>
      <w:numFmt w:val="bullet"/>
      <w:lvlText w:val="●"/>
      <w:lvlJc w:val="left"/>
      <w:pPr>
        <w:ind w:left="2880" w:hanging="360"/>
      </w:pPr>
    </w:lvl>
    <w:lvl w:ilvl="4" w:tplc="BD784AB2">
      <w:start w:val="1"/>
      <w:numFmt w:val="bullet"/>
      <w:lvlText w:val="○"/>
      <w:lvlJc w:val="left"/>
      <w:pPr>
        <w:ind w:left="3600" w:hanging="360"/>
      </w:pPr>
    </w:lvl>
    <w:lvl w:ilvl="5" w:tplc="25602294">
      <w:start w:val="1"/>
      <w:numFmt w:val="bullet"/>
      <w:lvlText w:val="■"/>
      <w:lvlJc w:val="left"/>
      <w:pPr>
        <w:ind w:left="4320" w:hanging="360"/>
      </w:pPr>
    </w:lvl>
    <w:lvl w:ilvl="6" w:tplc="F96A096E">
      <w:start w:val="1"/>
      <w:numFmt w:val="bullet"/>
      <w:lvlText w:val="●"/>
      <w:lvlJc w:val="left"/>
      <w:pPr>
        <w:ind w:left="5040" w:hanging="360"/>
      </w:pPr>
    </w:lvl>
    <w:lvl w:ilvl="7" w:tplc="16FC387E">
      <w:start w:val="1"/>
      <w:numFmt w:val="bullet"/>
      <w:lvlText w:val="●"/>
      <w:lvlJc w:val="left"/>
      <w:pPr>
        <w:ind w:left="5760" w:hanging="360"/>
      </w:pPr>
    </w:lvl>
    <w:lvl w:ilvl="8" w:tplc="954058AC">
      <w:start w:val="1"/>
      <w:numFmt w:val="bullet"/>
      <w:lvlText w:val="●"/>
      <w:lvlJc w:val="left"/>
      <w:pPr>
        <w:ind w:left="6480" w:hanging="360"/>
      </w:pPr>
    </w:lvl>
  </w:abstractNum>
  <w:num w:numId="1" w16cid:durableId="707142636">
    <w:abstractNumId w:val="1"/>
    <w:lvlOverride w:ilvl="0">
      <w:startOverride w:val="1"/>
    </w:lvlOverride>
  </w:num>
  <w:num w:numId="2" w16cid:durableId="11160264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9DA"/>
    <w:rsid w:val="003161F5"/>
    <w:rsid w:val="007922C8"/>
    <w:rsid w:val="009B5FD0"/>
    <w:rsid w:val="00A718E1"/>
    <w:rsid w:val="00D729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7FAF2"/>
  <w15:docId w15:val="{E5ED30EB-51AE-47B8-855A-793FC521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B5FD0"/>
    <w:pPr>
      <w:tabs>
        <w:tab w:val="center" w:pos="4513"/>
        <w:tab w:val="right" w:pos="9026"/>
      </w:tabs>
    </w:pPr>
  </w:style>
  <w:style w:type="character" w:customStyle="1" w:styleId="HeaderChar">
    <w:name w:val="Header Char"/>
    <w:basedOn w:val="DefaultParagraphFont"/>
    <w:link w:val="Header"/>
    <w:uiPriority w:val="99"/>
    <w:rsid w:val="009B5FD0"/>
  </w:style>
  <w:style w:type="paragraph" w:styleId="Footer">
    <w:name w:val="footer"/>
    <w:basedOn w:val="Normal"/>
    <w:link w:val="FooterChar"/>
    <w:uiPriority w:val="99"/>
    <w:unhideWhenUsed/>
    <w:rsid w:val="009B5FD0"/>
    <w:pPr>
      <w:tabs>
        <w:tab w:val="center" w:pos="4513"/>
        <w:tab w:val="right" w:pos="9026"/>
      </w:tabs>
    </w:pPr>
  </w:style>
  <w:style w:type="character" w:customStyle="1" w:styleId="FooterChar">
    <w:name w:val="Footer Char"/>
    <w:basedOn w:val="DefaultParagraphFont"/>
    <w:link w:val="Footer"/>
    <w:uiPriority w:val="99"/>
    <w:rsid w:val="009B5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5B3B7B93C2454B9D1B69DCD52189FF"/>
        <w:category>
          <w:name w:val="General"/>
          <w:gallery w:val="placeholder"/>
        </w:category>
        <w:types>
          <w:type w:val="bbPlcHdr"/>
        </w:types>
        <w:behaviors>
          <w:behavior w:val="content"/>
        </w:behaviors>
        <w:guid w:val="{DA1B8B9C-B5A4-46E1-9962-630C7917D5AD}"/>
      </w:docPartPr>
      <w:docPartBody>
        <w:p w:rsidR="00000000" w:rsidRDefault="00A92BE2" w:rsidP="00A92BE2">
          <w:pPr>
            <w:pStyle w:val="EA5B3B7B93C2454B9D1B69DCD52189F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E2"/>
    <w:rsid w:val="0027150E"/>
    <w:rsid w:val="003161F5"/>
    <w:rsid w:val="00A92B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5B3B7B93C2454B9D1B69DCD52189FF">
    <w:name w:val="EA5B3B7B93C2454B9D1B69DCD52189FF"/>
    <w:rsid w:val="00A92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2D035C-0A48-4939-BD9D-57FA0546DA60}"/>
</file>

<file path=customXml/itemProps2.xml><?xml version="1.0" encoding="utf-8"?>
<ds:datastoreItem xmlns:ds="http://schemas.openxmlformats.org/officeDocument/2006/customXml" ds:itemID="{CD8E8A27-EF0A-4B31-8EC2-10ADAB03B0AF}"/>
</file>

<file path=customXml/itemProps3.xml><?xml version="1.0" encoding="utf-8"?>
<ds:datastoreItem xmlns:ds="http://schemas.openxmlformats.org/officeDocument/2006/customXml" ds:itemID="{5BE09F9A-C954-4B7A-84DF-B5B4106F5FA1}"/>
</file>

<file path=docProps/app.xml><?xml version="1.0" encoding="utf-8"?>
<Properties xmlns="http://schemas.openxmlformats.org/officeDocument/2006/extended-properties" xmlns:vt="http://schemas.openxmlformats.org/officeDocument/2006/docPropsVTypes">
  <Template>Normal</Template>
  <TotalTime>18</TotalTime>
  <Pages>8</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2</cp:revision>
  <dcterms:created xsi:type="dcterms:W3CDTF">2026-08-14T15:12:00Z</dcterms:created>
  <dcterms:modified xsi:type="dcterms:W3CDTF">2026-08-17T05:12:00Z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