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354D0" w14:textId="712B54E4" w:rsidR="002022CD" w:rsidRPr="00506E61" w:rsidRDefault="002022CD">
      <w:pPr>
        <w:pBdr>
          <w:bottom w:val="single" w:sz="16" w:space="8" w:color="FFCD5D"/>
        </w:pBdr>
        <w:spacing w:after="700"/>
        <w:rPr>
          <w:rFonts w:ascii="Open Sauce One" w:hAnsi="Open Sauce One"/>
        </w:rPr>
      </w:pPr>
    </w:p>
    <w:p w14:paraId="44B9AA85" w14:textId="77777777" w:rsidR="002022CD" w:rsidRPr="00506E61" w:rsidRDefault="002022CD">
      <w:pPr>
        <w:spacing w:after="40"/>
        <w:rPr>
          <w:rFonts w:ascii="Open Sauce One" w:hAnsi="Open Sauce One"/>
        </w:rPr>
      </w:pPr>
    </w:p>
    <w:p w14:paraId="21CF8D01" w14:textId="77777777" w:rsidR="002022CD" w:rsidRPr="00506E61" w:rsidRDefault="002022CD">
      <w:pPr>
        <w:spacing w:after="40"/>
        <w:rPr>
          <w:rFonts w:ascii="Open Sauce One" w:hAnsi="Open Sauce One"/>
        </w:rPr>
      </w:pPr>
    </w:p>
    <w:p w14:paraId="32612D4A" w14:textId="77777777" w:rsidR="002022CD" w:rsidRPr="00506E61" w:rsidRDefault="002022CD">
      <w:pPr>
        <w:spacing w:after="40"/>
        <w:rPr>
          <w:rFonts w:ascii="Open Sauce One" w:hAnsi="Open Sauce One"/>
        </w:rPr>
      </w:pPr>
    </w:p>
    <w:p w14:paraId="55134620" w14:textId="77777777" w:rsidR="002022CD" w:rsidRPr="00506E61" w:rsidRDefault="00000000">
      <w:pPr>
        <w:spacing w:after="200"/>
        <w:rPr>
          <w:rFonts w:ascii="Open Sauce One" w:hAnsi="Open Sauce One"/>
        </w:rPr>
      </w:pPr>
      <w:r w:rsidRPr="00506E61">
        <w:rPr>
          <w:rFonts w:ascii="Open Sauce One" w:eastAsia="Bookman Old Style" w:hAnsi="Open Sauce One" w:cs="Bookman Old Style"/>
          <w:b/>
          <w:bCs/>
          <w:color w:val="292876"/>
          <w:sz w:val="60"/>
          <w:szCs w:val="60"/>
        </w:rPr>
        <w:t>ANGEL INVESTOR TERM SHEET</w:t>
      </w:r>
    </w:p>
    <w:p w14:paraId="5F761616" w14:textId="1C484221" w:rsidR="002022CD" w:rsidRPr="00506E61" w:rsidRDefault="00000000">
      <w:pPr>
        <w:spacing w:after="500"/>
        <w:rPr>
          <w:rFonts w:ascii="Open Sauce One" w:hAnsi="Open Sauce One"/>
        </w:rPr>
      </w:pPr>
      <w:r w:rsidRPr="00506E61">
        <w:rPr>
          <w:rFonts w:ascii="Open Sauce One" w:eastAsia="Calibri" w:hAnsi="Open Sauce One" w:cs="Calibri"/>
          <w:color w:val="5A5A5A"/>
          <w:sz w:val="22"/>
          <w:szCs w:val="22"/>
        </w:rPr>
        <w:t xml:space="preserve">A Founder's Working Template for Priced Equity Angel Rounds </w:t>
      </w:r>
    </w:p>
    <w:p w14:paraId="503A2960" w14:textId="77777777" w:rsidR="002022CD" w:rsidRPr="00506E61" w:rsidRDefault="002022CD">
      <w:pPr>
        <w:spacing w:after="40"/>
        <w:rPr>
          <w:rFonts w:ascii="Open Sauce One" w:hAnsi="Open Sauce One"/>
        </w:rPr>
      </w:pPr>
    </w:p>
    <w:p w14:paraId="62522A7B" w14:textId="77777777" w:rsidR="002022CD" w:rsidRPr="00506E61" w:rsidRDefault="002022CD">
      <w:pPr>
        <w:spacing w:after="40"/>
        <w:rPr>
          <w:rFonts w:ascii="Open Sauce One" w:hAnsi="Open Sauce One"/>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880"/>
      </w:tblGrid>
      <w:tr w:rsidR="002022CD" w:rsidRPr="00506E61" w14:paraId="4BD483E6" w14:textId="77777777">
        <w:tblPrEx>
          <w:tblCellMar>
            <w:top w:w="0" w:type="dxa"/>
            <w:bottom w:w="0" w:type="dxa"/>
          </w:tblCellMar>
        </w:tblPrEx>
        <w:tc>
          <w:tcPr>
            <w:tcW w:w="32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vAlign w:val="center"/>
          </w:tcPr>
          <w:p w14:paraId="05348C06"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292876"/>
                <w:sz w:val="18"/>
                <w:szCs w:val="18"/>
              </w:rPr>
              <w:t>Company</w:t>
            </w:r>
          </w:p>
        </w:tc>
        <w:tc>
          <w:tcPr>
            <w:tcW w:w="688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4BEC85C4" w14:textId="77777777" w:rsidR="002022CD" w:rsidRPr="00506E61" w:rsidRDefault="00000000">
            <w:pPr>
              <w:spacing w:line="264" w:lineRule="auto"/>
              <w:rPr>
                <w:rFonts w:ascii="Open Sauce One" w:hAnsi="Open Sauce One"/>
              </w:rPr>
            </w:pPr>
            <w:r w:rsidRPr="00506E61">
              <w:rPr>
                <w:rFonts w:ascii="Open Sauce One" w:eastAsia="Calibri" w:hAnsi="Open Sauce One" w:cs="Calibri"/>
                <w:color w:val="222222"/>
                <w:sz w:val="19"/>
                <w:szCs w:val="19"/>
              </w:rPr>
              <w:t>[Company Name, Inc.]</w:t>
            </w:r>
          </w:p>
        </w:tc>
      </w:tr>
      <w:tr w:rsidR="002022CD" w:rsidRPr="00506E61" w14:paraId="19CBD531" w14:textId="77777777">
        <w:tblPrEx>
          <w:tblCellMar>
            <w:top w:w="0" w:type="dxa"/>
            <w:bottom w:w="0" w:type="dxa"/>
          </w:tblCellMar>
        </w:tblPrEx>
        <w:tc>
          <w:tcPr>
            <w:tcW w:w="320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32D4E446"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292876"/>
                <w:sz w:val="18"/>
                <w:szCs w:val="18"/>
              </w:rPr>
              <w:t>Investor</w:t>
            </w:r>
          </w:p>
        </w:tc>
        <w:tc>
          <w:tcPr>
            <w:tcW w:w="688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2C46237A" w14:textId="77777777" w:rsidR="002022CD" w:rsidRPr="00506E61" w:rsidRDefault="00000000">
            <w:pPr>
              <w:spacing w:line="264" w:lineRule="auto"/>
              <w:rPr>
                <w:rFonts w:ascii="Open Sauce One" w:hAnsi="Open Sauce One"/>
              </w:rPr>
            </w:pPr>
            <w:r w:rsidRPr="00506E61">
              <w:rPr>
                <w:rFonts w:ascii="Open Sauce One" w:eastAsia="Calibri" w:hAnsi="Open Sauce One" w:cs="Calibri"/>
                <w:color w:val="222222"/>
                <w:sz w:val="19"/>
                <w:szCs w:val="19"/>
              </w:rPr>
              <w:t>[Investor Name]</w:t>
            </w:r>
          </w:p>
        </w:tc>
      </w:tr>
      <w:tr w:rsidR="002022CD" w:rsidRPr="00506E61" w14:paraId="52CEE6A7" w14:textId="77777777">
        <w:tblPrEx>
          <w:tblCellMar>
            <w:top w:w="0" w:type="dxa"/>
            <w:bottom w:w="0" w:type="dxa"/>
          </w:tblCellMar>
        </w:tblPrEx>
        <w:tc>
          <w:tcPr>
            <w:tcW w:w="32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vAlign w:val="center"/>
          </w:tcPr>
          <w:p w14:paraId="3BBE726C"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292876"/>
                <w:sz w:val="18"/>
                <w:szCs w:val="18"/>
              </w:rPr>
              <w:t>Investment Amount</w:t>
            </w:r>
          </w:p>
        </w:tc>
        <w:tc>
          <w:tcPr>
            <w:tcW w:w="688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143866DD" w14:textId="77777777" w:rsidR="002022CD" w:rsidRPr="00506E61" w:rsidRDefault="00000000">
            <w:pPr>
              <w:spacing w:line="264" w:lineRule="auto"/>
              <w:rPr>
                <w:rFonts w:ascii="Open Sauce One" w:hAnsi="Open Sauce One"/>
              </w:rPr>
            </w:pPr>
            <w:r w:rsidRPr="00506E61">
              <w:rPr>
                <w:rFonts w:ascii="Open Sauce One" w:eastAsia="Calibri" w:hAnsi="Open Sauce One" w:cs="Calibri"/>
                <w:color w:val="222222"/>
                <w:sz w:val="19"/>
                <w:szCs w:val="19"/>
              </w:rPr>
              <w:t>$[_______________]</w:t>
            </w:r>
          </w:p>
        </w:tc>
      </w:tr>
      <w:tr w:rsidR="002022CD" w:rsidRPr="00506E61" w14:paraId="542DC510" w14:textId="77777777">
        <w:tblPrEx>
          <w:tblCellMar>
            <w:top w:w="0" w:type="dxa"/>
            <w:bottom w:w="0" w:type="dxa"/>
          </w:tblCellMar>
        </w:tblPrEx>
        <w:tc>
          <w:tcPr>
            <w:tcW w:w="320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6673819D"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292876"/>
                <w:sz w:val="18"/>
                <w:szCs w:val="18"/>
              </w:rPr>
              <w:t>Date Proposed</w:t>
            </w:r>
          </w:p>
        </w:tc>
        <w:tc>
          <w:tcPr>
            <w:tcW w:w="688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784041EB" w14:textId="77777777" w:rsidR="002022CD" w:rsidRPr="00506E61" w:rsidRDefault="00000000">
            <w:pPr>
              <w:spacing w:line="264" w:lineRule="auto"/>
              <w:rPr>
                <w:rFonts w:ascii="Open Sauce One" w:hAnsi="Open Sauce One"/>
              </w:rPr>
            </w:pPr>
            <w:r w:rsidRPr="00506E61">
              <w:rPr>
                <w:rFonts w:ascii="Open Sauce One" w:eastAsia="Calibri" w:hAnsi="Open Sauce One" w:cs="Calibri"/>
                <w:color w:val="222222"/>
                <w:sz w:val="19"/>
                <w:szCs w:val="19"/>
              </w:rPr>
              <w:t>[_______________]</w:t>
            </w:r>
          </w:p>
        </w:tc>
      </w:tr>
    </w:tbl>
    <w:p w14:paraId="7AEDD7D7" w14:textId="77777777" w:rsidR="002022CD" w:rsidRPr="00506E61" w:rsidRDefault="002022CD">
      <w:pPr>
        <w:spacing w:after="40"/>
        <w:rPr>
          <w:rFonts w:ascii="Open Sauce One" w:hAnsi="Open Sauce One"/>
        </w:rPr>
      </w:pPr>
    </w:p>
    <w:p w14:paraId="117E5BED" w14:textId="77777777" w:rsidR="002022CD" w:rsidRPr="00506E61" w:rsidRDefault="002022CD">
      <w:pPr>
        <w:spacing w:after="40"/>
        <w:rPr>
          <w:rFonts w:ascii="Open Sauce One" w:hAnsi="Open Sauce One"/>
        </w:rPr>
      </w:pPr>
    </w:p>
    <w:p w14:paraId="379960A6" w14:textId="77777777" w:rsidR="002022CD" w:rsidRPr="00506E61" w:rsidRDefault="002022CD">
      <w:pPr>
        <w:spacing w:after="40"/>
        <w:rPr>
          <w:rFonts w:ascii="Open Sauce One" w:hAnsi="Open Sauce One"/>
        </w:rPr>
      </w:pPr>
    </w:p>
    <w:p w14:paraId="121D9A12" w14:textId="77777777" w:rsidR="002022CD" w:rsidRPr="00506E61" w:rsidRDefault="002022CD">
      <w:pPr>
        <w:spacing w:after="40"/>
        <w:rPr>
          <w:rFonts w:ascii="Open Sauce One" w:hAnsi="Open Sauce One"/>
        </w:rPr>
      </w:pPr>
    </w:p>
    <w:p w14:paraId="14AC6F3F" w14:textId="77777777" w:rsidR="002022CD" w:rsidRPr="00506E61" w:rsidRDefault="002022CD">
      <w:pPr>
        <w:pBdr>
          <w:top w:val="single" w:sz="6" w:space="8" w:color="D9D3E8"/>
        </w:pBdr>
        <w:spacing w:after="60"/>
        <w:rPr>
          <w:rFonts w:ascii="Open Sauce One" w:hAnsi="Open Sauce One"/>
        </w:rPr>
      </w:pPr>
    </w:p>
    <w:p w14:paraId="1660D61F" w14:textId="3900B95D" w:rsidR="002022CD" w:rsidRPr="00506E61" w:rsidRDefault="00506E61" w:rsidP="00506E61">
      <w:pPr>
        <w:rPr>
          <w:rFonts w:ascii="Open Sauce One" w:eastAsia="Calibri" w:hAnsi="Open Sauce One" w:cs="Calibri"/>
          <w:i/>
          <w:iCs/>
          <w:color w:val="EE0000"/>
          <w:sz w:val="12"/>
          <w:szCs w:val="12"/>
        </w:rPr>
      </w:pPr>
      <w:r w:rsidRPr="00506E61">
        <w:rPr>
          <w:rFonts w:ascii="Open Sauce One" w:eastAsia="Calibri" w:hAnsi="Open Sauce One" w:cs="Calibri"/>
          <w:b/>
          <w:bCs/>
          <w:i/>
          <w:iCs/>
          <w:color w:val="EE0000"/>
          <w:sz w:val="12"/>
          <w:szCs w:val="12"/>
        </w:rPr>
        <w:t xml:space="preserve">Disclaimer: </w:t>
      </w:r>
      <w:r w:rsidRPr="00506E61">
        <w:rPr>
          <w:rFonts w:ascii="Open Sauce One" w:eastAsia="Calibri" w:hAnsi="Open Sauce One" w:cs="Calibri"/>
          <w:i/>
          <w:iCs/>
          <w:color w:val="EE0000"/>
          <w:sz w:val="12"/>
          <w:szCs w:val="12"/>
        </w:rPr>
        <w:t>The asset is provided for reference purposes only and do not constitute legal, tax, or financial advice. Qapita holds no legal liability for their use or application. Please consult qualified professionals before implementation</w:t>
      </w:r>
      <w:r w:rsidR="00000000" w:rsidRPr="00506E61">
        <w:rPr>
          <w:rFonts w:ascii="Open Sauce One" w:eastAsia="Calibri" w:hAnsi="Open Sauce One" w:cs="Calibri"/>
          <w:i/>
          <w:iCs/>
          <w:color w:val="EE0000"/>
          <w:sz w:val="12"/>
          <w:szCs w:val="12"/>
        </w:rPr>
        <w:t>.</w:t>
      </w:r>
    </w:p>
    <w:p w14:paraId="1C03328A" w14:textId="77777777" w:rsidR="002022CD" w:rsidRPr="00506E61" w:rsidRDefault="002022CD">
      <w:pPr>
        <w:pageBreakBefore/>
        <w:rPr>
          <w:rFonts w:ascii="Open Sauce One" w:hAnsi="Open Sauce One"/>
        </w:rPr>
      </w:pPr>
    </w:p>
    <w:p w14:paraId="41B6925A" w14:textId="77777777" w:rsidR="002022CD" w:rsidRPr="00506E61" w:rsidRDefault="00000000">
      <w:pPr>
        <w:pStyle w:val="Heading1"/>
        <w:pBdr>
          <w:bottom w:val="single" w:sz="10" w:space="5" w:color="633DA5"/>
        </w:pBdr>
        <w:spacing w:before="260" w:after="160"/>
        <w:rPr>
          <w:rFonts w:ascii="Open Sauce One" w:hAnsi="Open Sauce One"/>
        </w:rPr>
      </w:pPr>
      <w:r w:rsidRPr="00506E61">
        <w:rPr>
          <w:rFonts w:ascii="Open Sauce One" w:eastAsia="Bookman Old Style" w:hAnsi="Open Sauce One" w:cs="Bookman Old Style"/>
          <w:b/>
          <w:bCs/>
          <w:color w:val="292876"/>
          <w:sz w:val="27"/>
          <w:szCs w:val="27"/>
        </w:rPr>
        <w:t>How to Use This Template</w:t>
      </w:r>
    </w:p>
    <w:p w14:paraId="141965B5" w14:textId="54833CDF"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Most angel term sheets founders find online were written for a generic deal, not theirs</w:t>
      </w:r>
      <w:r w:rsidR="00506E61">
        <w:rPr>
          <w:rFonts w:ascii="Open Sauce One" w:eastAsia="Calibri" w:hAnsi="Open Sauce One" w:cs="Calibri"/>
          <w:color w:val="222222"/>
        </w:rPr>
        <w:t>,</w:t>
      </w:r>
      <w:r w:rsidRPr="00506E61">
        <w:rPr>
          <w:rFonts w:ascii="Open Sauce One" w:eastAsia="Calibri" w:hAnsi="Open Sauce One" w:cs="Calibri"/>
          <w:color w:val="222222"/>
        </w:rPr>
        <w:t xml:space="preserve"> a handshake agreement dressed up in legal language, with terms nobody benchmarked against the market. That gap is where cap tables get messy before a company has even raised its first priced round.</w:t>
      </w:r>
    </w:p>
    <w:p w14:paraId="2D5F9085" w14:textId="70D2C5B0"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This template gives you a complete, negotiation-ready angel term sheet, plus market-benchmark notes on the clauses angel investors most often push too far</w:t>
      </w:r>
      <w:r w:rsidR="00506E61">
        <w:rPr>
          <w:rFonts w:ascii="Open Sauce One" w:eastAsia="Calibri" w:hAnsi="Open Sauce One" w:cs="Calibri"/>
          <w:color w:val="222222"/>
        </w:rPr>
        <w:t>,</w:t>
      </w:r>
      <w:r w:rsidRPr="00506E61">
        <w:rPr>
          <w:rFonts w:ascii="Open Sauce One" w:eastAsia="Calibri" w:hAnsi="Open Sauce One" w:cs="Calibri"/>
          <w:color w:val="222222"/>
        </w:rPr>
        <w:t xml:space="preserve"> liquidation preference, veto rights, and board terms among them. Replace every bracketed [placeholder], read the yellow benchmark boxes before you sign anything, and send the final draft to counsel.</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2022CD" w:rsidRPr="00506E61" w14:paraId="35DD4A02" w14:textId="77777777">
        <w:tblPrEx>
          <w:tblCellMar>
            <w:top w:w="0" w:type="dxa"/>
            <w:bottom w:w="0" w:type="dxa"/>
          </w:tblCellMar>
        </w:tblPrEx>
        <w:tc>
          <w:tcPr>
            <w:tcW w:w="10080" w:type="dxa"/>
            <w:tcBorders>
              <w:top w:val="single" w:sz="4" w:space="0" w:color="F2D998"/>
              <w:left w:val="single" w:sz="4" w:space="0" w:color="F2D998"/>
              <w:bottom w:val="single" w:sz="4" w:space="0" w:color="F2D998"/>
              <w:right w:val="single" w:sz="4" w:space="0" w:color="F2D998"/>
            </w:tcBorders>
            <w:shd w:val="clear" w:color="auto" w:fill="FFF6E0"/>
            <w:tcMar>
              <w:top w:w="160" w:type="dxa"/>
              <w:left w:w="220" w:type="dxa"/>
              <w:bottom w:w="160" w:type="dxa"/>
              <w:right w:w="220" w:type="dxa"/>
            </w:tcMar>
          </w:tcPr>
          <w:p w14:paraId="463807E5" w14:textId="77777777" w:rsidR="002022CD" w:rsidRPr="00506E61" w:rsidRDefault="00000000">
            <w:pPr>
              <w:spacing w:after="60"/>
              <w:rPr>
                <w:rFonts w:ascii="Open Sauce One" w:hAnsi="Open Sauce One"/>
              </w:rPr>
            </w:pPr>
            <w:r w:rsidRPr="00506E61">
              <w:rPr>
                <w:rFonts w:ascii="Open Sauce One" w:eastAsia="Calibri" w:hAnsi="Open Sauce One" w:cs="Calibri"/>
                <w:b/>
                <w:bCs/>
                <w:color w:val="8A6100"/>
                <w:spacing w:val="15"/>
                <w:sz w:val="16"/>
                <w:szCs w:val="16"/>
              </w:rPr>
              <w:t>BEFORE YOU USE THIS</w:t>
            </w:r>
          </w:p>
          <w:p w14:paraId="6E93C444" w14:textId="0BB316A8" w:rsidR="002022CD" w:rsidRPr="00506E61" w:rsidRDefault="00000000">
            <w:pPr>
              <w:spacing w:line="276" w:lineRule="auto"/>
              <w:rPr>
                <w:rFonts w:ascii="Open Sauce One" w:hAnsi="Open Sauce One"/>
              </w:rPr>
            </w:pPr>
            <w:r w:rsidRPr="00506E61">
              <w:rPr>
                <w:rFonts w:ascii="Open Sauce One" w:eastAsia="Calibri" w:hAnsi="Open Sauce One" w:cs="Calibri"/>
                <w:color w:val="222222"/>
                <w:sz w:val="19"/>
                <w:szCs w:val="19"/>
              </w:rPr>
              <w:t>A term sheet is a statement of intent, not a binding contract (except for confidentiality, exclusivity, and governing law, which usually do bind immediately). The actual investment is documented in definitive agreements a stock purchase agreement, an amended charter, and an investor rights agreement drafted after this term sheet is signed.</w:t>
            </w:r>
          </w:p>
        </w:tc>
      </w:tr>
    </w:tbl>
    <w:p w14:paraId="056CF863" w14:textId="6A21FA32"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One more thing worth deciding before you fill this in: many angel rounds in 2026 are still done as SAFEs or convertible notes rather than priced equity, because they're faster and cheaper to close. This template is for founders and investors who have specifically agreed to a priced round if you haven't made that call yet, it's worth confirming with counsel which instrument fits your raise before you negotiate valuation.</w:t>
      </w:r>
    </w:p>
    <w:p w14:paraId="40819048" w14:textId="77777777" w:rsidR="002022CD" w:rsidRPr="00506E61" w:rsidRDefault="00000000">
      <w:pPr>
        <w:pStyle w:val="Heading1"/>
        <w:pBdr>
          <w:bottom w:val="single" w:sz="10" w:space="5" w:color="633DA5"/>
        </w:pBdr>
        <w:spacing w:before="260" w:after="160"/>
        <w:rPr>
          <w:rFonts w:ascii="Open Sauce One" w:hAnsi="Open Sauce One"/>
        </w:rPr>
      </w:pPr>
      <w:r w:rsidRPr="00506E61">
        <w:rPr>
          <w:rFonts w:ascii="Open Sauce One" w:eastAsia="Bookman Old Style" w:hAnsi="Open Sauce One" w:cs="Bookman Old Style"/>
          <w:b/>
          <w:bCs/>
          <w:color w:val="292876"/>
          <w:sz w:val="27"/>
          <w:szCs w:val="27"/>
        </w:rPr>
        <w:t>I. Parties &amp; Transaction Overview</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7080"/>
      </w:tblGrid>
      <w:tr w:rsidR="002022CD" w:rsidRPr="00506E61" w14:paraId="47B4EC60" w14:textId="77777777">
        <w:tblPrEx>
          <w:tblCellMar>
            <w:top w:w="0" w:type="dxa"/>
            <w:bottom w:w="0" w:type="dxa"/>
          </w:tblCellMar>
        </w:tblPrEx>
        <w:tc>
          <w:tcPr>
            <w:tcW w:w="30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vAlign w:val="center"/>
          </w:tcPr>
          <w:p w14:paraId="4588FB57"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292876"/>
                <w:sz w:val="18"/>
                <w:szCs w:val="18"/>
              </w:rPr>
              <w:t>Company</w:t>
            </w:r>
          </w:p>
        </w:tc>
        <w:tc>
          <w:tcPr>
            <w:tcW w:w="708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331F02A3" w14:textId="77777777" w:rsidR="002022CD" w:rsidRPr="00506E61" w:rsidRDefault="00000000">
            <w:pPr>
              <w:spacing w:line="264" w:lineRule="auto"/>
              <w:rPr>
                <w:rFonts w:ascii="Open Sauce One" w:hAnsi="Open Sauce One"/>
              </w:rPr>
            </w:pPr>
            <w:r w:rsidRPr="00506E61">
              <w:rPr>
                <w:rFonts w:ascii="Open Sauce One" w:eastAsia="Calibri" w:hAnsi="Open Sauce One" w:cs="Calibri"/>
                <w:color w:val="222222"/>
                <w:sz w:val="19"/>
                <w:szCs w:val="19"/>
              </w:rPr>
              <w:t>[Company Name, Inc.], a Delaware corporation (“Company”)</w:t>
            </w:r>
          </w:p>
        </w:tc>
      </w:tr>
      <w:tr w:rsidR="002022CD" w:rsidRPr="00506E61" w14:paraId="1DCCB8EA" w14:textId="77777777">
        <w:tblPrEx>
          <w:tblCellMar>
            <w:top w:w="0" w:type="dxa"/>
            <w:bottom w:w="0" w:type="dxa"/>
          </w:tblCellMar>
        </w:tblPrEx>
        <w:tc>
          <w:tcPr>
            <w:tcW w:w="300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02DCEB75"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292876"/>
                <w:sz w:val="18"/>
                <w:szCs w:val="18"/>
              </w:rPr>
              <w:t>Investor</w:t>
            </w:r>
          </w:p>
        </w:tc>
        <w:tc>
          <w:tcPr>
            <w:tcW w:w="708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70418D0A" w14:textId="77777777" w:rsidR="002022CD" w:rsidRPr="00506E61" w:rsidRDefault="00000000">
            <w:pPr>
              <w:spacing w:line="264" w:lineRule="auto"/>
              <w:rPr>
                <w:rFonts w:ascii="Open Sauce One" w:hAnsi="Open Sauce One"/>
              </w:rPr>
            </w:pPr>
            <w:r w:rsidRPr="00506E61">
              <w:rPr>
                <w:rFonts w:ascii="Open Sauce One" w:eastAsia="Calibri" w:hAnsi="Open Sauce One" w:cs="Calibri"/>
                <w:color w:val="222222"/>
                <w:sz w:val="19"/>
                <w:szCs w:val="19"/>
              </w:rPr>
              <w:t>[Investor Name] (“Investor”)</w:t>
            </w:r>
          </w:p>
        </w:tc>
      </w:tr>
      <w:tr w:rsidR="002022CD" w:rsidRPr="00506E61" w14:paraId="6BF9BE4E" w14:textId="77777777">
        <w:tblPrEx>
          <w:tblCellMar>
            <w:top w:w="0" w:type="dxa"/>
            <w:bottom w:w="0" w:type="dxa"/>
          </w:tblCellMar>
        </w:tblPrEx>
        <w:tc>
          <w:tcPr>
            <w:tcW w:w="30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vAlign w:val="center"/>
          </w:tcPr>
          <w:p w14:paraId="51DEB25D"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292876"/>
                <w:sz w:val="18"/>
                <w:szCs w:val="18"/>
              </w:rPr>
              <w:t>Type of Security</w:t>
            </w:r>
          </w:p>
        </w:tc>
        <w:tc>
          <w:tcPr>
            <w:tcW w:w="708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676D6CF4" w14:textId="77777777" w:rsidR="002022CD" w:rsidRPr="00506E61" w:rsidRDefault="00000000">
            <w:pPr>
              <w:spacing w:line="264" w:lineRule="auto"/>
              <w:rPr>
                <w:rFonts w:ascii="Open Sauce One" w:hAnsi="Open Sauce One"/>
              </w:rPr>
            </w:pPr>
            <w:r w:rsidRPr="00506E61">
              <w:rPr>
                <w:rFonts w:ascii="Open Sauce One" w:eastAsia="Calibri" w:hAnsi="Open Sauce One" w:cs="Calibri"/>
                <w:color w:val="222222"/>
                <w:sz w:val="19"/>
                <w:szCs w:val="19"/>
              </w:rPr>
              <w:t>Series Seed Preferred Stock (or Common Stock, if applicable) — see Section II.2</w:t>
            </w:r>
          </w:p>
        </w:tc>
      </w:tr>
      <w:tr w:rsidR="002022CD" w:rsidRPr="00506E61" w14:paraId="104A347C" w14:textId="77777777">
        <w:tblPrEx>
          <w:tblCellMar>
            <w:top w:w="0" w:type="dxa"/>
            <w:bottom w:w="0" w:type="dxa"/>
          </w:tblCellMar>
        </w:tblPrEx>
        <w:tc>
          <w:tcPr>
            <w:tcW w:w="300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6706A53A"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292876"/>
                <w:sz w:val="18"/>
                <w:szCs w:val="18"/>
              </w:rPr>
              <w:t>Offer Expiration</w:t>
            </w:r>
          </w:p>
        </w:tc>
        <w:tc>
          <w:tcPr>
            <w:tcW w:w="708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04FD9BAF" w14:textId="77777777" w:rsidR="002022CD" w:rsidRPr="00506E61" w:rsidRDefault="00000000">
            <w:pPr>
              <w:spacing w:line="264" w:lineRule="auto"/>
              <w:rPr>
                <w:rFonts w:ascii="Open Sauce One" w:hAnsi="Open Sauce One"/>
              </w:rPr>
            </w:pPr>
            <w:r w:rsidRPr="00506E61">
              <w:rPr>
                <w:rFonts w:ascii="Open Sauce One" w:eastAsia="Calibri" w:hAnsi="Open Sauce One" w:cs="Calibri"/>
                <w:color w:val="222222"/>
                <w:sz w:val="19"/>
                <w:szCs w:val="19"/>
              </w:rPr>
              <w:t>This term sheet expires if not countersigned by [_______________]</w:t>
            </w:r>
          </w:p>
        </w:tc>
      </w:tr>
    </w:tbl>
    <w:p w14:paraId="09CC3D76" w14:textId="77777777" w:rsidR="002022CD" w:rsidRPr="00506E61" w:rsidRDefault="00000000">
      <w:pPr>
        <w:spacing w:before="60" w:after="160" w:line="264" w:lineRule="auto"/>
        <w:rPr>
          <w:rFonts w:ascii="Open Sauce One" w:hAnsi="Open Sauce One"/>
        </w:rPr>
      </w:pPr>
      <w:r w:rsidRPr="00506E61">
        <w:rPr>
          <w:rFonts w:ascii="Open Sauce One" w:eastAsia="Calibri" w:hAnsi="Open Sauce One" w:cs="Calibri"/>
          <w:i/>
          <w:iCs/>
          <w:color w:val="5A5A5A"/>
          <w:sz w:val="18"/>
          <w:szCs w:val="18"/>
        </w:rPr>
        <w:t>Note: If more than one angel is investing on the same terms, list each investor and their commitment amount in an attached schedule rather than repeating this template per investor.</w:t>
      </w:r>
    </w:p>
    <w:p w14:paraId="7B5E851F" w14:textId="77777777" w:rsidR="002022CD" w:rsidRPr="00506E61" w:rsidRDefault="00000000">
      <w:pPr>
        <w:pStyle w:val="Heading1"/>
        <w:pBdr>
          <w:bottom w:val="single" w:sz="10" w:space="5" w:color="633DA5"/>
        </w:pBdr>
        <w:spacing w:before="260" w:after="160"/>
        <w:rPr>
          <w:rFonts w:ascii="Open Sauce One" w:hAnsi="Open Sauce One"/>
        </w:rPr>
      </w:pPr>
      <w:r w:rsidRPr="00506E61">
        <w:rPr>
          <w:rFonts w:ascii="Open Sauce One" w:eastAsia="Bookman Old Style" w:hAnsi="Open Sauce One" w:cs="Bookman Old Style"/>
          <w:b/>
          <w:bCs/>
          <w:color w:val="292876"/>
          <w:sz w:val="27"/>
          <w:szCs w:val="27"/>
        </w:rPr>
        <w:t>II. Investment Terms</w:t>
      </w: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9580"/>
      </w:tblGrid>
      <w:tr w:rsidR="002022CD" w:rsidRPr="00506E61" w14:paraId="01B7EFC1"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7425EB5F"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1</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6DC3981D"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Investment Amount</w:t>
            </w:r>
          </w:p>
          <w:p w14:paraId="03AF9370"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The Investor agrees to invest $[_______________] in the Company (the “Investment”), payable in cash in full at closing, or in tranches per the schedule attached as Exhibit A.</w:t>
            </w:r>
          </w:p>
        </w:tc>
      </w:tr>
      <w:tr w:rsidR="002022CD" w:rsidRPr="00506E61" w14:paraId="4B1A1C4D"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08757E35"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2</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1E77687D"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Type of Security</w:t>
            </w:r>
          </w:p>
          <w:p w14:paraId="65F0347A"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lastRenderedPageBreak/>
              <w:t>The Investment will be made in exchange for shares of Series Seed Preferred Stock of the Company, with the rights, preferences, and privileges set forth in this term sheet and the Company's Amended and Restated Certificate of Incorporation.</w:t>
            </w:r>
          </w:p>
        </w:tc>
      </w:tr>
      <w:tr w:rsidR="002022CD" w:rsidRPr="00506E61" w14:paraId="02FC96D0"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43BC8E63"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3</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33AF52B1"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Pre-Money Valuation</w:t>
            </w:r>
          </w:p>
          <w:p w14:paraId="68042B43"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The pre-money valuation of the Company is $[_______________], based on [briefly state the basis — e.g., comparable seed-stage valuations, traction milestones, prior round pricing].</w:t>
            </w:r>
          </w:p>
        </w:tc>
      </w:tr>
      <w:tr w:rsidR="002022CD" w:rsidRPr="00506E61" w14:paraId="4211CC3A"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2F326B80"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4</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3C52E159"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Price Per Share</w:t>
            </w:r>
          </w:p>
          <w:p w14:paraId="529BE7A0"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$[_______________] per share, calculated on a fully diluted basis inclusive of the Company's existing and to-be-created option pool (see Section II.5).</w:t>
            </w:r>
          </w:p>
        </w:tc>
      </w:tr>
      <w:tr w:rsidR="002022CD" w:rsidRPr="00506E61" w14:paraId="4C3B7FA9"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3FD4A483"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5</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5BB80E74"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Option Pool</w:t>
            </w:r>
          </w:p>
          <w:p w14:paraId="3F0F6250"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An option pool representing [___]% of the Company's fully diluted post-money capitalization will be reserved for future employees, established prior to the closing and included in the pre-money valuation.</w:t>
            </w:r>
          </w:p>
        </w:tc>
      </w:tr>
      <w:tr w:rsidR="002022CD" w:rsidRPr="00506E61" w14:paraId="2FA9A00F"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10080" w:type="dxa"/>
            <w:gridSpan w:val="2"/>
            <w:tcBorders>
              <w:top w:val="single" w:sz="4" w:space="0" w:color="F2D998"/>
              <w:left w:val="single" w:sz="4" w:space="0" w:color="F2D998"/>
              <w:bottom w:val="single" w:sz="4" w:space="0" w:color="F2D998"/>
              <w:right w:val="single" w:sz="4" w:space="0" w:color="F2D998"/>
            </w:tcBorders>
            <w:shd w:val="clear" w:color="auto" w:fill="FFF6E0"/>
            <w:tcMar>
              <w:top w:w="160" w:type="dxa"/>
              <w:left w:w="220" w:type="dxa"/>
              <w:bottom w:w="160" w:type="dxa"/>
              <w:right w:w="220" w:type="dxa"/>
            </w:tcMar>
          </w:tcPr>
          <w:p w14:paraId="219D661D" w14:textId="77777777" w:rsidR="002022CD" w:rsidRPr="00506E61" w:rsidRDefault="00000000">
            <w:pPr>
              <w:spacing w:after="60"/>
              <w:rPr>
                <w:rFonts w:ascii="Open Sauce One" w:hAnsi="Open Sauce One"/>
              </w:rPr>
            </w:pPr>
            <w:r w:rsidRPr="00506E61">
              <w:rPr>
                <w:rFonts w:ascii="Open Sauce One" w:eastAsia="Calibri" w:hAnsi="Open Sauce One" w:cs="Calibri"/>
                <w:b/>
                <w:bCs/>
                <w:color w:val="8A6100"/>
                <w:spacing w:val="15"/>
                <w:sz w:val="16"/>
                <w:szCs w:val="16"/>
              </w:rPr>
              <w:t>MARKET BENCHMARK — OPTION POOL</w:t>
            </w:r>
          </w:p>
          <w:p w14:paraId="2E6339B5" w14:textId="6977DABC" w:rsidR="002022CD" w:rsidRPr="00506E61" w:rsidRDefault="00000000">
            <w:pPr>
              <w:spacing w:line="276" w:lineRule="auto"/>
              <w:rPr>
                <w:rFonts w:ascii="Open Sauce One" w:hAnsi="Open Sauce One"/>
              </w:rPr>
            </w:pPr>
            <w:r w:rsidRPr="00506E61">
              <w:rPr>
                <w:rFonts w:ascii="Open Sauce One" w:eastAsia="Calibri" w:hAnsi="Open Sauce One" w:cs="Calibri"/>
                <w:color w:val="222222"/>
                <w:sz w:val="19"/>
                <w:szCs w:val="19"/>
              </w:rPr>
              <w:t>A pre-closing option pool sized into the pre-money valuation is standard, but it also lowers the founder's effective price per share. In 2026, U.S. seed rounds typically size the pool at 10–15% of post-money capitalization confirm the number matches your actual hiring plan, not a round default.</w:t>
            </w:r>
          </w:p>
        </w:tc>
      </w:tr>
    </w:tbl>
    <w:p w14:paraId="196E27FC" w14:textId="77777777" w:rsidR="002022CD" w:rsidRPr="00506E61" w:rsidRDefault="00000000">
      <w:pPr>
        <w:pStyle w:val="Heading1"/>
        <w:pBdr>
          <w:bottom w:val="single" w:sz="10" w:space="5" w:color="633DA5"/>
        </w:pBdr>
        <w:spacing w:before="260" w:after="160"/>
        <w:rPr>
          <w:rFonts w:ascii="Open Sauce One" w:hAnsi="Open Sauce One"/>
        </w:rPr>
      </w:pPr>
      <w:r w:rsidRPr="00506E61">
        <w:rPr>
          <w:rFonts w:ascii="Open Sauce One" w:eastAsia="Bookman Old Style" w:hAnsi="Open Sauce One" w:cs="Bookman Old Style"/>
          <w:b/>
          <w:bCs/>
          <w:color w:val="292876"/>
          <w:sz w:val="27"/>
          <w:szCs w:val="27"/>
        </w:rPr>
        <w:t>III. Governance &amp; Investor Rights</w:t>
      </w: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9580"/>
      </w:tblGrid>
      <w:tr w:rsidR="002022CD" w:rsidRPr="00506E61" w14:paraId="7F7B83DF"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32009B6E"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1</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5C579D3B"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Board Representation</w:t>
            </w:r>
          </w:p>
          <w:p w14:paraId="2837CB35"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The Investor will have the right to [appoint one director to the Company's Board of Directors / designate one Board observer with notice and information rights but no vote], serving until the earlier of the Company's next equity financing or removal per the Company's bylaws.</w:t>
            </w:r>
          </w:p>
        </w:tc>
      </w:tr>
      <w:tr w:rsidR="002022CD" w:rsidRPr="00506E61" w14:paraId="3FE04A8E"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407EF720"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2</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61DB5CDE"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Information Rights</w:t>
            </w:r>
          </w:p>
          <w:p w14:paraId="37868D1C"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So long as the Investor holds at least [___]% of the Company's outstanding shares, the Company will deliver annual financial statements within [90] days of fiscal year-end and unaudited quarterly statements within [45] days of quarter-end.</w:t>
            </w:r>
          </w:p>
        </w:tc>
      </w:tr>
      <w:tr w:rsidR="002022CD" w:rsidRPr="00506E61" w14:paraId="568F1C9A"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1A990C32"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3</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7C758F23"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Pro Rata Rights</w:t>
            </w:r>
          </w:p>
          <w:p w14:paraId="45011BAA"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The Investor will have the right, but not the obligation, to participate in future equity financings to maintain their percentage ownership, subject to the Investor continuing to hold at least $[_______________] of Company securities.</w:t>
            </w:r>
          </w:p>
        </w:tc>
      </w:tr>
      <w:tr w:rsidR="002022CD" w:rsidRPr="00506E61" w14:paraId="4777CF17"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4B492399"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4</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4FE794C0"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Protective Provisions</w:t>
            </w:r>
          </w:p>
          <w:p w14:paraId="0242605F"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lastRenderedPageBreak/>
              <w:t>For so long as the Series Seed shares remain outstanding, Company approval of the following actions requires the consent of a majority of Series Seed holders: (a) any amendment to the rights of the Series Seed adverse to the Investor; (b) any sale, merger, or dissolution of the Company; (c) the issuance of any security senior to or on par with the Series Seed.</w:t>
            </w:r>
          </w:p>
        </w:tc>
      </w:tr>
      <w:tr w:rsidR="002022CD" w:rsidRPr="00506E61" w14:paraId="7B67A967"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10080" w:type="dxa"/>
            <w:gridSpan w:val="2"/>
            <w:tcBorders>
              <w:top w:val="single" w:sz="4" w:space="0" w:color="F2D998"/>
              <w:left w:val="single" w:sz="4" w:space="0" w:color="F2D998"/>
              <w:bottom w:val="single" w:sz="4" w:space="0" w:color="F2D998"/>
              <w:right w:val="single" w:sz="4" w:space="0" w:color="F2D998"/>
            </w:tcBorders>
            <w:shd w:val="clear" w:color="auto" w:fill="FFF6E0"/>
            <w:tcMar>
              <w:top w:w="160" w:type="dxa"/>
              <w:left w:w="220" w:type="dxa"/>
              <w:bottom w:w="160" w:type="dxa"/>
              <w:right w:w="220" w:type="dxa"/>
            </w:tcMar>
          </w:tcPr>
          <w:p w14:paraId="5A507023" w14:textId="77777777" w:rsidR="002022CD" w:rsidRPr="00506E61" w:rsidRDefault="00000000">
            <w:pPr>
              <w:spacing w:after="60"/>
              <w:rPr>
                <w:rFonts w:ascii="Open Sauce One" w:hAnsi="Open Sauce One"/>
              </w:rPr>
            </w:pPr>
            <w:r w:rsidRPr="00506E61">
              <w:rPr>
                <w:rFonts w:ascii="Open Sauce One" w:eastAsia="Calibri" w:hAnsi="Open Sauce One" w:cs="Calibri"/>
                <w:b/>
                <w:bCs/>
                <w:color w:val="8A6100"/>
                <w:spacing w:val="15"/>
                <w:sz w:val="16"/>
                <w:szCs w:val="16"/>
              </w:rPr>
              <w:t>MARKET BENCHMARK — BOARD TERM &amp; VETO SCOPE</w:t>
            </w:r>
          </w:p>
          <w:p w14:paraId="5AEAC3D5" w14:textId="3C9CD34A" w:rsidR="002022CD" w:rsidRPr="00506E61" w:rsidRDefault="00000000">
            <w:pPr>
              <w:spacing w:line="276" w:lineRule="auto"/>
              <w:rPr>
                <w:rFonts w:ascii="Open Sauce One" w:hAnsi="Open Sauce One"/>
              </w:rPr>
            </w:pPr>
            <w:r w:rsidRPr="00506E61">
              <w:rPr>
                <w:rFonts w:ascii="Open Sauce One" w:eastAsia="Calibri" w:hAnsi="Open Sauce One" w:cs="Calibri"/>
                <w:color w:val="222222"/>
                <w:sz w:val="19"/>
                <w:szCs w:val="19"/>
              </w:rPr>
              <w:t>A five-year fixed board term and veto rights over “any change to the business plan” are broader than what most U.S. angel rounds carry. Market-standard practice ties board seats to the next financing round (not a fixed term) and limits protective provisions to major structural events financings, sales, and changes to the Investor's own rights rather than day-to-day business decisions. A veto that reaches into ordinary operating decisions will slow the Company down at every board meeting, not just the ones that matter.</w:t>
            </w:r>
          </w:p>
        </w:tc>
      </w:tr>
    </w:tbl>
    <w:p w14:paraId="52DACB41" w14:textId="77777777" w:rsidR="002022CD" w:rsidRPr="00506E61" w:rsidRDefault="00000000">
      <w:pPr>
        <w:pStyle w:val="Heading1"/>
        <w:pBdr>
          <w:bottom w:val="single" w:sz="10" w:space="5" w:color="633DA5"/>
        </w:pBdr>
        <w:spacing w:before="260" w:after="160"/>
        <w:rPr>
          <w:rFonts w:ascii="Open Sauce One" w:hAnsi="Open Sauce One"/>
        </w:rPr>
      </w:pPr>
      <w:r w:rsidRPr="00506E61">
        <w:rPr>
          <w:rFonts w:ascii="Open Sauce One" w:eastAsia="Bookman Old Style" w:hAnsi="Open Sauce One" w:cs="Bookman Old Style"/>
          <w:b/>
          <w:bCs/>
          <w:color w:val="292876"/>
          <w:sz w:val="27"/>
          <w:szCs w:val="27"/>
        </w:rPr>
        <w:t>IV. Economic Protections</w:t>
      </w: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9580"/>
      </w:tblGrid>
      <w:tr w:rsidR="002022CD" w:rsidRPr="00506E61" w14:paraId="65F754C9"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2EB459C0"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1</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57E3EC1F"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Liquidation Preference</w:t>
            </w:r>
          </w:p>
          <w:p w14:paraId="5DE64524"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In the event of a liquidation, dissolution, or winding-up of the Company (including a deemed liquidation event such as a merger or sale of substantially all assets), the Investor will be entitled to receive 1x their original Investment Amount, non-participating, before any distribution to holders of Common Stock.</w:t>
            </w:r>
          </w:p>
        </w:tc>
      </w:tr>
      <w:tr w:rsidR="002022CD" w:rsidRPr="00506E61" w14:paraId="0A1AC98B"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5C7C93A3"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2</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3238AE48"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Anti-Dilution Protection</w:t>
            </w:r>
          </w:p>
          <w:p w14:paraId="4382C05F"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The Series Seed will carry broad-based weighted-average anti-dilution protection, adjusting the conversion price if the Company issues new securities at a price per share below the Series Seed original issue price, subject to standard exclusions (option pool grants, board-approved M&amp;A consideration).</w:t>
            </w:r>
          </w:p>
        </w:tc>
      </w:tr>
      <w:tr w:rsidR="002022CD" w:rsidRPr="00506E61" w14:paraId="274BA814"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40B2827B"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3</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1B44903D"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Dividends</w:t>
            </w:r>
          </w:p>
          <w:p w14:paraId="305E28B0"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Series Seed holders will be entitled to receive dividends at a rate of [___]% per annum, if and when declared by the Board, on an as-converted basis and non-cumulative unless otherwise stated.</w:t>
            </w:r>
          </w:p>
        </w:tc>
      </w:tr>
      <w:tr w:rsidR="002022CD" w:rsidRPr="00506E61" w14:paraId="69D106F0"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10080" w:type="dxa"/>
            <w:gridSpan w:val="2"/>
            <w:tcBorders>
              <w:top w:val="single" w:sz="4" w:space="0" w:color="F2D998"/>
              <w:left w:val="single" w:sz="4" w:space="0" w:color="F2D998"/>
              <w:bottom w:val="single" w:sz="4" w:space="0" w:color="F2D998"/>
              <w:right w:val="single" w:sz="4" w:space="0" w:color="F2D998"/>
            </w:tcBorders>
            <w:shd w:val="clear" w:color="auto" w:fill="FFF6E0"/>
            <w:tcMar>
              <w:top w:w="160" w:type="dxa"/>
              <w:left w:w="220" w:type="dxa"/>
              <w:bottom w:w="160" w:type="dxa"/>
              <w:right w:w="220" w:type="dxa"/>
            </w:tcMar>
          </w:tcPr>
          <w:p w14:paraId="1C7BCD53" w14:textId="77777777" w:rsidR="002022CD" w:rsidRPr="00506E61" w:rsidRDefault="00000000">
            <w:pPr>
              <w:spacing w:after="60"/>
              <w:rPr>
                <w:rFonts w:ascii="Open Sauce One" w:hAnsi="Open Sauce One"/>
              </w:rPr>
            </w:pPr>
            <w:r w:rsidRPr="00506E61">
              <w:rPr>
                <w:rFonts w:ascii="Open Sauce One" w:eastAsia="Calibri" w:hAnsi="Open Sauce One" w:cs="Calibri"/>
                <w:b/>
                <w:bCs/>
                <w:color w:val="8A6100"/>
                <w:spacing w:val="15"/>
                <w:sz w:val="16"/>
                <w:szCs w:val="16"/>
              </w:rPr>
              <w:t>MARKET BENCHMARK — LIQUIDATION PREFERENCE</w:t>
            </w:r>
          </w:p>
          <w:p w14:paraId="5480BC9F" w14:textId="4C6365E1" w:rsidR="002022CD" w:rsidRPr="00506E61" w:rsidRDefault="00000000">
            <w:pPr>
              <w:spacing w:line="276" w:lineRule="auto"/>
              <w:rPr>
                <w:rFonts w:ascii="Open Sauce One" w:hAnsi="Open Sauce One"/>
              </w:rPr>
            </w:pPr>
            <w:r w:rsidRPr="00506E61">
              <w:rPr>
                <w:rFonts w:ascii="Open Sauce One" w:eastAsia="Calibri" w:hAnsi="Open Sauce One" w:cs="Calibri"/>
                <w:color w:val="222222"/>
                <w:sz w:val="19"/>
                <w:szCs w:val="19"/>
              </w:rPr>
              <w:t>1x non-participating is the U.S. market standard for angel and seed rounds it lets the Investor get their money back first, then share in the upside like everyone else. A 2x preference, or a 1x participating preference, is a meaningfully more aggressive term that effectively double-dips on the same exit proceeds; it's worth naming out loud in the negotiation rather than letting it pass as boilerplate.</w:t>
            </w:r>
          </w:p>
        </w:tc>
      </w:tr>
    </w:tbl>
    <w:p w14:paraId="1304039A" w14:textId="77777777" w:rsidR="002022CD" w:rsidRPr="00506E61" w:rsidRDefault="00000000">
      <w:pPr>
        <w:pStyle w:val="Heading1"/>
        <w:pBdr>
          <w:bottom w:val="single" w:sz="10" w:space="5" w:color="633DA5"/>
        </w:pBdr>
        <w:spacing w:before="260" w:after="160"/>
        <w:rPr>
          <w:rFonts w:ascii="Open Sauce One" w:hAnsi="Open Sauce One"/>
        </w:rPr>
      </w:pPr>
      <w:r w:rsidRPr="00506E61">
        <w:rPr>
          <w:rFonts w:ascii="Open Sauce One" w:eastAsia="Bookman Old Style" w:hAnsi="Open Sauce One" w:cs="Bookman Old Style"/>
          <w:b/>
          <w:bCs/>
          <w:color w:val="292876"/>
          <w:sz w:val="27"/>
          <w:szCs w:val="27"/>
        </w:rPr>
        <w:t>V. Founder &amp; Company Commitments</w:t>
      </w: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9580"/>
      </w:tblGrid>
      <w:tr w:rsidR="002022CD" w:rsidRPr="00506E61" w14:paraId="62E6A5EB"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1C0AD954"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1</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67402FB3"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Use of Proceeds</w:t>
            </w:r>
          </w:p>
          <w:p w14:paraId="2472CB1C"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lastRenderedPageBreak/>
              <w:t>The Company will use the Investment primarily for [product development, key hires, go-to-market] consistent with the operating plan shared with the Investor prior to this term sheet.</w:t>
            </w:r>
          </w:p>
        </w:tc>
      </w:tr>
      <w:tr w:rsidR="002022CD" w:rsidRPr="00506E61" w14:paraId="134DD17F"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457823C7"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2</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2D01695A"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Founder Vesting</w:t>
            </w:r>
          </w:p>
          <w:p w14:paraId="2A33764A"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Each founder's equity will remain subject to their existing vesting schedule; any unvested founder shares will vest per the Company's standard [4-year, 1-year cliff] schedule, with [single/double]-trigger acceleration in the event of a change of control.</w:t>
            </w:r>
          </w:p>
        </w:tc>
      </w:tr>
      <w:tr w:rsidR="002022CD" w:rsidRPr="00506E61" w14:paraId="31E5A363"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2B6ABC18"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3</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38BEBF15"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IP Assignment</w:t>
            </w:r>
          </w:p>
          <w:p w14:paraId="08B564B8"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The Company confirms that all founders, employees, and contractors have executed proprietary information and inventions assignment agreements assigning all IP created for the Company's business to the Company.</w:t>
            </w:r>
          </w:p>
        </w:tc>
      </w:tr>
      <w:tr w:rsidR="002022CD" w:rsidRPr="00506E61" w14:paraId="0324154C"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51B9DDD0"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4</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627F4E06"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Key Person / Non-Compete</w:t>
            </w:r>
          </w:p>
          <w:p w14:paraId="48E137BC"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Each founder agrees to devote substantially full working time to the Company and will not engage in any competing business for so long as they are an employee, officer, or director of the Company.</w:t>
            </w:r>
          </w:p>
        </w:tc>
      </w:tr>
    </w:tbl>
    <w:p w14:paraId="1A51AA9A" w14:textId="77777777" w:rsidR="002022CD" w:rsidRPr="00506E61" w:rsidRDefault="00000000">
      <w:pPr>
        <w:pStyle w:val="Heading1"/>
        <w:pBdr>
          <w:bottom w:val="single" w:sz="10" w:space="5" w:color="633DA5"/>
        </w:pBdr>
        <w:spacing w:before="260" w:after="160"/>
        <w:rPr>
          <w:rFonts w:ascii="Open Sauce One" w:hAnsi="Open Sauce One"/>
        </w:rPr>
      </w:pPr>
      <w:r w:rsidRPr="00506E61">
        <w:rPr>
          <w:rFonts w:ascii="Open Sauce One" w:eastAsia="Bookman Old Style" w:hAnsi="Open Sauce One" w:cs="Bookman Old Style"/>
          <w:b/>
          <w:bCs/>
          <w:color w:val="292876"/>
          <w:sz w:val="27"/>
          <w:szCs w:val="27"/>
        </w:rPr>
        <w:t>VI. Process &amp; Closing</w:t>
      </w: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9580"/>
      </w:tblGrid>
      <w:tr w:rsidR="002022CD" w:rsidRPr="00506E61" w14:paraId="313600AD"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4A0A8CF2"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1</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11CDF6D6"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Conditions to Closing</w:t>
            </w:r>
          </w:p>
          <w:p w14:paraId="258317D5"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Closing is subject to satisfactory completion of due diligence, execution of definitive agreements (stock purchase agreement, amended charter, investor rights agreement, and voting agreement), and delivery of standard closing certificates.</w:t>
            </w:r>
          </w:p>
        </w:tc>
      </w:tr>
      <w:tr w:rsidR="002022CD" w:rsidRPr="00506E61" w14:paraId="10F8F613"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7FC4AC75"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2</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37190CE0"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Confidentiality</w:t>
            </w:r>
          </w:p>
          <w:p w14:paraId="570FB754"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The parties agree to keep the terms and existence of this term sheet confidential, except as required by law, to their professional advisors, or with the other party's written consent. This provision is binding upon signature.</w:t>
            </w:r>
          </w:p>
        </w:tc>
      </w:tr>
      <w:tr w:rsidR="002022CD" w:rsidRPr="00506E61" w14:paraId="76F65EC1"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3A04E13D"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3</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6841ACB0"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Exclusivity / No-Shop</w:t>
            </w:r>
          </w:p>
          <w:p w14:paraId="3A8AB960"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For [30] days from the date of this term sheet, the Company will not solicit, negotiate, or accept competing investment offers. This provision is binding upon signature.</w:t>
            </w:r>
          </w:p>
        </w:tc>
      </w:tr>
      <w:tr w:rsidR="002022CD" w:rsidRPr="00506E61" w14:paraId="02F957A4"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649E0BDF"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4</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1E3A4A4C"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Expenses</w:t>
            </w:r>
          </w:p>
          <w:p w14:paraId="3D4108BF"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Each party will bear its own legal and other expenses in connection with this transaction, unless otherwise agreed in writing at closing.</w:t>
            </w:r>
          </w:p>
        </w:tc>
      </w:tr>
      <w:tr w:rsidR="002022CD" w:rsidRPr="00506E61" w14:paraId="4B51CE1D"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80" w:type="dxa"/>
            </w:tcMar>
          </w:tcPr>
          <w:p w14:paraId="32A3D04C"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B72894"/>
              </w:rPr>
              <w:t>5</w:t>
            </w:r>
          </w:p>
        </w:tc>
        <w:tc>
          <w:tcPr>
            <w:tcW w:w="9580" w:type="dxa"/>
            <w:tcBorders>
              <w:top w:val="none" w:sz="0" w:space="0" w:color="FFFFFF"/>
              <w:left w:val="none" w:sz="0" w:space="0" w:color="FFFFFF"/>
              <w:bottom w:val="none" w:sz="0" w:space="0" w:color="FFFFFF"/>
              <w:right w:val="none" w:sz="0" w:space="0" w:color="FFFFFF"/>
            </w:tcBorders>
            <w:shd w:val="clear" w:color="auto" w:fill="FFFFFF"/>
            <w:tcMar>
              <w:top w:w="120" w:type="dxa"/>
              <w:left w:w="0" w:type="dxa"/>
              <w:bottom w:w="120" w:type="dxa"/>
              <w:right w:w="0" w:type="dxa"/>
            </w:tcMar>
          </w:tcPr>
          <w:p w14:paraId="517AC369" w14:textId="77777777" w:rsidR="002022CD" w:rsidRPr="00506E61" w:rsidRDefault="00000000">
            <w:pPr>
              <w:spacing w:after="60"/>
              <w:rPr>
                <w:rFonts w:ascii="Open Sauce One" w:hAnsi="Open Sauce One"/>
              </w:rPr>
            </w:pPr>
            <w:r w:rsidRPr="00506E61">
              <w:rPr>
                <w:rFonts w:ascii="Open Sauce One" w:eastAsia="Bookman Old Style" w:hAnsi="Open Sauce One" w:cs="Bookman Old Style"/>
                <w:b/>
                <w:bCs/>
                <w:color w:val="292876"/>
              </w:rPr>
              <w:t>Governing Law</w:t>
            </w:r>
          </w:p>
          <w:p w14:paraId="6DA76EC8"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lastRenderedPageBreak/>
              <w:t>This term sheet and the transactions contemplated herein will be governed by the laws of the State of Delaware (or [_______________], if the Company is incorporated elsewhere), without regard to conflict-of-laws principles.</w:t>
            </w:r>
          </w:p>
        </w:tc>
      </w:tr>
      <w:tr w:rsidR="002022CD" w:rsidRPr="00506E61" w14:paraId="3BFEB112"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10080" w:type="dxa"/>
            <w:gridSpan w:val="2"/>
            <w:tcBorders>
              <w:top w:val="single" w:sz="4" w:space="0" w:color="F2D998"/>
              <w:left w:val="single" w:sz="4" w:space="0" w:color="F2D998"/>
              <w:bottom w:val="single" w:sz="4" w:space="0" w:color="F2D998"/>
              <w:right w:val="single" w:sz="4" w:space="0" w:color="F2D998"/>
            </w:tcBorders>
            <w:shd w:val="clear" w:color="auto" w:fill="FFF6E0"/>
            <w:tcMar>
              <w:top w:w="160" w:type="dxa"/>
              <w:left w:w="220" w:type="dxa"/>
              <w:bottom w:w="160" w:type="dxa"/>
              <w:right w:w="220" w:type="dxa"/>
            </w:tcMar>
          </w:tcPr>
          <w:p w14:paraId="1C5D1843" w14:textId="77777777" w:rsidR="002022CD" w:rsidRPr="00506E61" w:rsidRDefault="00000000">
            <w:pPr>
              <w:spacing w:after="60"/>
              <w:rPr>
                <w:rFonts w:ascii="Open Sauce One" w:hAnsi="Open Sauce One"/>
              </w:rPr>
            </w:pPr>
            <w:r w:rsidRPr="00506E61">
              <w:rPr>
                <w:rFonts w:ascii="Open Sauce One" w:eastAsia="Calibri" w:hAnsi="Open Sauce One" w:cs="Calibri"/>
                <w:b/>
                <w:bCs/>
                <w:color w:val="8A6100"/>
                <w:spacing w:val="15"/>
                <w:sz w:val="16"/>
                <w:szCs w:val="16"/>
              </w:rPr>
              <w:t>MARKET BENCHMARK — EXCLUSIVITY WINDOW</w:t>
            </w:r>
          </w:p>
          <w:p w14:paraId="3A788121" w14:textId="7C9E544F" w:rsidR="002022CD" w:rsidRPr="00506E61" w:rsidRDefault="00000000">
            <w:pPr>
              <w:spacing w:line="276" w:lineRule="auto"/>
              <w:rPr>
                <w:rFonts w:ascii="Open Sauce One" w:hAnsi="Open Sauce One"/>
              </w:rPr>
            </w:pPr>
            <w:r w:rsidRPr="00506E61">
              <w:rPr>
                <w:rFonts w:ascii="Open Sauce One" w:eastAsia="Calibri" w:hAnsi="Open Sauce One" w:cs="Calibri"/>
                <w:color w:val="222222"/>
                <w:sz w:val="19"/>
                <w:szCs w:val="19"/>
              </w:rPr>
              <w:t>30 days is standard for a no-shop period on an angel-sized check. Longer exclusivity windows tie up a founder's fundraising timeline without a corresponding commitment from the investor if an investor asks for 60–90 days, it's fair to ask what they're offering in exchange.</w:t>
            </w:r>
          </w:p>
        </w:tc>
      </w:tr>
    </w:tbl>
    <w:p w14:paraId="34DBD076" w14:textId="77777777" w:rsidR="002022CD" w:rsidRPr="00506E61" w:rsidRDefault="00000000">
      <w:pPr>
        <w:pStyle w:val="Heading1"/>
        <w:pBdr>
          <w:bottom w:val="single" w:sz="10" w:space="5" w:color="633DA5"/>
        </w:pBdr>
        <w:spacing w:before="260" w:after="160"/>
        <w:rPr>
          <w:rFonts w:ascii="Open Sauce One" w:hAnsi="Open Sauce One"/>
        </w:rPr>
      </w:pPr>
      <w:r w:rsidRPr="00506E61">
        <w:rPr>
          <w:rFonts w:ascii="Open Sauce One" w:eastAsia="Bookman Old Style" w:hAnsi="Open Sauce One" w:cs="Bookman Old Style"/>
          <w:b/>
          <w:bCs/>
          <w:color w:val="292876"/>
          <w:sz w:val="27"/>
          <w:szCs w:val="27"/>
        </w:rPr>
        <w:t>VII. Execution</w:t>
      </w:r>
    </w:p>
    <w:p w14:paraId="6FD91F4C"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This term sheet is not intended to create any binding obligation on either party except as expressly stated in Sections VI.2 and VI.3 above. All other terms are non-binding statements of intent, subject to negotiation and documentation in definitive agreements.</w:t>
      </w:r>
    </w:p>
    <w:p w14:paraId="77929E0B" w14:textId="77777777" w:rsidR="002022CD" w:rsidRPr="00506E61" w:rsidRDefault="00000000">
      <w:pPr>
        <w:spacing w:before="300" w:after="60"/>
        <w:rPr>
          <w:rFonts w:ascii="Open Sauce One" w:hAnsi="Open Sauce One"/>
        </w:rPr>
      </w:pPr>
      <w:r w:rsidRPr="00506E61">
        <w:rPr>
          <w:rFonts w:ascii="Open Sauce One" w:eastAsia="Bookman Old Style" w:hAnsi="Open Sauce One" w:cs="Bookman Old Style"/>
          <w:b/>
          <w:bCs/>
          <w:color w:val="292876"/>
        </w:rPr>
        <w:t>COMPANY</w:t>
      </w:r>
    </w:p>
    <w:p w14:paraId="4EC5FA84" w14:textId="77777777" w:rsidR="002022CD" w:rsidRPr="00506E61" w:rsidRDefault="00000000">
      <w:pPr>
        <w:pBdr>
          <w:bottom w:val="single" w:sz="4" w:space="1" w:color="999999"/>
        </w:pBdr>
        <w:spacing w:after="40"/>
        <w:rPr>
          <w:rFonts w:ascii="Open Sauce One" w:hAnsi="Open Sauce One"/>
        </w:rPr>
      </w:pPr>
      <w:r w:rsidRPr="00506E61">
        <w:rPr>
          <w:rFonts w:ascii="Open Sauce One" w:eastAsia="Calibri" w:hAnsi="Open Sauce One" w:cs="Calibri"/>
        </w:rPr>
        <w:t> </w:t>
      </w:r>
    </w:p>
    <w:p w14:paraId="1C2870CC" w14:textId="77777777" w:rsidR="002022CD" w:rsidRPr="00506E61" w:rsidRDefault="00000000">
      <w:pPr>
        <w:spacing w:after="200"/>
        <w:rPr>
          <w:rFonts w:ascii="Open Sauce One" w:hAnsi="Open Sauce One"/>
        </w:rPr>
      </w:pPr>
      <w:r w:rsidRPr="00506E61">
        <w:rPr>
          <w:rFonts w:ascii="Open Sauce One" w:eastAsia="Calibri" w:hAnsi="Open Sauce One" w:cs="Calibri"/>
          <w:i/>
          <w:iCs/>
          <w:color w:val="5A5A5A"/>
          <w:sz w:val="16"/>
          <w:szCs w:val="16"/>
        </w:rPr>
        <w:t>Signature — [Company Name, Inc.]</w:t>
      </w:r>
    </w:p>
    <w:p w14:paraId="567C0997" w14:textId="77777777" w:rsidR="002022CD" w:rsidRPr="00506E61" w:rsidRDefault="00000000">
      <w:pPr>
        <w:pBdr>
          <w:bottom w:val="single" w:sz="4" w:space="1" w:color="999999"/>
        </w:pBdr>
        <w:spacing w:after="40"/>
        <w:rPr>
          <w:rFonts w:ascii="Open Sauce One" w:hAnsi="Open Sauce One"/>
        </w:rPr>
      </w:pPr>
      <w:r w:rsidRPr="00506E61">
        <w:rPr>
          <w:rFonts w:ascii="Open Sauce One" w:eastAsia="Calibri" w:hAnsi="Open Sauce One" w:cs="Calibri"/>
          <w:color w:val="222222"/>
          <w:sz w:val="19"/>
          <w:szCs w:val="19"/>
        </w:rPr>
        <w:t xml:space="preserve">Name:  </w:t>
      </w:r>
    </w:p>
    <w:p w14:paraId="6F88CAA2" w14:textId="77777777" w:rsidR="002022CD" w:rsidRPr="00506E61" w:rsidRDefault="00000000">
      <w:pPr>
        <w:pBdr>
          <w:bottom w:val="single" w:sz="4" w:space="1" w:color="999999"/>
        </w:pBdr>
        <w:spacing w:before="140" w:after="40"/>
        <w:rPr>
          <w:rFonts w:ascii="Open Sauce One" w:hAnsi="Open Sauce One"/>
        </w:rPr>
      </w:pPr>
      <w:r w:rsidRPr="00506E61">
        <w:rPr>
          <w:rFonts w:ascii="Open Sauce One" w:eastAsia="Calibri" w:hAnsi="Open Sauce One" w:cs="Calibri"/>
          <w:color w:val="222222"/>
          <w:sz w:val="19"/>
          <w:szCs w:val="19"/>
        </w:rPr>
        <w:t xml:space="preserve">Title:  </w:t>
      </w:r>
    </w:p>
    <w:p w14:paraId="6DD28E74" w14:textId="77777777" w:rsidR="002022CD" w:rsidRPr="00506E61" w:rsidRDefault="00000000">
      <w:pPr>
        <w:pBdr>
          <w:bottom w:val="single" w:sz="4" w:space="1" w:color="999999"/>
        </w:pBdr>
        <w:spacing w:before="140" w:after="300"/>
        <w:rPr>
          <w:rFonts w:ascii="Open Sauce One" w:hAnsi="Open Sauce One"/>
        </w:rPr>
      </w:pPr>
      <w:r w:rsidRPr="00506E61">
        <w:rPr>
          <w:rFonts w:ascii="Open Sauce One" w:eastAsia="Calibri" w:hAnsi="Open Sauce One" w:cs="Calibri"/>
          <w:color w:val="222222"/>
          <w:sz w:val="19"/>
          <w:szCs w:val="19"/>
        </w:rPr>
        <w:t xml:space="preserve">Date:  </w:t>
      </w:r>
    </w:p>
    <w:p w14:paraId="41AFDDAB" w14:textId="77777777" w:rsidR="002022CD" w:rsidRPr="00506E61" w:rsidRDefault="00000000">
      <w:pPr>
        <w:spacing w:before="300" w:after="60"/>
        <w:rPr>
          <w:rFonts w:ascii="Open Sauce One" w:hAnsi="Open Sauce One"/>
        </w:rPr>
      </w:pPr>
      <w:r w:rsidRPr="00506E61">
        <w:rPr>
          <w:rFonts w:ascii="Open Sauce One" w:eastAsia="Bookman Old Style" w:hAnsi="Open Sauce One" w:cs="Bookman Old Style"/>
          <w:b/>
          <w:bCs/>
          <w:color w:val="292876"/>
        </w:rPr>
        <w:t>INVESTOR</w:t>
      </w:r>
    </w:p>
    <w:p w14:paraId="12D7C7C2" w14:textId="77777777" w:rsidR="002022CD" w:rsidRPr="00506E61" w:rsidRDefault="00000000">
      <w:pPr>
        <w:pBdr>
          <w:bottom w:val="single" w:sz="4" w:space="1" w:color="999999"/>
        </w:pBdr>
        <w:spacing w:after="40"/>
        <w:rPr>
          <w:rFonts w:ascii="Open Sauce One" w:hAnsi="Open Sauce One"/>
        </w:rPr>
      </w:pPr>
      <w:r w:rsidRPr="00506E61">
        <w:rPr>
          <w:rFonts w:ascii="Open Sauce One" w:eastAsia="Calibri" w:hAnsi="Open Sauce One" w:cs="Calibri"/>
        </w:rPr>
        <w:t> </w:t>
      </w:r>
    </w:p>
    <w:p w14:paraId="7B1720C2" w14:textId="77777777" w:rsidR="002022CD" w:rsidRPr="00506E61" w:rsidRDefault="00000000">
      <w:pPr>
        <w:spacing w:after="200"/>
        <w:rPr>
          <w:rFonts w:ascii="Open Sauce One" w:hAnsi="Open Sauce One"/>
        </w:rPr>
      </w:pPr>
      <w:r w:rsidRPr="00506E61">
        <w:rPr>
          <w:rFonts w:ascii="Open Sauce One" w:eastAsia="Calibri" w:hAnsi="Open Sauce One" w:cs="Calibri"/>
          <w:i/>
          <w:iCs/>
          <w:color w:val="5A5A5A"/>
          <w:sz w:val="16"/>
          <w:szCs w:val="16"/>
        </w:rPr>
        <w:t>Signature — [Investor Name]</w:t>
      </w:r>
    </w:p>
    <w:p w14:paraId="4150B706" w14:textId="77777777" w:rsidR="002022CD" w:rsidRPr="00506E61" w:rsidRDefault="00000000">
      <w:pPr>
        <w:pBdr>
          <w:bottom w:val="single" w:sz="4" w:space="1" w:color="999999"/>
        </w:pBdr>
        <w:spacing w:after="40"/>
        <w:rPr>
          <w:rFonts w:ascii="Open Sauce One" w:hAnsi="Open Sauce One"/>
        </w:rPr>
      </w:pPr>
      <w:r w:rsidRPr="00506E61">
        <w:rPr>
          <w:rFonts w:ascii="Open Sauce One" w:eastAsia="Calibri" w:hAnsi="Open Sauce One" w:cs="Calibri"/>
          <w:color w:val="222222"/>
          <w:sz w:val="19"/>
          <w:szCs w:val="19"/>
        </w:rPr>
        <w:t xml:space="preserve">Name:  </w:t>
      </w:r>
    </w:p>
    <w:p w14:paraId="508A4775" w14:textId="77777777" w:rsidR="002022CD" w:rsidRPr="00506E61" w:rsidRDefault="00000000">
      <w:pPr>
        <w:pBdr>
          <w:bottom w:val="single" w:sz="4" w:space="1" w:color="999999"/>
        </w:pBdr>
        <w:spacing w:before="140" w:after="40"/>
        <w:rPr>
          <w:rFonts w:ascii="Open Sauce One" w:hAnsi="Open Sauce One"/>
        </w:rPr>
      </w:pPr>
      <w:r w:rsidRPr="00506E61">
        <w:rPr>
          <w:rFonts w:ascii="Open Sauce One" w:eastAsia="Calibri" w:hAnsi="Open Sauce One" w:cs="Calibri"/>
          <w:color w:val="222222"/>
          <w:sz w:val="19"/>
          <w:szCs w:val="19"/>
        </w:rPr>
        <w:t xml:space="preserve">Title:  </w:t>
      </w:r>
    </w:p>
    <w:p w14:paraId="63E42B05" w14:textId="77777777" w:rsidR="002022CD" w:rsidRPr="00506E61" w:rsidRDefault="00000000">
      <w:pPr>
        <w:pBdr>
          <w:bottom w:val="single" w:sz="4" w:space="1" w:color="999999"/>
        </w:pBdr>
        <w:spacing w:before="140" w:after="300"/>
        <w:rPr>
          <w:rFonts w:ascii="Open Sauce One" w:hAnsi="Open Sauce One"/>
        </w:rPr>
      </w:pPr>
      <w:r w:rsidRPr="00506E61">
        <w:rPr>
          <w:rFonts w:ascii="Open Sauce One" w:eastAsia="Calibri" w:hAnsi="Open Sauce One" w:cs="Calibri"/>
          <w:color w:val="222222"/>
          <w:sz w:val="19"/>
          <w:szCs w:val="19"/>
        </w:rPr>
        <w:t xml:space="preserve">Date:  </w:t>
      </w:r>
    </w:p>
    <w:p w14:paraId="43533EA6" w14:textId="77777777" w:rsidR="002022CD" w:rsidRPr="00506E61" w:rsidRDefault="002022CD">
      <w:pPr>
        <w:pageBreakBefore/>
        <w:rPr>
          <w:rFonts w:ascii="Open Sauce One" w:hAnsi="Open Sauce One"/>
        </w:rPr>
      </w:pPr>
    </w:p>
    <w:p w14:paraId="6B974C5B" w14:textId="77777777" w:rsidR="002022CD" w:rsidRPr="00506E61" w:rsidRDefault="00000000">
      <w:pPr>
        <w:pStyle w:val="Heading1"/>
        <w:pBdr>
          <w:bottom w:val="single" w:sz="10" w:space="5" w:color="633DA5"/>
        </w:pBdr>
        <w:spacing w:before="260" w:after="160"/>
        <w:rPr>
          <w:rFonts w:ascii="Open Sauce One" w:hAnsi="Open Sauce One"/>
        </w:rPr>
      </w:pPr>
      <w:r w:rsidRPr="00506E61">
        <w:rPr>
          <w:rFonts w:ascii="Open Sauce One" w:eastAsia="Bookman Old Style" w:hAnsi="Open Sauce One" w:cs="Bookman Old Style"/>
          <w:b/>
          <w:bCs/>
          <w:color w:val="292876"/>
          <w:sz w:val="27"/>
          <w:szCs w:val="27"/>
        </w:rPr>
        <w:t>Appendix A: Post-Money Cap Table Snapshot</w:t>
      </w:r>
    </w:p>
    <w:p w14:paraId="26592809" w14:textId="070B6B8D"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Use this snapshot to sanity-check dilution before you sign. It's a simplified fully diluted view your actual cap table should account for every existing SAFE, note, and option grant, not just the headline round.</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0"/>
        <w:gridCol w:w="4080"/>
      </w:tblGrid>
      <w:tr w:rsidR="002022CD" w:rsidRPr="00506E61" w14:paraId="076E1AF2" w14:textId="77777777">
        <w:tblPrEx>
          <w:tblCellMar>
            <w:top w:w="0" w:type="dxa"/>
            <w:bottom w:w="0" w:type="dxa"/>
          </w:tblCellMar>
        </w:tblPrEx>
        <w:tc>
          <w:tcPr>
            <w:tcW w:w="60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vAlign w:val="center"/>
          </w:tcPr>
          <w:p w14:paraId="4561A72D"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292876"/>
                <w:sz w:val="18"/>
                <w:szCs w:val="18"/>
              </w:rPr>
              <w:t>Founders</w:t>
            </w:r>
          </w:p>
        </w:tc>
        <w:tc>
          <w:tcPr>
            <w:tcW w:w="408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4E57553E" w14:textId="77777777" w:rsidR="002022CD" w:rsidRPr="00506E61" w:rsidRDefault="00000000">
            <w:pPr>
              <w:spacing w:line="264" w:lineRule="auto"/>
              <w:rPr>
                <w:rFonts w:ascii="Open Sauce One" w:hAnsi="Open Sauce One"/>
              </w:rPr>
            </w:pPr>
            <w:r w:rsidRPr="00506E61">
              <w:rPr>
                <w:rFonts w:ascii="Open Sauce One" w:eastAsia="Calibri" w:hAnsi="Open Sauce One" w:cs="Calibri"/>
                <w:color w:val="222222"/>
                <w:sz w:val="19"/>
                <w:szCs w:val="19"/>
              </w:rPr>
              <w:t>[___]%</w:t>
            </w:r>
          </w:p>
        </w:tc>
      </w:tr>
      <w:tr w:rsidR="002022CD" w:rsidRPr="00506E61" w14:paraId="6D0538D0" w14:textId="77777777">
        <w:tblPrEx>
          <w:tblCellMar>
            <w:top w:w="0" w:type="dxa"/>
            <w:bottom w:w="0" w:type="dxa"/>
          </w:tblCellMar>
        </w:tblPrEx>
        <w:tc>
          <w:tcPr>
            <w:tcW w:w="600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260C6D37"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292876"/>
                <w:sz w:val="18"/>
                <w:szCs w:val="18"/>
              </w:rPr>
              <w:t>Existing Shareholders (prior rounds, if any)</w:t>
            </w:r>
          </w:p>
        </w:tc>
        <w:tc>
          <w:tcPr>
            <w:tcW w:w="408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45C68C68" w14:textId="77777777" w:rsidR="002022CD" w:rsidRPr="00506E61" w:rsidRDefault="00000000">
            <w:pPr>
              <w:spacing w:line="264" w:lineRule="auto"/>
              <w:rPr>
                <w:rFonts w:ascii="Open Sauce One" w:hAnsi="Open Sauce One"/>
              </w:rPr>
            </w:pPr>
            <w:r w:rsidRPr="00506E61">
              <w:rPr>
                <w:rFonts w:ascii="Open Sauce One" w:eastAsia="Calibri" w:hAnsi="Open Sauce One" w:cs="Calibri"/>
                <w:color w:val="222222"/>
                <w:sz w:val="19"/>
                <w:szCs w:val="19"/>
              </w:rPr>
              <w:t>[___]%</w:t>
            </w:r>
          </w:p>
        </w:tc>
      </w:tr>
      <w:tr w:rsidR="002022CD" w:rsidRPr="00506E61" w14:paraId="26992AC2" w14:textId="77777777">
        <w:tblPrEx>
          <w:tblCellMar>
            <w:top w:w="0" w:type="dxa"/>
            <w:bottom w:w="0" w:type="dxa"/>
          </w:tblCellMar>
        </w:tblPrEx>
        <w:tc>
          <w:tcPr>
            <w:tcW w:w="60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vAlign w:val="center"/>
          </w:tcPr>
          <w:p w14:paraId="7C6164E4"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292876"/>
                <w:sz w:val="18"/>
                <w:szCs w:val="18"/>
              </w:rPr>
              <w:t>Option Pool (new + existing)</w:t>
            </w:r>
          </w:p>
        </w:tc>
        <w:tc>
          <w:tcPr>
            <w:tcW w:w="408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3F687D3C" w14:textId="77777777" w:rsidR="002022CD" w:rsidRPr="00506E61" w:rsidRDefault="00000000">
            <w:pPr>
              <w:spacing w:line="264" w:lineRule="auto"/>
              <w:rPr>
                <w:rFonts w:ascii="Open Sauce One" w:hAnsi="Open Sauce One"/>
              </w:rPr>
            </w:pPr>
            <w:r w:rsidRPr="00506E61">
              <w:rPr>
                <w:rFonts w:ascii="Open Sauce One" w:eastAsia="Calibri" w:hAnsi="Open Sauce One" w:cs="Calibri"/>
                <w:color w:val="222222"/>
                <w:sz w:val="19"/>
                <w:szCs w:val="19"/>
              </w:rPr>
              <w:t>[___]%</w:t>
            </w:r>
          </w:p>
        </w:tc>
      </w:tr>
      <w:tr w:rsidR="002022CD" w:rsidRPr="00506E61" w14:paraId="78F85B93" w14:textId="77777777">
        <w:tblPrEx>
          <w:tblCellMar>
            <w:top w:w="0" w:type="dxa"/>
            <w:bottom w:w="0" w:type="dxa"/>
          </w:tblCellMar>
        </w:tblPrEx>
        <w:tc>
          <w:tcPr>
            <w:tcW w:w="600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5D0A24A6"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292876"/>
                <w:sz w:val="18"/>
                <w:szCs w:val="18"/>
              </w:rPr>
              <w:t>This Investor (Series Seed)</w:t>
            </w:r>
          </w:p>
        </w:tc>
        <w:tc>
          <w:tcPr>
            <w:tcW w:w="408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692CDBC7" w14:textId="77777777" w:rsidR="002022CD" w:rsidRPr="00506E61" w:rsidRDefault="00000000">
            <w:pPr>
              <w:spacing w:line="264" w:lineRule="auto"/>
              <w:rPr>
                <w:rFonts w:ascii="Open Sauce One" w:hAnsi="Open Sauce One"/>
              </w:rPr>
            </w:pPr>
            <w:r w:rsidRPr="00506E61">
              <w:rPr>
                <w:rFonts w:ascii="Open Sauce One" w:eastAsia="Calibri" w:hAnsi="Open Sauce One" w:cs="Calibri"/>
                <w:color w:val="222222"/>
                <w:sz w:val="19"/>
                <w:szCs w:val="19"/>
              </w:rPr>
              <w:t>[___]%</w:t>
            </w:r>
          </w:p>
        </w:tc>
      </w:tr>
      <w:tr w:rsidR="002022CD" w:rsidRPr="00506E61" w14:paraId="0A557B03" w14:textId="77777777">
        <w:tblPrEx>
          <w:tblCellMar>
            <w:top w:w="0" w:type="dxa"/>
            <w:bottom w:w="0" w:type="dxa"/>
          </w:tblCellMar>
        </w:tblPrEx>
        <w:tc>
          <w:tcPr>
            <w:tcW w:w="6000" w:type="dxa"/>
            <w:tcBorders>
              <w:top w:val="single" w:sz="4" w:space="0" w:color="D9D3E8"/>
              <w:left w:val="single" w:sz="4" w:space="0" w:color="D9D3E8"/>
              <w:bottom w:val="single" w:sz="4" w:space="0" w:color="D9D3E8"/>
              <w:right w:val="single" w:sz="4" w:space="0" w:color="D9D3E8"/>
            </w:tcBorders>
            <w:shd w:val="clear" w:color="auto" w:fill="EFEAF7"/>
            <w:tcMar>
              <w:top w:w="100" w:type="dxa"/>
              <w:left w:w="140" w:type="dxa"/>
              <w:bottom w:w="100" w:type="dxa"/>
              <w:right w:w="140" w:type="dxa"/>
            </w:tcMar>
            <w:vAlign w:val="center"/>
          </w:tcPr>
          <w:p w14:paraId="6ADE0106" w14:textId="77777777" w:rsidR="002022CD" w:rsidRPr="00506E61" w:rsidRDefault="00000000">
            <w:pPr>
              <w:rPr>
                <w:rFonts w:ascii="Open Sauce One" w:hAnsi="Open Sauce One"/>
              </w:rPr>
            </w:pPr>
            <w:r w:rsidRPr="00506E61">
              <w:rPr>
                <w:rFonts w:ascii="Open Sauce One" w:eastAsia="Bookman Old Style" w:hAnsi="Open Sauce One" w:cs="Bookman Old Style"/>
                <w:b/>
                <w:bCs/>
                <w:color w:val="292876"/>
                <w:sz w:val="18"/>
                <w:szCs w:val="18"/>
              </w:rPr>
              <w:t>Total</w:t>
            </w:r>
          </w:p>
        </w:tc>
        <w:tc>
          <w:tcPr>
            <w:tcW w:w="4080" w:type="dxa"/>
            <w:tcBorders>
              <w:top w:val="single" w:sz="4" w:space="0" w:color="D9D3E8"/>
              <w:left w:val="single" w:sz="4" w:space="0" w:color="D9D3E8"/>
              <w:bottom w:val="single" w:sz="4" w:space="0" w:color="D9D3E8"/>
              <w:right w:val="single" w:sz="4" w:space="0" w:color="D9D3E8"/>
            </w:tcBorders>
            <w:shd w:val="clear" w:color="auto" w:fill="FFFFFF"/>
            <w:tcMar>
              <w:top w:w="100" w:type="dxa"/>
              <w:left w:w="140" w:type="dxa"/>
              <w:bottom w:w="100" w:type="dxa"/>
              <w:right w:w="140" w:type="dxa"/>
            </w:tcMar>
            <w:vAlign w:val="center"/>
          </w:tcPr>
          <w:p w14:paraId="61DA2F4D" w14:textId="77777777" w:rsidR="002022CD" w:rsidRPr="00506E61" w:rsidRDefault="00000000">
            <w:pPr>
              <w:spacing w:line="264" w:lineRule="auto"/>
              <w:rPr>
                <w:rFonts w:ascii="Open Sauce One" w:hAnsi="Open Sauce One"/>
              </w:rPr>
            </w:pPr>
            <w:r w:rsidRPr="00506E61">
              <w:rPr>
                <w:rFonts w:ascii="Open Sauce One" w:eastAsia="Calibri" w:hAnsi="Open Sauce One" w:cs="Calibri"/>
                <w:color w:val="222222"/>
                <w:sz w:val="19"/>
                <w:szCs w:val="19"/>
              </w:rPr>
              <w:t>100%</w:t>
            </w:r>
          </w:p>
        </w:tc>
      </w:tr>
      <w:tr w:rsidR="002022CD" w:rsidRPr="00506E61" w14:paraId="34CC9905" w14:textId="77777777">
        <w:tblPrEx>
          <w:tblCellMar>
            <w:top w:w="0" w:type="dxa"/>
            <w:bottom w:w="0" w:type="dxa"/>
          </w:tblCellMar>
        </w:tblPrEx>
        <w:tc>
          <w:tcPr>
            <w:tcW w:w="10080" w:type="dxa"/>
            <w:gridSpan w:val="2"/>
            <w:tcBorders>
              <w:top w:val="single" w:sz="4" w:space="0" w:color="F2D998"/>
              <w:left w:val="single" w:sz="4" w:space="0" w:color="F2D998"/>
              <w:bottom w:val="single" w:sz="4" w:space="0" w:color="F2D998"/>
              <w:right w:val="single" w:sz="4" w:space="0" w:color="F2D998"/>
            </w:tcBorders>
            <w:shd w:val="clear" w:color="auto" w:fill="FFF6E0"/>
            <w:tcMar>
              <w:top w:w="160" w:type="dxa"/>
              <w:left w:w="220" w:type="dxa"/>
              <w:bottom w:w="160" w:type="dxa"/>
              <w:right w:w="220" w:type="dxa"/>
            </w:tcMar>
          </w:tcPr>
          <w:p w14:paraId="0C5CD3FF" w14:textId="77777777" w:rsidR="002022CD" w:rsidRPr="00506E61" w:rsidRDefault="00000000">
            <w:pPr>
              <w:spacing w:after="60"/>
              <w:rPr>
                <w:rFonts w:ascii="Open Sauce One" w:hAnsi="Open Sauce One"/>
              </w:rPr>
            </w:pPr>
            <w:r w:rsidRPr="00506E61">
              <w:rPr>
                <w:rFonts w:ascii="Open Sauce One" w:eastAsia="Calibri" w:hAnsi="Open Sauce One" w:cs="Calibri"/>
                <w:b/>
                <w:bCs/>
                <w:color w:val="8A6100"/>
                <w:spacing w:val="15"/>
                <w:sz w:val="16"/>
                <w:szCs w:val="16"/>
              </w:rPr>
              <w:t>WHY THIS MATTERS</w:t>
            </w:r>
          </w:p>
          <w:p w14:paraId="603D9010" w14:textId="1F339B3F" w:rsidR="002022CD" w:rsidRPr="00506E61" w:rsidRDefault="00000000">
            <w:pPr>
              <w:spacing w:line="276" w:lineRule="auto"/>
              <w:rPr>
                <w:rFonts w:ascii="Open Sauce One" w:hAnsi="Open Sauce One"/>
              </w:rPr>
            </w:pPr>
            <w:r w:rsidRPr="00506E61">
              <w:rPr>
                <w:rFonts w:ascii="Open Sauce One" w:eastAsia="Calibri" w:hAnsi="Open Sauce One" w:cs="Calibri"/>
                <w:color w:val="222222"/>
                <w:sz w:val="19"/>
                <w:szCs w:val="19"/>
              </w:rPr>
              <w:t>A term sheet fixes percentages on paper; it's the cap table that has to keep them accurate as SAFEs convert, options vest, and the next round prices. Founders who track this in a spreadsheet often discover the mismatch only when a diligence request forces a recount usually mid-raise, when there's no time to fix it quietly.</w:t>
            </w:r>
          </w:p>
        </w:tc>
      </w:tr>
    </w:tbl>
    <w:p w14:paraId="28171B2D" w14:textId="77777777" w:rsidR="002022CD" w:rsidRPr="00506E61" w:rsidRDefault="00000000">
      <w:pPr>
        <w:spacing w:after="160" w:line="288" w:lineRule="auto"/>
        <w:jc w:val="both"/>
        <w:rPr>
          <w:rFonts w:ascii="Open Sauce One" w:hAnsi="Open Sauce One"/>
        </w:rPr>
      </w:pPr>
      <w:r w:rsidRPr="00506E61">
        <w:rPr>
          <w:rFonts w:ascii="Open Sauce One" w:eastAsia="Calibri" w:hAnsi="Open Sauce One" w:cs="Calibri"/>
          <w:color w:val="222222"/>
        </w:rPr>
        <w:t>Qapita's equity management platform keeps this cap table live and audit-ready from the moment this term sheet is signed — SAFE and note conversions, option grants, and every future round update automatically, instead of living in a static spreadsheet that's out of date by the next board meeting.</w:t>
      </w:r>
    </w:p>
    <w:p w14:paraId="72890C63" w14:textId="19D78F03" w:rsidR="002022CD" w:rsidRPr="00506E61" w:rsidRDefault="002022CD" w:rsidP="0084031B">
      <w:pPr>
        <w:spacing w:after="200"/>
        <w:rPr>
          <w:rFonts w:ascii="Open Sauce One" w:hAnsi="Open Sauce One"/>
        </w:rPr>
      </w:pPr>
    </w:p>
    <w:sectPr w:rsidR="002022CD" w:rsidRPr="00506E61">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4BE06" w14:textId="77777777" w:rsidR="00E22A17" w:rsidRDefault="00E22A17">
      <w:r>
        <w:separator/>
      </w:r>
    </w:p>
  </w:endnote>
  <w:endnote w:type="continuationSeparator" w:id="0">
    <w:p w14:paraId="1D06F052" w14:textId="77777777" w:rsidR="00E22A17" w:rsidRDefault="00E22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uce One">
    <w:panose1 w:val="00000500000000000000"/>
    <w:charset w:val="00"/>
    <w:family w:val="auto"/>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91BE9" w14:textId="77777777" w:rsidR="002022CD" w:rsidRDefault="00000000">
    <w:pPr>
      <w:pBdr>
        <w:top w:val="single" w:sz="4" w:space="6" w:color="E0E0E0"/>
      </w:pBdr>
      <w:tabs>
        <w:tab w:val="right" w:pos="10080"/>
      </w:tabs>
    </w:pPr>
    <w:r>
      <w:rPr>
        <w:rFonts w:ascii="Calibri" w:eastAsia="Calibri" w:hAnsi="Calibri" w:cs="Calibri"/>
        <w:color w:val="5A5A5A"/>
        <w:sz w:val="15"/>
        <w:szCs w:val="15"/>
      </w:rPr>
      <w:t>Qapita  |  Angel Investor Term Sheet Template</w:t>
    </w:r>
    <w:r>
      <w:rPr>
        <w:rFonts w:ascii="Calibri" w:eastAsia="Calibri" w:hAnsi="Calibri" w:cs="Calibri"/>
        <w:sz w:val="15"/>
        <w:szCs w:val="15"/>
      </w:rPr>
      <w:tab/>
    </w:r>
    <w:r>
      <w:rPr>
        <w:rFonts w:ascii="Calibri" w:eastAsia="Calibri" w:hAnsi="Calibri" w:cs="Calibri"/>
        <w:color w:val="5A5A5A"/>
        <w:sz w:val="15"/>
        <w:szCs w:val="15"/>
      </w:rPr>
      <w:fldChar w:fldCharType="begin"/>
    </w:r>
    <w:r>
      <w:rPr>
        <w:rFonts w:ascii="Calibri" w:eastAsia="Calibri" w:hAnsi="Calibri" w:cs="Calibri"/>
        <w:color w:val="5A5A5A"/>
        <w:sz w:val="15"/>
        <w:szCs w:val="15"/>
      </w:rPr>
      <w:instrText>PAGE</w:instrText>
    </w:r>
    <w:r>
      <w:rPr>
        <w:rFonts w:ascii="Calibri" w:eastAsia="Calibri" w:hAnsi="Calibri" w:cs="Calibri"/>
        <w:color w:val="5A5A5A"/>
        <w:sz w:val="15"/>
        <w:szCs w:val="15"/>
      </w:rPr>
      <w:fldChar w:fldCharType="separate"/>
    </w:r>
    <w:r w:rsidR="00506E61">
      <w:rPr>
        <w:rFonts w:ascii="Calibri" w:eastAsia="Calibri" w:hAnsi="Calibri" w:cs="Calibri"/>
        <w:noProof/>
        <w:color w:val="5A5A5A"/>
        <w:sz w:val="15"/>
        <w:szCs w:val="15"/>
      </w:rPr>
      <w:t>1</w:t>
    </w:r>
    <w:r>
      <w:rPr>
        <w:rFonts w:ascii="Calibri" w:eastAsia="Calibri" w:hAnsi="Calibri" w:cs="Calibri"/>
        <w:color w:val="5A5A5A"/>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8B81C" w14:textId="77777777" w:rsidR="00E22A17" w:rsidRDefault="00E22A17">
      <w:r>
        <w:separator/>
      </w:r>
    </w:p>
  </w:footnote>
  <w:footnote w:type="continuationSeparator" w:id="0">
    <w:p w14:paraId="5BAC8BE2" w14:textId="77777777" w:rsidR="00E22A17" w:rsidRDefault="00E22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7F609" w14:textId="13536E3B" w:rsidR="00506E61" w:rsidRDefault="00506E61" w:rsidP="00506E61">
    <w:pPr>
      <w:pStyle w:val="Header"/>
      <w:jc w:val="right"/>
    </w:pPr>
    <w:r>
      <w:rPr>
        <w:noProof/>
      </w:rPr>
      <w:drawing>
        <wp:inline distT="0" distB="0" distL="0" distR="0" wp14:anchorId="02B89BD0" wp14:editId="4031F990">
          <wp:extent cx="1270000" cy="453445"/>
          <wp:effectExtent l="0" t="0" r="0" b="3810"/>
          <wp:docPr id="977299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299568" name="Picture 977299568"/>
                  <pic:cNvPicPr/>
                </pic:nvPicPr>
                <pic:blipFill>
                  <a:blip r:embed="rId1">
                    <a:extLst>
                      <a:ext uri="{28A0092B-C50C-407E-A947-70E740481C1C}">
                        <a14:useLocalDpi xmlns:a14="http://schemas.microsoft.com/office/drawing/2010/main" val="0"/>
                      </a:ext>
                    </a:extLst>
                  </a:blip>
                  <a:stretch>
                    <a:fillRect/>
                  </a:stretch>
                </pic:blipFill>
                <pic:spPr>
                  <a:xfrm>
                    <a:off x="0" y="0"/>
                    <a:ext cx="1311824" cy="4683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32316"/>
    <w:multiLevelType w:val="hybridMultilevel"/>
    <w:tmpl w:val="5BFE9EB6"/>
    <w:lvl w:ilvl="0" w:tplc="2DEC1290">
      <w:start w:val="1"/>
      <w:numFmt w:val="bullet"/>
      <w:lvlText w:val="●"/>
      <w:lvlJc w:val="left"/>
      <w:pPr>
        <w:ind w:left="720" w:hanging="360"/>
      </w:pPr>
    </w:lvl>
    <w:lvl w:ilvl="1" w:tplc="A0B4B464">
      <w:start w:val="1"/>
      <w:numFmt w:val="bullet"/>
      <w:lvlText w:val="○"/>
      <w:lvlJc w:val="left"/>
      <w:pPr>
        <w:ind w:left="1440" w:hanging="360"/>
      </w:pPr>
    </w:lvl>
    <w:lvl w:ilvl="2" w:tplc="D976FD1E">
      <w:start w:val="1"/>
      <w:numFmt w:val="bullet"/>
      <w:lvlText w:val="■"/>
      <w:lvlJc w:val="left"/>
      <w:pPr>
        <w:ind w:left="2160" w:hanging="360"/>
      </w:pPr>
    </w:lvl>
    <w:lvl w:ilvl="3" w:tplc="1F74033C">
      <w:start w:val="1"/>
      <w:numFmt w:val="bullet"/>
      <w:lvlText w:val="●"/>
      <w:lvlJc w:val="left"/>
      <w:pPr>
        <w:ind w:left="2880" w:hanging="360"/>
      </w:pPr>
    </w:lvl>
    <w:lvl w:ilvl="4" w:tplc="5BDC6BEA">
      <w:start w:val="1"/>
      <w:numFmt w:val="bullet"/>
      <w:lvlText w:val="○"/>
      <w:lvlJc w:val="left"/>
      <w:pPr>
        <w:ind w:left="3600" w:hanging="360"/>
      </w:pPr>
    </w:lvl>
    <w:lvl w:ilvl="5" w:tplc="63427946">
      <w:start w:val="1"/>
      <w:numFmt w:val="bullet"/>
      <w:lvlText w:val="■"/>
      <w:lvlJc w:val="left"/>
      <w:pPr>
        <w:ind w:left="4320" w:hanging="360"/>
      </w:pPr>
    </w:lvl>
    <w:lvl w:ilvl="6" w:tplc="0F661E36">
      <w:start w:val="1"/>
      <w:numFmt w:val="bullet"/>
      <w:lvlText w:val="●"/>
      <w:lvlJc w:val="left"/>
      <w:pPr>
        <w:ind w:left="5040" w:hanging="360"/>
      </w:pPr>
    </w:lvl>
    <w:lvl w:ilvl="7" w:tplc="5596BEBA">
      <w:start w:val="1"/>
      <w:numFmt w:val="bullet"/>
      <w:lvlText w:val="●"/>
      <w:lvlJc w:val="left"/>
      <w:pPr>
        <w:ind w:left="5760" w:hanging="360"/>
      </w:pPr>
    </w:lvl>
    <w:lvl w:ilvl="8" w:tplc="747E820E">
      <w:start w:val="1"/>
      <w:numFmt w:val="bullet"/>
      <w:lvlText w:val="●"/>
      <w:lvlJc w:val="left"/>
      <w:pPr>
        <w:ind w:left="6480" w:hanging="360"/>
      </w:pPr>
    </w:lvl>
  </w:abstractNum>
  <w:num w:numId="1" w16cid:durableId="16618091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2CD"/>
    <w:rsid w:val="002022CD"/>
    <w:rsid w:val="00506E61"/>
    <w:rsid w:val="008372EF"/>
    <w:rsid w:val="0084031B"/>
    <w:rsid w:val="00E22A17"/>
    <w:rsid w:val="00F57CB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EB6B7"/>
  <w15:docId w15:val="{8AB7E0A2-D412-4466-9603-6570A47F3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06E61"/>
    <w:pPr>
      <w:tabs>
        <w:tab w:val="center" w:pos="4513"/>
        <w:tab w:val="right" w:pos="9026"/>
      </w:tabs>
    </w:pPr>
  </w:style>
  <w:style w:type="character" w:customStyle="1" w:styleId="HeaderChar">
    <w:name w:val="Header Char"/>
    <w:basedOn w:val="DefaultParagraphFont"/>
    <w:link w:val="Header"/>
    <w:uiPriority w:val="99"/>
    <w:rsid w:val="00506E61"/>
  </w:style>
  <w:style w:type="paragraph" w:styleId="Footer">
    <w:name w:val="footer"/>
    <w:basedOn w:val="Normal"/>
    <w:link w:val="FooterChar"/>
    <w:uiPriority w:val="99"/>
    <w:unhideWhenUsed/>
    <w:rsid w:val="00506E61"/>
    <w:pPr>
      <w:tabs>
        <w:tab w:val="center" w:pos="4513"/>
        <w:tab w:val="right" w:pos="9026"/>
      </w:tabs>
    </w:pPr>
  </w:style>
  <w:style w:type="character" w:customStyle="1" w:styleId="FooterChar">
    <w:name w:val="Footer Char"/>
    <w:basedOn w:val="DefaultParagraphFont"/>
    <w:link w:val="Footer"/>
    <w:uiPriority w:val="99"/>
    <w:rsid w:val="00506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1DD586C3C1D4E900F32054B159C17" ma:contentTypeVersion="26" ma:contentTypeDescription="Create a new document." ma:contentTypeScope="" ma:versionID="d6824156a1794f5786e227717aa7136a">
  <xsd:schema xmlns:xsd="http://www.w3.org/2001/XMLSchema" xmlns:xs="http://www.w3.org/2001/XMLSchema" xmlns:p="http://schemas.microsoft.com/office/2006/metadata/properties" xmlns:ns1="http://schemas.microsoft.com/sharepoint/v3" xmlns:ns2="07e3052f-dd80-493e-b073-5a9267ae3764" xmlns:ns3="0483de9d-17be-4fea-8983-d8f042caf2ff" targetNamespace="http://schemas.microsoft.com/office/2006/metadata/properties" ma:root="true" ma:fieldsID="097424cf2a0ce2eb3fa73ead4348c854" ns1:_="" ns2:_="" ns3:_="">
    <xsd:import namespace="http://schemas.microsoft.com/sharepoint/v3"/>
    <xsd:import namespace="07e3052f-dd80-493e-b073-5a9267ae3764"/>
    <xsd:import namespace="0483de9d-17be-4fea-8983-d8f042caf2ff"/>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lcf76f155ced4ddcb4097134ff3c332f1"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3052f-dd80-493e-b073-5a9267ae376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lcf76f155ced4ddcb4097134ff3c332f0" ma:index="14" nillable="true" ma:displayName="Image Tags_0" ma:hidden="true" ma:internalName="lcf76f155ced4ddcb4097134ff3c332f0" ma:readOnly="false">
      <xsd:simpleType>
        <xsd:restriction base="dms:Note"/>
      </xsd:simpleType>
    </xsd:element>
    <xsd:element name="lcf76f155ced4ddcb4097134ff3c332f1" ma:index="15" nillable="true" ma:displayName="Image Tags_0" ma:hidden="true" ma:internalName="lcf76f155ced4ddcb4097134ff3c332f1" ma:readOnly="false">
      <xsd:simpleType>
        <xsd:restriction base="dms:Not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1de680-0493-46ce-a329-1c3c79de96f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3de9d-17be-4fea-8983-d8f042caf2ff"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eb097ad-acef-429e-b202-e38ca9c68dac}" ma:internalName="TaxCatchAll" ma:showField="CatchAllData" ma:web="0483de9d-17be-4fea-8983-d8f042caf2ff">
      <xsd:complexType>
        <xsd:complexContent>
          <xsd:extension base="dms:MultiChoiceLookup">
            <xsd:sequence>
              <xsd:element name="Value" type="dms:Lookup" maxOccurs="unbounded" minOccurs="0" nillable="true"/>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07e3052f-dd80-493e-b073-5a9267ae3764" xsi:nil="true"/>
    <MigrationWizIdPermissionLevels xmlns="07e3052f-dd80-493e-b073-5a9267ae3764" xsi:nil="true"/>
    <_ip_UnifiedCompliancePolicyUIAction xmlns="http://schemas.microsoft.com/sharepoint/v3" xsi:nil="true"/>
    <lcf76f155ced4ddcb4097134ff3c332f1 xmlns="07e3052f-dd80-493e-b073-5a9267ae3764" xsi:nil="true"/>
    <lcf76f155ced4ddcb4097134ff3c332f0 xmlns="07e3052f-dd80-493e-b073-5a9267ae3764" xsi:nil="true"/>
    <MigrationWizIdSecurityGroups xmlns="07e3052f-dd80-493e-b073-5a9267ae3764" xsi:nil="true"/>
    <TaxCatchAll xmlns="0483de9d-17be-4fea-8983-d8f042caf2ff" xsi:nil="true"/>
    <MigrationWizIdVersion xmlns="07e3052f-dd80-493e-b073-5a9267ae3764" xsi:nil="true"/>
    <MigrationWizIdPermissions xmlns="07e3052f-dd80-493e-b073-5a9267ae3764" xsi:nil="true"/>
    <MigrationWizIdDocumentLibraryPermissions xmlns="07e3052f-dd80-493e-b073-5a9267ae3764" xsi:nil="true"/>
    <_ip_UnifiedCompliancePolicyProperties xmlns="http://schemas.microsoft.com/sharepoint/v3" xsi:nil="true"/>
    <lcf76f155ced4ddcb4097134ff3c332f xmlns="07e3052f-dd80-493e-b073-5a9267ae37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872CF8-DB17-473C-B940-C432244D665C}"/>
</file>

<file path=customXml/itemProps2.xml><?xml version="1.0" encoding="utf-8"?>
<ds:datastoreItem xmlns:ds="http://schemas.openxmlformats.org/officeDocument/2006/customXml" ds:itemID="{C24D1D92-9176-435C-AA30-58B54CD20867}"/>
</file>

<file path=customXml/itemProps3.xml><?xml version="1.0" encoding="utf-8"?>
<ds:datastoreItem xmlns:ds="http://schemas.openxmlformats.org/officeDocument/2006/customXml" ds:itemID="{96143B9A-E6F7-4AE9-9AB3-6F1CE4CBFDC6}"/>
</file>

<file path=docProps/app.xml><?xml version="1.0" encoding="utf-8"?>
<Properties xmlns="http://schemas.openxmlformats.org/officeDocument/2006/extended-properties" xmlns:vt="http://schemas.openxmlformats.org/officeDocument/2006/docPropsVTypes">
  <Template>Normal</Template>
  <TotalTime>27</TotalTime>
  <Pages>7</Pages>
  <Words>1617</Words>
  <Characters>9217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Sayan Banerjee</cp:lastModifiedBy>
  <cp:revision>2</cp:revision>
  <dcterms:created xsi:type="dcterms:W3CDTF">2026-08-14T15:12:00Z</dcterms:created>
  <dcterms:modified xsi:type="dcterms:W3CDTF">2026-08-17T05:51:00Z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0x0101008031DD586C3C1D4E900F32054B159C17</vt:lpwstr>
  </property>
</Properties>
</file>