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Inter" w:cs="Inter" w:hAnsi="Inter" w:eastAsia="Inter"/>
          <w:sz w:val="20"/>
          <w:szCs w:val="20"/>
        </w:rPr>
      </w:pPr>
      <w:r>
        <w:rPr>
          <w:rFonts w:ascii="Inter" w:cs="Inter" w:hAnsi="Inter" w:eastAsia="Inter"/>
          <w:sz w:val="20"/>
          <w:szCs w:val="20"/>
        </w:rPr>
        <w:drawing xmlns:a="http://schemas.openxmlformats.org/drawingml/2006/main">
          <wp:inline distT="0" distB="0" distL="0" distR="0">
            <wp:extent cx="1416520" cy="292814"/>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1416520" cy="292814"/>
                    </a:xfrm>
                    <a:prstGeom prst="rect">
                      <a:avLst/>
                    </a:prstGeom>
                    <a:ln w="12700" cap="flat">
                      <a:noFill/>
                      <a:miter lim="400000"/>
                    </a:ln>
                    <a:effectLst/>
                  </pic:spPr>
                </pic:pic>
              </a:graphicData>
            </a:graphic>
          </wp:inline>
        </w:drawing>
      </w:r>
    </w:p>
    <w:p>
      <w:pPr>
        <w:pStyle w:val="Body"/>
        <w:jc w:val="center"/>
        <w:rPr>
          <w:rFonts w:ascii="Inter" w:cs="Inter" w:hAnsi="Inter" w:eastAsia="Inter"/>
          <w:b w:val="1"/>
          <w:bCs w:val="1"/>
          <w:outline w:val="0"/>
          <w:color w:val="000000"/>
          <w:sz w:val="20"/>
          <w:szCs w:val="20"/>
          <w:u w:color="000000"/>
          <w14:textFill>
            <w14:solidFill>
              <w14:srgbClr w14:val="000000"/>
            </w14:solidFill>
          </w14:textFill>
        </w:rPr>
      </w:pPr>
    </w:p>
    <w:p>
      <w:pPr>
        <w:pStyle w:val="Body"/>
        <w:jc w:val="center"/>
        <w:rPr>
          <w:rFonts w:ascii="Inter" w:cs="Inter" w:hAnsi="Inter" w:eastAsia="Inter"/>
          <w:b w:val="1"/>
          <w:bCs w:val="1"/>
          <w:sz w:val="32"/>
          <w:szCs w:val="32"/>
        </w:rPr>
      </w:pPr>
      <w:bookmarkStart w:name="_headingh.y99ggj3w69rr" w:id="0"/>
      <w:bookmarkEnd w:id="0"/>
      <w:r>
        <w:rPr>
          <w:rFonts w:ascii="Inter" w:cs="Inter" w:hAnsi="Inter" w:eastAsia="Inter"/>
          <w:b w:val="1"/>
          <w:bCs w:val="1"/>
          <w:sz w:val="32"/>
          <w:szCs w:val="32"/>
          <w:rtl w:val="0"/>
          <w:lang w:val="de-DE"/>
        </w:rPr>
        <w:t>W</w:t>
      </w:r>
      <w:r>
        <w:rPr>
          <w:rFonts w:ascii="Inter" w:cs="Inter" w:hAnsi="Inter" w:eastAsia="Inter"/>
          <w:b w:val="1"/>
          <w:bCs w:val="1"/>
          <w:sz w:val="32"/>
          <w:szCs w:val="32"/>
          <w:rtl w:val="0"/>
          <w:lang w:val="en-US"/>
        </w:rPr>
        <w:t>orksheet: Map and Prioritize Places, Values, and Attributes</w:t>
      </w:r>
    </w:p>
    <w:p>
      <w:pPr>
        <w:pStyle w:val="Body"/>
        <w:jc w:val="center"/>
        <w:rPr>
          <w:rFonts w:ascii="Inter" w:cs="Inter" w:hAnsi="Inter" w:eastAsia="Inter"/>
          <w:sz w:val="20"/>
          <w:szCs w:val="20"/>
        </w:rPr>
      </w:pPr>
    </w:p>
    <w:p>
      <w:pPr>
        <w:pStyle w:val="Body"/>
        <w:jc w:val="both"/>
        <w:rPr>
          <w:rFonts w:ascii="Inter" w:cs="Inter" w:hAnsi="Inter" w:eastAsia="Inter"/>
          <w:sz w:val="20"/>
          <w:szCs w:val="20"/>
        </w:rPr>
      </w:pPr>
      <w:r>
        <w:rPr>
          <w:rFonts w:ascii="Inter" w:cs="Inter" w:hAnsi="Inter" w:eastAsia="Inter"/>
          <w:sz w:val="20"/>
          <w:szCs w:val="20"/>
          <w:rtl w:val="0"/>
          <w:lang w:val="en-US"/>
        </w:rPr>
        <w:t>Use this</w:t>
      </w:r>
      <w:r>
        <w:rPr>
          <w:rFonts w:ascii="Inter" w:cs="Inter" w:hAnsi="Inter" w:eastAsia="Inter"/>
          <w:b w:val="1"/>
          <w:bCs w:val="1"/>
          <w:sz w:val="20"/>
          <w:szCs w:val="20"/>
          <w:rtl w:val="0"/>
          <w:lang w:val="en-US"/>
        </w:rPr>
        <w:t xml:space="preserve"> first table</w:t>
      </w:r>
      <w:r>
        <w:rPr>
          <w:rFonts w:ascii="Inter" w:cs="Inter" w:hAnsi="Inter" w:eastAsia="Inter"/>
          <w:sz w:val="20"/>
          <w:szCs w:val="20"/>
          <w:rtl w:val="0"/>
          <w:lang w:val="en-US"/>
        </w:rPr>
        <w:t xml:space="preserve"> to identify key values already known for the heritage place. The broad value categories are provided as guidance; however, it is likely that other broad groupings will exist at many sites. </w:t>
      </w:r>
      <w:r>
        <w:rPr>
          <w:rFonts w:ascii="Inter" w:cs="Inter" w:hAnsi="Inter" w:eastAsia="Inter"/>
          <w:b w:val="1"/>
          <w:bCs w:val="1"/>
          <w:sz w:val="20"/>
          <w:szCs w:val="20"/>
          <w:rtl w:val="0"/>
          <w:lang w:val="en-US"/>
        </w:rPr>
        <w:t xml:space="preserve">We encourage you to use your language if more appropriate than English in describing your values.  </w:t>
      </w:r>
      <w:r>
        <w:rPr>
          <w:rFonts w:ascii="Inter" w:cs="Inter" w:hAnsi="Inter" w:eastAsia="Inter"/>
          <w:sz w:val="20"/>
          <w:szCs w:val="20"/>
          <w:rtl w:val="0"/>
          <w:lang w:val="en-US"/>
        </w:rPr>
        <w:t xml:space="preserve">For explanations of broad value categories look at </w:t>
      </w:r>
      <w:r>
        <w:rPr>
          <w:rFonts w:ascii="Inter" w:cs="Inter" w:hAnsi="Inter" w:eastAsia="Inter"/>
          <w:b w:val="1"/>
          <w:bCs w:val="1"/>
          <w:sz w:val="20"/>
          <w:szCs w:val="20"/>
          <w:rtl w:val="0"/>
          <w:lang w:val="da-DK"/>
        </w:rPr>
        <w:t>Appendix 1</w:t>
      </w:r>
      <w:r>
        <w:rPr>
          <w:rFonts w:ascii="Inter" w:cs="Inter" w:hAnsi="Inter" w:eastAsia="Inter"/>
          <w:sz w:val="20"/>
          <w:szCs w:val="20"/>
          <w:rtl w:val="0"/>
        </w:rPr>
        <w:t>.</w:t>
      </w:r>
    </w:p>
    <w:p>
      <w:pPr>
        <w:pStyle w:val="Body"/>
        <w:jc w:val="both"/>
        <w:rPr>
          <w:rFonts w:ascii="Inter" w:cs="Inter" w:hAnsi="Inter" w:eastAsia="Inter"/>
          <w:sz w:val="20"/>
          <w:szCs w:val="20"/>
          <w:shd w:val="clear" w:color="auto" w:fill="ffff00"/>
        </w:rPr>
      </w:pPr>
    </w:p>
    <w:p>
      <w:pPr>
        <w:pStyle w:val="Body"/>
        <w:jc w:val="both"/>
        <w:rPr>
          <w:rFonts w:ascii="Inter" w:cs="Inter" w:hAnsi="Inter" w:eastAsia="Inter"/>
          <w:b w:val="1"/>
          <w:bCs w:val="1"/>
          <w:sz w:val="20"/>
          <w:szCs w:val="20"/>
          <w:shd w:val="clear" w:color="auto" w:fill="ffff00"/>
        </w:rPr>
      </w:pPr>
      <w:r>
        <w:rPr>
          <w:rFonts w:ascii="Inter" w:cs="Inter" w:hAnsi="Inter" w:eastAsia="Inter"/>
          <w:b w:val="1"/>
          <w:bCs w:val="1"/>
          <w:sz w:val="20"/>
          <w:szCs w:val="20"/>
          <w:shd w:val="clear" w:color="auto" w:fill="ffff00"/>
          <w:rtl w:val="0"/>
          <w:lang w:val="en-US"/>
        </w:rPr>
        <w:t>If you have done Stage A of Heritage Adapts you should have already completed</w:t>
      </w:r>
      <w:r>
        <w:rPr>
          <w:rFonts w:ascii="Inter" w:cs="Inter" w:hAnsi="Inter" w:eastAsia="Inter"/>
          <w:b w:val="1"/>
          <w:bCs w:val="1"/>
          <w:sz w:val="20"/>
          <w:szCs w:val="20"/>
          <w:u w:val="single"/>
          <w:shd w:val="clear" w:color="auto" w:fill="ffff00"/>
          <w:rtl w:val="0"/>
          <w:lang w:val="en-US"/>
        </w:rPr>
        <w:t xml:space="preserve"> part one</w:t>
      </w:r>
      <w:r>
        <w:rPr>
          <w:rFonts w:ascii="Inter" w:cs="Inter" w:hAnsi="Inter" w:eastAsia="Inter"/>
          <w:b w:val="1"/>
          <w:bCs w:val="1"/>
          <w:sz w:val="20"/>
          <w:szCs w:val="20"/>
          <w:shd w:val="clear" w:color="auto" w:fill="ffff00"/>
          <w:rtl w:val="0"/>
          <w:lang w:val="en-US"/>
        </w:rPr>
        <w:t xml:space="preserve"> and </w:t>
      </w:r>
      <w:r>
        <w:rPr>
          <w:rFonts w:ascii="Inter" w:cs="Inter" w:hAnsi="Inter" w:eastAsia="Inter"/>
          <w:b w:val="1"/>
          <w:bCs w:val="1"/>
          <w:sz w:val="20"/>
          <w:szCs w:val="20"/>
          <w:u w:val="single"/>
          <w:shd w:val="clear" w:color="auto" w:fill="ffff00"/>
          <w:rtl w:val="0"/>
          <w:lang w:val="en-US"/>
        </w:rPr>
        <w:t>part two</w:t>
      </w:r>
      <w:r>
        <w:rPr>
          <w:rFonts w:ascii="Inter" w:cs="Inter" w:hAnsi="Inter" w:eastAsia="Inter"/>
          <w:b w:val="1"/>
          <w:bCs w:val="1"/>
          <w:sz w:val="20"/>
          <w:szCs w:val="20"/>
          <w:shd w:val="clear" w:color="auto" w:fill="ffff00"/>
          <w:rtl w:val="0"/>
          <w:lang w:val="en-US"/>
        </w:rPr>
        <w:t xml:space="preserve"> - therefore move onto </w:t>
      </w:r>
      <w:r>
        <w:rPr>
          <w:rFonts w:ascii="Inter" w:cs="Inter" w:hAnsi="Inter" w:eastAsia="Inter"/>
          <w:b w:val="1"/>
          <w:bCs w:val="1"/>
          <w:i w:val="1"/>
          <w:iCs w:val="1"/>
          <w:sz w:val="20"/>
          <w:szCs w:val="20"/>
          <w:shd w:val="clear" w:color="auto" w:fill="ffff00"/>
          <w:rtl w:val="0"/>
          <w:lang w:val="en-US"/>
        </w:rPr>
        <w:t>part three</w:t>
      </w:r>
      <w:r>
        <w:rPr>
          <w:rFonts w:ascii="Inter" w:cs="Inter" w:hAnsi="Inter" w:eastAsia="Inter"/>
          <w:b w:val="1"/>
          <w:bCs w:val="1"/>
          <w:sz w:val="20"/>
          <w:szCs w:val="20"/>
          <w:shd w:val="clear" w:color="auto" w:fill="ffff00"/>
          <w:rtl w:val="0"/>
          <w:lang w:val="en-US"/>
        </w:rPr>
        <w:t xml:space="preserve"> - the Prioritisation section</w:t>
      </w:r>
    </w:p>
    <w:p>
      <w:pPr>
        <w:pStyle w:val="Body"/>
        <w:jc w:val="both"/>
        <w:rPr>
          <w:rFonts w:ascii="Inter" w:cs="Inter" w:hAnsi="Inter" w:eastAsia="Inter"/>
          <w:sz w:val="20"/>
          <w:szCs w:val="20"/>
        </w:rPr>
      </w:pPr>
    </w:p>
    <w:p>
      <w:pPr>
        <w:pStyle w:val="Body"/>
        <w:jc w:val="both"/>
      </w:pPr>
      <w:r>
        <w:rPr>
          <w:rFonts w:ascii="Inter" w:cs="Inter" w:hAnsi="Inter" w:eastAsia="Inter"/>
          <w:b w:val="1"/>
          <w:bCs w:val="1"/>
          <w:sz w:val="24"/>
          <w:szCs w:val="24"/>
          <w:rtl w:val="0"/>
          <w:lang w:val="en-US"/>
        </w:rPr>
        <w:t>Part One - Understanding Values and Attributes</w:t>
      </w:r>
    </w:p>
    <w:tbl>
      <w:tblPr>
        <w:tblW w:w="1291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09"/>
        <w:gridCol w:w="4252"/>
        <w:gridCol w:w="5557"/>
      </w:tblGrid>
      <w:tr>
        <w:tblPrEx>
          <w:shd w:val="clear" w:color="auto" w:fill="ced7e7"/>
        </w:tblPrEx>
        <w:trPr>
          <w:trHeight w:val="464"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top"/>
          </w:tcPr>
          <w:p>
            <w:pPr>
              <w:pStyle w:val="Body"/>
              <w:widowControl w:val="0"/>
              <w:spacing w:line="240" w:lineRule="auto"/>
            </w:pPr>
            <w:r>
              <w:rPr>
                <w:rFonts w:ascii="Inter" w:cs="Inter" w:hAnsi="Inter" w:eastAsia="Inter"/>
                <w:b w:val="1"/>
                <w:bCs w:val="1"/>
                <w:sz w:val="20"/>
                <w:szCs w:val="20"/>
                <w:shd w:val="nil" w:color="auto" w:fill="auto"/>
                <w:rtl w:val="0"/>
                <w:lang w:val="en-US"/>
              </w:rPr>
              <w:t>Broad Value Category</w:t>
            </w: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top"/>
          </w:tcPr>
          <w:p>
            <w:pPr>
              <w:pStyle w:val="Body"/>
              <w:widowControl w:val="0"/>
              <w:spacing w:line="240" w:lineRule="auto"/>
            </w:pPr>
            <w:r>
              <w:rPr>
                <w:rFonts w:ascii="Inter" w:cs="Inter" w:hAnsi="Inter" w:eastAsia="Inter"/>
                <w:b w:val="1"/>
                <w:bCs w:val="1"/>
                <w:sz w:val="20"/>
                <w:szCs w:val="20"/>
                <w:shd w:val="nil" w:color="auto" w:fill="auto"/>
                <w:rtl w:val="0"/>
                <w:lang w:val="en-US"/>
              </w:rPr>
              <w:t>Attribute (What is important?)</w:t>
            </w: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top"/>
          </w:tcPr>
          <w:p>
            <w:pPr>
              <w:pStyle w:val="Body"/>
              <w:widowControl w:val="0"/>
              <w:spacing w:line="240" w:lineRule="auto"/>
            </w:pPr>
            <w:r>
              <w:rPr>
                <w:rFonts w:ascii="Inter" w:cs="Inter" w:hAnsi="Inter" w:eastAsia="Inter"/>
                <w:b w:val="1"/>
                <w:bCs w:val="1"/>
                <w:sz w:val="20"/>
                <w:szCs w:val="20"/>
                <w:shd w:val="nil" w:color="auto" w:fill="auto"/>
                <w:rtl w:val="0"/>
                <w:lang w:val="en-US"/>
              </w:rPr>
              <w:t>Value (Why is it important?)</w:t>
            </w:r>
          </w:p>
        </w:tc>
      </w:tr>
      <w:tr>
        <w:tblPrEx>
          <w:shd w:val="clear" w:color="auto" w:fill="ced7e7"/>
        </w:tblPrEx>
        <w:trPr>
          <w:trHeight w:val="14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fe2f3"/>
            <w:tcMar>
              <w:top w:type="dxa" w:w="80"/>
              <w:left w:type="dxa" w:w="80"/>
              <w:bottom w:type="dxa" w:w="80"/>
              <w:right w:type="dxa" w:w="80"/>
            </w:tcMar>
            <w:vAlign w:val="top"/>
          </w:tcPr>
          <w:p>
            <w:pPr>
              <w:pStyle w:val="Body"/>
              <w:widowControl w:val="0"/>
              <w:spacing w:line="240" w:lineRule="auto"/>
              <w:rPr>
                <w:rFonts w:ascii="Inter" w:cs="Inter" w:hAnsi="Inter" w:eastAsia="Inter"/>
                <w:sz w:val="20"/>
                <w:szCs w:val="20"/>
                <w:shd w:val="nil" w:color="auto" w:fill="auto"/>
              </w:rPr>
            </w:pPr>
            <w:r>
              <w:rPr>
                <w:rFonts w:ascii="Inter" w:cs="Inter" w:hAnsi="Inter" w:eastAsia="Inter"/>
                <w:sz w:val="20"/>
                <w:szCs w:val="20"/>
                <w:shd w:val="nil" w:color="auto" w:fill="auto"/>
                <w:rtl w:val="0"/>
                <w:lang w:val="en-US"/>
              </w:rPr>
              <w:t>EXAMPLE: Koutammakou</w:t>
            </w:r>
          </w:p>
          <w:p>
            <w:pPr>
              <w:pStyle w:val="Body"/>
              <w:widowControl w:val="0"/>
              <w:spacing w:line="240" w:lineRule="auto"/>
              <w:rPr>
                <w:rFonts w:ascii="Inter" w:cs="Inter" w:hAnsi="Inter" w:eastAsia="Inter"/>
                <w:sz w:val="20"/>
                <w:szCs w:val="20"/>
                <w:shd w:val="nil" w:color="auto" w:fill="auto"/>
                <w:lang w:val="en-US"/>
              </w:rPr>
            </w:pPr>
          </w:p>
          <w:p>
            <w:pPr>
              <w:pStyle w:val="Body"/>
              <w:widowControl w:val="0"/>
              <w:bidi w:val="0"/>
              <w:spacing w:line="240" w:lineRule="auto"/>
              <w:ind w:left="0" w:right="0" w:firstLine="0"/>
              <w:jc w:val="left"/>
              <w:rPr>
                <w:rtl w:val="0"/>
              </w:rPr>
            </w:pPr>
            <w:r>
              <w:rPr>
                <w:rFonts w:ascii="Inter" w:cs="Inter" w:hAnsi="Inter" w:eastAsia="Inter"/>
                <w:sz w:val="20"/>
                <w:szCs w:val="20"/>
                <w:shd w:val="nil" w:color="auto" w:fill="auto"/>
                <w:rtl w:val="0"/>
                <w:lang w:val="en-US"/>
              </w:rPr>
              <w:t>Ecological and Cultural</w:t>
            </w: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fe2f3"/>
            <w:tcMar>
              <w:top w:type="dxa" w:w="80"/>
              <w:left w:type="dxa" w:w="80"/>
              <w:bottom w:type="dxa" w:w="80"/>
              <w:right w:type="dxa" w:w="80"/>
            </w:tcMar>
            <w:vAlign w:val="top"/>
          </w:tcPr>
          <w:p>
            <w:pPr>
              <w:pStyle w:val="Body"/>
              <w:widowControl w:val="0"/>
              <w:spacing w:line="240" w:lineRule="auto"/>
            </w:pPr>
            <w:r>
              <w:rPr>
                <w:rFonts w:ascii="Inter" w:cs="Inter" w:hAnsi="Inter" w:eastAsia="Inter"/>
                <w:sz w:val="20"/>
                <w:szCs w:val="20"/>
                <w:shd w:val="nil" w:color="auto" w:fill="auto"/>
                <w:rtl w:val="0"/>
                <w:lang w:val="en-US"/>
              </w:rPr>
              <w:t>Sacred groves, forests, sanctuaries, cemeteries, ritual, initiation and funeral practices, dances and songs.</w:t>
            </w: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fe2f3"/>
            <w:tcMar>
              <w:top w:type="dxa" w:w="80"/>
              <w:left w:type="dxa" w:w="80"/>
              <w:bottom w:type="dxa" w:w="80"/>
              <w:right w:type="dxa" w:w="80"/>
            </w:tcMar>
            <w:vAlign w:val="top"/>
          </w:tcPr>
          <w:p>
            <w:pPr>
              <w:pStyle w:val="Body"/>
              <w:widowControl w:val="0"/>
              <w:spacing w:line="240" w:lineRule="auto"/>
            </w:pPr>
            <w:r>
              <w:rPr>
                <w:rFonts w:ascii="Inter" w:cs="Inter" w:hAnsi="Inter" w:eastAsia="Inter"/>
                <w:sz w:val="20"/>
                <w:szCs w:val="20"/>
                <w:shd w:val="nil" w:color="auto" w:fill="auto"/>
                <w:rtl w:val="0"/>
                <w:lang w:val="en-US"/>
              </w:rPr>
              <w:t xml:space="preserve">The sacred groves and forests are </w:t>
            </w:r>
            <w:r>
              <w:rPr>
                <w:rFonts w:ascii="Inter" w:cs="Inter" w:hAnsi="Inter" w:eastAsia="Inter"/>
                <w:b w:val="1"/>
                <w:bCs w:val="1"/>
                <w:sz w:val="20"/>
                <w:szCs w:val="20"/>
                <w:shd w:val="nil" w:color="auto" w:fill="auto"/>
                <w:rtl w:val="0"/>
                <w:lang w:val="en-US"/>
              </w:rPr>
              <w:t>reservoirs for flora and fauna</w:t>
            </w:r>
            <w:r>
              <w:rPr>
                <w:rFonts w:ascii="Inter" w:cs="Inter" w:hAnsi="Inter" w:eastAsia="Inter"/>
                <w:sz w:val="20"/>
                <w:szCs w:val="20"/>
                <w:shd w:val="nil" w:color="auto" w:fill="auto"/>
                <w:rtl w:val="0"/>
                <w:lang w:val="en-US"/>
              </w:rPr>
              <w:t xml:space="preserve"> and contribute to the </w:t>
            </w:r>
            <w:r>
              <w:rPr>
                <w:rFonts w:ascii="Inter" w:cs="Inter" w:hAnsi="Inter" w:eastAsia="Inter"/>
                <w:b w:val="1"/>
                <w:bCs w:val="1"/>
                <w:sz w:val="20"/>
                <w:szCs w:val="20"/>
                <w:shd w:val="nil" w:color="auto" w:fill="auto"/>
                <w:rtl w:val="0"/>
                <w:lang w:val="en-US"/>
              </w:rPr>
              <w:t>balance of the ecosystem.</w:t>
            </w:r>
            <w:r>
              <w:rPr>
                <w:rFonts w:ascii="Inter" w:cs="Inter" w:hAnsi="Inter" w:eastAsia="Inter"/>
                <w:sz w:val="20"/>
                <w:szCs w:val="20"/>
                <w:shd w:val="nil" w:color="auto" w:fill="auto"/>
                <w:rtl w:val="0"/>
                <w:lang w:val="en-US"/>
              </w:rPr>
              <w:t xml:space="preserve"> The Takienta would not </w:t>
            </w:r>
            <w:r>
              <w:rPr>
                <w:rFonts w:ascii="Inter" w:cs="Inter" w:hAnsi="Inter" w:eastAsia="Inter"/>
                <w:b w:val="1"/>
                <w:bCs w:val="1"/>
                <w:sz w:val="20"/>
                <w:szCs w:val="20"/>
                <w:shd w:val="nil" w:color="auto" w:fill="auto"/>
                <w:rtl w:val="0"/>
                <w:lang w:val="en-US"/>
              </w:rPr>
              <w:t>exist without the sacred groves, forests and sanctuary</w:t>
            </w:r>
            <w:r>
              <w:rPr>
                <w:rFonts w:ascii="Inter" w:cs="Inter" w:hAnsi="Inter" w:eastAsia="Inter"/>
                <w:sz w:val="20"/>
                <w:szCs w:val="20"/>
                <w:shd w:val="nil" w:color="auto" w:fill="auto"/>
                <w:rtl w:val="0"/>
                <w:lang w:val="en-US"/>
              </w:rPr>
              <w:t xml:space="preserve">. These are the </w:t>
            </w:r>
            <w:r>
              <w:rPr>
                <w:rFonts w:ascii="Inter" w:cs="Inter" w:hAnsi="Inter" w:eastAsia="Inter"/>
                <w:b w:val="1"/>
                <w:bCs w:val="1"/>
                <w:sz w:val="20"/>
                <w:szCs w:val="20"/>
                <w:shd w:val="nil" w:color="auto" w:fill="auto"/>
                <w:rtl w:val="0"/>
                <w:lang w:val="en-US"/>
              </w:rPr>
              <w:t>places where rituals, initiations, funerals, dances and songs are performed.</w:t>
            </w: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0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Fonts w:ascii="Inter" w:cs="Inter" w:hAnsi="Inter" w:eastAsia="Inter"/>
                <w:sz w:val="20"/>
                <w:szCs w:val="20"/>
                <w:shd w:val="nil" w:color="auto" w:fill="auto"/>
                <w:lang w:val="en-US"/>
              </w:rPr>
            </w: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Inter" w:cs="Inter" w:hAnsi="Inter" w:eastAsia="Inter"/>
          <w:sz w:val="20"/>
          <w:szCs w:val="20"/>
        </w:rPr>
      </w:pPr>
    </w:p>
    <w:p>
      <w:pPr>
        <w:pStyle w:val="Body"/>
        <w:rPr>
          <w:rFonts w:ascii="Inter" w:cs="Inter" w:hAnsi="Inter" w:eastAsia="Inter"/>
          <w:sz w:val="20"/>
          <w:szCs w:val="20"/>
        </w:rPr>
      </w:pPr>
    </w:p>
    <w:p>
      <w:pPr>
        <w:pStyle w:val="Body"/>
        <w:rPr>
          <w:rFonts w:ascii="Inter" w:cs="Inter" w:hAnsi="Inter" w:eastAsia="Inter"/>
          <w:sz w:val="20"/>
          <w:szCs w:val="20"/>
        </w:rPr>
      </w:pPr>
    </w:p>
    <w:p>
      <w:pPr>
        <w:pStyle w:val="Body"/>
        <w:jc w:val="both"/>
        <w:rPr>
          <w:rFonts w:ascii="Inter" w:cs="Inter" w:hAnsi="Inter" w:eastAsia="Inter"/>
          <w:b w:val="1"/>
          <w:bCs w:val="1"/>
          <w:sz w:val="20"/>
          <w:szCs w:val="20"/>
        </w:rPr>
      </w:pPr>
      <w:r>
        <w:rPr>
          <w:rFonts w:ascii="Inter" w:cs="Inter" w:hAnsi="Inter" w:eastAsia="Inter"/>
          <w:b w:val="1"/>
          <w:bCs w:val="1"/>
          <w:sz w:val="20"/>
          <w:szCs w:val="20"/>
          <w:rtl w:val="0"/>
          <w:lang w:val="en-US"/>
        </w:rPr>
        <w:t>This table is compiled from a range of sources including:</w:t>
      </w:r>
    </w:p>
    <w:p>
      <w:pPr>
        <w:pStyle w:val="Body"/>
        <w:jc w:val="both"/>
        <w:rPr>
          <w:rFonts w:ascii="Inter" w:cs="Inter" w:hAnsi="Inter" w:eastAsia="Inter"/>
          <w:sz w:val="20"/>
          <w:szCs w:val="20"/>
        </w:rPr>
      </w:pPr>
    </w:p>
    <w:p>
      <w:pPr>
        <w:pStyle w:val="Body"/>
        <w:ind w:left="426" w:hanging="426"/>
        <w:jc w:val="both"/>
        <w:rPr>
          <w:rStyle w:val="None"/>
          <w:rFonts w:ascii="Inter" w:cs="Inter" w:hAnsi="Inter" w:eastAsia="Inter"/>
          <w:sz w:val="20"/>
          <w:szCs w:val="20"/>
        </w:rPr>
      </w:pPr>
      <w:r>
        <w:rPr>
          <w:rFonts w:ascii="Inter" w:cs="Inter" w:hAnsi="Inter" w:eastAsia="Inter"/>
          <w:sz w:val="20"/>
          <w:szCs w:val="20"/>
          <w:rtl w:val="0"/>
          <w:lang w:val="en-US"/>
        </w:rPr>
        <w:t xml:space="preserve"> Court, Sarah, Jo, Eugene, Mackay, Richard, Murai, Mizuki and Therivel, Riki (2022) Guidance and toolkit for impact assessments in a World Heritage Context. Manual. UNESCO, ICCROM, ICOMOS and IUCN, Paris, France; Rome, Italy; Charenton-le-Pont, France; Gland, Switzerland. </w:t>
      </w:r>
      <w:r>
        <w:rPr>
          <w:rStyle w:val="Hyperlink.0"/>
        </w:rPr>
        <w:fldChar w:fldCharType="begin" w:fldLock="0"/>
      </w:r>
      <w:r>
        <w:rPr>
          <w:rStyle w:val="Hyperlink.0"/>
        </w:rPr>
        <w:instrText xml:space="preserve"> HYPERLINK "https://openarchive.icomos.org/id/eprint/2707/"</w:instrText>
      </w:r>
      <w:r>
        <w:rPr>
          <w:rStyle w:val="Hyperlink.0"/>
        </w:rPr>
        <w:fldChar w:fldCharType="separate" w:fldLock="0"/>
      </w:r>
      <w:r>
        <w:rPr>
          <w:rStyle w:val="Hyperlink.0"/>
          <w:rtl w:val="0"/>
          <w:lang w:val="it-IT"/>
        </w:rPr>
        <w:t>https://openarchive.icomos.org/id/eprint/2707/</w:t>
      </w:r>
      <w:r>
        <w:rPr/>
        <w:fldChar w:fldCharType="end" w:fldLock="0"/>
      </w:r>
      <w:r>
        <w:rPr>
          <w:rStyle w:val="None"/>
          <w:rFonts w:ascii="Inter" w:cs="Inter" w:hAnsi="Inter" w:eastAsia="Inter"/>
          <w:sz w:val="20"/>
          <w:szCs w:val="20"/>
          <w:rtl w:val="0"/>
        </w:rPr>
        <w:t xml:space="preserve"> </w:t>
      </w:r>
    </w:p>
    <w:p>
      <w:pPr>
        <w:pStyle w:val="Body"/>
        <w:ind w:left="426" w:hanging="426"/>
        <w:jc w:val="both"/>
        <w:rPr>
          <w:rStyle w:val="None"/>
          <w:rFonts w:ascii="Inter" w:cs="Inter" w:hAnsi="Inter" w:eastAsia="Inter"/>
          <w:sz w:val="20"/>
          <w:szCs w:val="20"/>
        </w:rPr>
      </w:pPr>
      <w:r>
        <w:rPr>
          <w:rStyle w:val="None"/>
          <w:rFonts w:ascii="Inter" w:cs="Inter" w:hAnsi="Inter" w:eastAsia="Inter"/>
          <w:sz w:val="20"/>
          <w:szCs w:val="20"/>
          <w:rtl w:val="0"/>
          <w:lang w:val="en-US"/>
        </w:rPr>
        <w:t xml:space="preserve">Lin, B, Melbourne-Thomas, J, Hopkins, M, Hill, R, Sheppard, M, Meyers, J, Thomas, L, Visschers, L, Dunlop, M, McNeair, B, Syme, L, Grant, C, Pedrocchi, N, Oakley, P, Stevens, A, Rose, D, Rose, E, Gould, J, Locke, J, &amp; Maybanks, L. 2022, Climate change toolkit for World Heritage properties in Australia: handbook for property managers, Department of Climate Change, Energy, the Environment and Water, Canberra. </w:t>
      </w:r>
      <w:r>
        <w:rPr>
          <w:rStyle w:val="Hyperlink.0"/>
        </w:rPr>
        <w:fldChar w:fldCharType="begin" w:fldLock="0"/>
      </w:r>
      <w:r>
        <w:rPr>
          <w:rStyle w:val="Hyperlink.0"/>
        </w:rPr>
        <w:instrText xml:space="preserve"> HYPERLINK "https://www.dcceew.gov.au/parks-heritage/heritage/publications/climate-change-toolkit-world-properties"</w:instrText>
      </w:r>
      <w:r>
        <w:rPr>
          <w:rStyle w:val="Hyperlink.0"/>
        </w:rPr>
        <w:fldChar w:fldCharType="separate" w:fldLock="0"/>
      </w:r>
      <w:r>
        <w:rPr>
          <w:rStyle w:val="Hyperlink.0"/>
          <w:rtl w:val="0"/>
          <w:lang w:val="en-US"/>
        </w:rPr>
        <w:t>https://www.dcceew.gov.au/parks-heritage/heritage/publications/climate-change-toolkit-world-properties</w:t>
      </w:r>
      <w:r>
        <w:rPr/>
        <w:fldChar w:fldCharType="end" w:fldLock="0"/>
      </w:r>
      <w:r>
        <w:rPr>
          <w:rStyle w:val="None"/>
          <w:rFonts w:ascii="Inter" w:cs="Inter" w:hAnsi="Inter" w:eastAsia="Inter"/>
          <w:sz w:val="20"/>
          <w:szCs w:val="20"/>
          <w:rtl w:val="0"/>
        </w:rPr>
        <w:t xml:space="preserve"> </w:t>
      </w:r>
    </w:p>
    <w:p>
      <w:pPr>
        <w:pStyle w:val="Body"/>
        <w:ind w:left="426" w:hanging="426"/>
        <w:jc w:val="both"/>
        <w:rPr>
          <w:rStyle w:val="None"/>
          <w:rFonts w:ascii="Inter" w:cs="Inter" w:hAnsi="Inter" w:eastAsia="Inter"/>
          <w:sz w:val="20"/>
          <w:szCs w:val="20"/>
        </w:rPr>
      </w:pPr>
      <w:r>
        <w:rPr>
          <w:rStyle w:val="None"/>
          <w:rFonts w:ascii="Inter" w:cs="Inter" w:hAnsi="Inter" w:eastAsia="Inter"/>
          <w:sz w:val="20"/>
          <w:szCs w:val="20"/>
          <w:rtl w:val="0"/>
          <w:lang w:val="en-US"/>
        </w:rPr>
        <w:t xml:space="preserve">Heron, Scott F., Day, Jon D., Mbogelah, Mercy, Bugumba, Revocatus, Abraham, Evarest, Sadi, Mohamed Bakari, Noah, Pauline, Khamis, Mzee Said, Madenge, Stephen and Megarry, William (2022) Application of the Climate Vulnerability Index for the Ruins of Kilwa Kisiwani and the Ruins of Songo Mnara, Tanzania. Project Report. CVI Africa Project, Dar es Salaam, Tanzania. </w:t>
      </w:r>
      <w:r>
        <w:rPr>
          <w:rStyle w:val="Hyperlink.0"/>
        </w:rPr>
        <w:fldChar w:fldCharType="begin" w:fldLock="0"/>
      </w:r>
      <w:r>
        <w:rPr>
          <w:rStyle w:val="Hyperlink.0"/>
        </w:rPr>
        <w:instrText xml:space="preserve"> HYPERLINK "https://openarchive.icomos.org/id/eprint/2658/"</w:instrText>
      </w:r>
      <w:r>
        <w:rPr>
          <w:rStyle w:val="Hyperlink.0"/>
        </w:rPr>
        <w:fldChar w:fldCharType="separate" w:fldLock="0"/>
      </w:r>
      <w:r>
        <w:rPr>
          <w:rStyle w:val="Hyperlink.0"/>
          <w:rtl w:val="0"/>
          <w:lang w:val="it-IT"/>
        </w:rPr>
        <w:t>https://openarchive.icomos.org/id/eprint/2658/</w:t>
      </w:r>
      <w:r>
        <w:rPr/>
        <w:fldChar w:fldCharType="end" w:fldLock="0"/>
      </w:r>
      <w:r>
        <w:rPr>
          <w:rStyle w:val="None"/>
          <w:rFonts w:ascii="Inter" w:cs="Inter" w:hAnsi="Inter" w:eastAsia="Inter"/>
          <w:sz w:val="20"/>
          <w:szCs w:val="20"/>
          <w:rtl w:val="0"/>
        </w:rPr>
        <w:t xml:space="preserve">   </w:t>
      </w:r>
    </w:p>
    <w:p>
      <w:pPr>
        <w:pStyle w:val="Body"/>
        <w:ind w:left="1170" w:hanging="450"/>
        <w:jc w:val="both"/>
        <w:rPr>
          <w:rStyle w:val="None"/>
          <w:rFonts w:ascii="Inter" w:cs="Inter" w:hAnsi="Inter" w:eastAsia="Inter"/>
          <w:sz w:val="20"/>
          <w:szCs w:val="20"/>
        </w:rPr>
      </w:pPr>
    </w:p>
    <w:p>
      <w:pPr>
        <w:pStyle w:val="Body"/>
        <w:jc w:val="both"/>
        <w:rPr>
          <w:rStyle w:val="None"/>
        </w:rPr>
      </w:pPr>
    </w:p>
    <w:p>
      <w:pPr>
        <w:pStyle w:val="Body"/>
        <w:jc w:val="both"/>
        <w:rPr>
          <w:rStyle w:val="None"/>
        </w:rPr>
      </w:pPr>
    </w:p>
    <w:p>
      <w:pPr>
        <w:pStyle w:val="Body"/>
        <w:jc w:val="both"/>
        <w:rPr>
          <w:rStyle w:val="None"/>
        </w:rPr>
      </w:pPr>
    </w:p>
    <w:p>
      <w:pPr>
        <w:pStyle w:val="Body"/>
        <w:jc w:val="both"/>
        <w:rPr>
          <w:rStyle w:val="None"/>
        </w:rPr>
      </w:pPr>
    </w:p>
    <w:p>
      <w:pPr>
        <w:pStyle w:val="Body"/>
        <w:jc w:val="both"/>
        <w:rPr>
          <w:rStyle w:val="None"/>
        </w:rPr>
      </w:pPr>
    </w:p>
    <w:p>
      <w:pPr>
        <w:pStyle w:val="Body"/>
        <w:jc w:val="both"/>
        <w:rPr>
          <w:rStyle w:val="None"/>
        </w:rPr>
      </w:pPr>
    </w:p>
    <w:p>
      <w:pPr>
        <w:pStyle w:val="Body"/>
        <w:jc w:val="both"/>
        <w:rPr>
          <w:rStyle w:val="None"/>
        </w:rPr>
      </w:pPr>
    </w:p>
    <w:p>
      <w:pPr>
        <w:pStyle w:val="Body"/>
        <w:jc w:val="both"/>
        <w:rPr>
          <w:rStyle w:val="None"/>
          <w:rFonts w:ascii="Inter" w:cs="Inter" w:hAnsi="Inter" w:eastAsia="Inter"/>
          <w:sz w:val="20"/>
          <w:szCs w:val="20"/>
        </w:rPr>
      </w:pPr>
      <w:r>
        <w:rPr>
          <w:rStyle w:val="None"/>
          <w:rFonts w:ascii="Inter" w:cs="Inter" w:hAnsi="Inter" w:eastAsia="Inter"/>
          <w:b w:val="1"/>
          <w:bCs w:val="1"/>
          <w:sz w:val="24"/>
          <w:szCs w:val="24"/>
          <w:rtl w:val="0"/>
          <w:lang w:val="en-US"/>
        </w:rPr>
        <w:t>Part Two - Understanding their Relationship</w:t>
      </w:r>
    </w:p>
    <w:p>
      <w:pPr>
        <w:pStyle w:val="Body"/>
        <w:ind w:left="1170" w:hanging="450"/>
        <w:jc w:val="both"/>
        <w:rPr>
          <w:rStyle w:val="None"/>
          <w:rFonts w:ascii="Inter" w:cs="Inter" w:hAnsi="Inter" w:eastAsia="Inter"/>
          <w:sz w:val="20"/>
          <w:szCs w:val="20"/>
        </w:rPr>
      </w:pPr>
    </w:p>
    <w:p>
      <w:pPr>
        <w:pStyle w:val="Body"/>
        <w:jc w:val="both"/>
        <w:rPr>
          <w:rStyle w:val="None"/>
          <w:rFonts w:ascii="Inter" w:cs="Inter" w:hAnsi="Inter" w:eastAsia="Inter"/>
          <w:sz w:val="20"/>
          <w:szCs w:val="20"/>
        </w:rPr>
      </w:pPr>
      <w:r>
        <w:rPr>
          <w:rStyle w:val="None"/>
          <w:rFonts w:ascii="Inter" w:cs="Inter" w:hAnsi="Inter" w:eastAsia="Inter"/>
          <w:sz w:val="20"/>
          <w:szCs w:val="20"/>
          <w:rtl w:val="0"/>
          <w:lang w:val="en-US"/>
        </w:rPr>
        <w:t xml:space="preserve">Now that you have mapped your values and attributes, it is important to consider the relationship they have with one another - whether there are multiple attributes to a single value, or attribute with multiple values. Refer to </w:t>
      </w:r>
      <w:r>
        <w:rPr>
          <w:rStyle w:val="None"/>
          <w:rFonts w:ascii="Inter" w:cs="Inter" w:hAnsi="Inter" w:eastAsia="Inter"/>
          <w:b w:val="1"/>
          <w:bCs w:val="1"/>
          <w:sz w:val="20"/>
          <w:szCs w:val="20"/>
          <w:rtl w:val="0"/>
          <w:lang w:val="da-DK"/>
        </w:rPr>
        <w:t xml:space="preserve">Appendix 2 </w:t>
      </w:r>
      <w:r>
        <w:rPr>
          <w:rStyle w:val="None"/>
          <w:rFonts w:ascii="Inter" w:cs="Inter" w:hAnsi="Inter" w:eastAsia="Inter"/>
          <w:sz w:val="20"/>
          <w:szCs w:val="20"/>
          <w:rtl w:val="0"/>
          <w:lang w:val="en-US"/>
        </w:rPr>
        <w:t>for examples.</w:t>
      </w:r>
    </w:p>
    <w:p>
      <w:pPr>
        <w:pStyle w:val="Body"/>
        <w:jc w:val="both"/>
        <w:rPr>
          <w:rStyle w:val="None"/>
          <w:rFonts w:ascii="Inter" w:cs="Inter" w:hAnsi="Inter" w:eastAsia="Inter"/>
          <w:sz w:val="20"/>
          <w:szCs w:val="20"/>
        </w:rPr>
      </w:pPr>
    </w:p>
    <w:p>
      <w:pPr>
        <w:pStyle w:val="Body"/>
        <w:jc w:val="center"/>
        <w:rPr>
          <w:rStyle w:val="None"/>
          <w:rFonts w:ascii="Inter" w:cs="Inter" w:hAnsi="Inter" w:eastAsia="Inter"/>
        </w:rPr>
      </w:pPr>
    </w:p>
    <w:tbl>
      <w:tblPr>
        <w:tblW w:w="129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47"/>
        <w:gridCol w:w="2977"/>
        <w:gridCol w:w="7426"/>
      </w:tblGrid>
      <w:tr>
        <w:tblPrEx>
          <w:shd w:val="clear" w:color="auto" w:fill="ced7e7"/>
        </w:tblPrEx>
        <w:trPr>
          <w:trHeight w:val="270"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rFonts w:ascii="Inter" w:cs="Inter" w:hAnsi="Inter" w:eastAsia="Inter"/>
                <w:b w:val="1"/>
                <w:bCs w:val="1"/>
                <w:shd w:val="nil" w:color="auto" w:fill="auto"/>
                <w:rtl w:val="0"/>
                <w:lang w:val="en-US"/>
              </w:rPr>
              <w:t>Associated Value(s)</w:t>
            </w:r>
          </w:p>
        </w:tc>
        <w:tc>
          <w:tcPr>
            <w:tcW w:type="dxa" w:w="2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pPr>
            <w:r>
              <w:rPr>
                <w:rStyle w:val="None"/>
                <w:rFonts w:ascii="Inter" w:cs="Inter" w:hAnsi="Inter" w:eastAsia="Inter"/>
                <w:b w:val="1"/>
                <w:bCs w:val="1"/>
                <w:shd w:val="nil" w:color="auto" w:fill="auto"/>
                <w:rtl w:val="0"/>
                <w:lang w:val="en-US"/>
              </w:rPr>
              <w:t>Associated Attribute(s)</w:t>
            </w:r>
          </w:p>
        </w:tc>
        <w:tc>
          <w:tcPr>
            <w:tcW w:type="dxa" w:w="7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pPr>
            <w:r>
              <w:rPr>
                <w:rStyle w:val="None"/>
                <w:rFonts w:ascii="Inter" w:cs="Inter" w:hAnsi="Inter" w:eastAsia="Inter"/>
                <w:b w:val="1"/>
                <w:bCs w:val="1"/>
                <w:shd w:val="nil" w:color="auto" w:fill="auto"/>
                <w:rtl w:val="0"/>
                <w:lang w:val="en-US"/>
              </w:rPr>
              <w:t>Relationship</w:t>
            </w:r>
          </w:p>
        </w:tc>
      </w:tr>
      <w:tr>
        <w:tblPrEx>
          <w:shd w:val="clear" w:color="auto" w:fill="ced7e7"/>
        </w:tblPrEx>
        <w:trPr>
          <w:trHeight w:val="6165" w:hRule="atLeast"/>
        </w:trPr>
        <w:tc>
          <w:tcPr>
            <w:tcW w:type="dxa" w:w="25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Style w:val="None"/>
          <w:rFonts w:ascii="Inter" w:cs="Inter" w:hAnsi="Inter" w:eastAsia="Inter"/>
        </w:rPr>
      </w:pPr>
    </w:p>
    <w:p>
      <w:pPr>
        <w:pStyle w:val="Body"/>
        <w:rPr>
          <w:rStyle w:val="None"/>
          <w:rFonts w:ascii="Inter" w:cs="Inter" w:hAnsi="Inter" w:eastAsia="Inter"/>
          <w:sz w:val="20"/>
          <w:szCs w:val="20"/>
        </w:rPr>
      </w:pPr>
    </w:p>
    <w:p>
      <w:pPr>
        <w:pStyle w:val="Body"/>
        <w:jc w:val="both"/>
        <w:rPr>
          <w:rStyle w:val="None"/>
          <w:rFonts w:ascii="Inter" w:cs="Inter" w:hAnsi="Inter" w:eastAsia="Inter"/>
          <w:sz w:val="20"/>
          <w:szCs w:val="20"/>
        </w:rPr>
      </w:pPr>
    </w:p>
    <w:p>
      <w:pPr>
        <w:pStyle w:val="Body"/>
        <w:ind w:left="1170" w:hanging="450"/>
        <w:jc w:val="both"/>
        <w:rPr>
          <w:rStyle w:val="None"/>
          <w:rFonts w:ascii="Inter" w:cs="Inter" w:hAnsi="Inter" w:eastAsia="Inter"/>
          <w:sz w:val="20"/>
          <w:szCs w:val="20"/>
        </w:rPr>
      </w:pPr>
    </w:p>
    <w:p>
      <w:pPr>
        <w:pStyle w:val="Body"/>
        <w:rPr>
          <w:rStyle w:val="None"/>
          <w:rFonts w:ascii="Inter" w:cs="Inter" w:hAnsi="Inter" w:eastAsia="Inter"/>
          <w:b w:val="1"/>
          <w:bCs w:val="1"/>
          <w:sz w:val="20"/>
          <w:szCs w:val="20"/>
        </w:rPr>
      </w:pPr>
      <w:bookmarkStart w:name="_headingh.vtnhhlg6ybgc" w:id="1"/>
      <w:bookmarkEnd w:id="1"/>
    </w:p>
    <w:p>
      <w:pPr>
        <w:pStyle w:val="Body"/>
        <w:rPr>
          <w:rStyle w:val="None"/>
          <w:rFonts w:ascii="Inter" w:cs="Inter" w:hAnsi="Inter" w:eastAsia="Inter"/>
          <w:b w:val="1"/>
          <w:bCs w:val="1"/>
          <w:sz w:val="20"/>
          <w:szCs w:val="20"/>
        </w:rPr>
      </w:pPr>
      <w:bookmarkStart w:name="_headingh.95dzxqmd88nd" w:id="2"/>
      <w:bookmarkEnd w:id="2"/>
    </w:p>
    <w:p>
      <w:pPr>
        <w:pStyle w:val="Body"/>
        <w:rPr>
          <w:rStyle w:val="None"/>
          <w:rFonts w:ascii="Inter" w:cs="Inter" w:hAnsi="Inter" w:eastAsia="Inter"/>
          <w:b w:val="1"/>
          <w:bCs w:val="1"/>
          <w:sz w:val="20"/>
          <w:szCs w:val="20"/>
        </w:rPr>
      </w:pPr>
      <w:bookmarkStart w:name="_headingh.a6pm11u7f11q" w:id="3"/>
      <w:bookmarkEnd w:id="3"/>
      <w:r>
        <w:rPr>
          <w:rStyle w:val="None"/>
          <w:rFonts w:ascii="Inter" w:cs="Inter" w:hAnsi="Inter" w:eastAsia="Inter"/>
          <w:b w:val="1"/>
          <w:bCs w:val="1"/>
          <w:outline w:val="0"/>
          <w:color w:val="000000"/>
          <w:sz w:val="20"/>
          <w:szCs w:val="20"/>
          <w:u w:color="000000"/>
          <w:rtl w:val="0"/>
          <w14:textFill>
            <w14:solidFill>
              <w14:srgbClr w14:val="000000"/>
            </w14:solidFill>
          </w14:textFill>
        </w:rPr>
        <w:t>A</w:t>
      </w:r>
      <w:r>
        <w:rPr>
          <w:rStyle w:val="None"/>
          <w:rFonts w:ascii="Inter" w:cs="Inter" w:hAnsi="Inter" w:eastAsia="Inter"/>
          <w:b w:val="1"/>
          <w:bCs w:val="1"/>
          <w:outline w:val="0"/>
          <w:color w:val="000000"/>
          <w:sz w:val="20"/>
          <w:szCs w:val="20"/>
          <w:u w:color="000000"/>
          <w:rtl w:val="0"/>
          <w:lang w:val="en-US"/>
          <w14:textFill>
            <w14:solidFill>
              <w14:srgbClr w14:val="000000"/>
            </w14:solidFill>
          </w14:textFill>
        </w:rPr>
        <w:t xml:space="preserve">ppendix 1: Examples of Broad Value Categories </w:t>
      </w:r>
    </w:p>
    <w:p>
      <w:pPr>
        <w:pStyle w:val="Body"/>
        <w:rPr>
          <w:rStyle w:val="None"/>
          <w:rFonts w:ascii="Inter" w:cs="Inter" w:hAnsi="Inter" w:eastAsia="Inter"/>
          <w:sz w:val="20"/>
          <w:szCs w:val="20"/>
        </w:rPr>
      </w:pPr>
    </w:p>
    <w:p>
      <w:pPr>
        <w:pStyle w:val="Body"/>
        <w:widowControl w:val="0"/>
        <w:numPr>
          <w:ilvl w:val="0"/>
          <w:numId w:val="2"/>
        </w:numPr>
        <w:bidi w:val="0"/>
        <w:spacing w:line="240" w:lineRule="auto"/>
        <w:ind w:right="0"/>
        <w:jc w:val="left"/>
        <w:rPr>
          <w:rFonts w:ascii="Inter" w:cs="Inter" w:hAnsi="Inter" w:eastAsia="Inter"/>
          <w:b w:val="1"/>
          <w:bCs w:val="1"/>
          <w:sz w:val="20"/>
          <w:szCs w:val="20"/>
          <w:rtl w:val="0"/>
          <w:lang w:val="en-US"/>
        </w:rPr>
      </w:pPr>
      <w:r>
        <w:rPr>
          <w:rStyle w:val="None"/>
          <w:rFonts w:ascii="Inter" w:cs="Inter" w:hAnsi="Inter" w:eastAsia="Inte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Biological diversity (</w:t>
      </w:r>
      <w:r>
        <w:rPr>
          <w:rStyle w:val="None"/>
          <w:rFonts w:ascii="Inter" w:cs="Inter" w:hAnsi="Inter" w:eastAsia="Inter"/>
          <w:b w:val="0"/>
          <w:bCs w:val="0"/>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e.g., other flora, fauna, or habitats of significance not in the SOUV)</w:t>
      </w:r>
    </w:p>
    <w:p>
      <w:pPr>
        <w:pStyle w:val="Body"/>
        <w:widowControl w:val="0"/>
        <w:numPr>
          <w:ilvl w:val="0"/>
          <w:numId w:val="2"/>
        </w:numPr>
        <w:bidi w:val="0"/>
        <w:spacing w:line="240" w:lineRule="auto"/>
        <w:ind w:right="0"/>
        <w:jc w:val="left"/>
        <w:rPr>
          <w:rFonts w:ascii="Inter" w:cs="Inter" w:hAnsi="Inter" w:eastAsia="Inter"/>
          <w:b w:val="1"/>
          <w:bCs w:val="1"/>
          <w:sz w:val="20"/>
          <w:szCs w:val="20"/>
          <w:rtl w:val="0"/>
          <w:lang w:val="en-US"/>
        </w:rPr>
      </w:pPr>
      <w:r>
        <w:rPr>
          <w:rStyle w:val="None"/>
          <w:rFonts w:ascii="Inter" w:cs="Inter" w:hAnsi="Inter" w:eastAsia="Inte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Aesthetic values or phenomena </w:t>
      </w:r>
      <w:r>
        <w:rPr>
          <w:rStyle w:val="None"/>
          <w:rFonts w:ascii="Inter" w:cs="Inter" w:hAnsi="Inter" w:eastAsia="Inter"/>
          <w:b w:val="0"/>
          <w:bCs w:val="0"/>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(e.g., any special scenic qualities or phenomena that are significant)</w:t>
      </w:r>
    </w:p>
    <w:p>
      <w:pPr>
        <w:pStyle w:val="Body"/>
        <w:widowControl w:val="0"/>
        <w:numPr>
          <w:ilvl w:val="0"/>
          <w:numId w:val="2"/>
        </w:numPr>
        <w:bidi w:val="0"/>
        <w:spacing w:line="240" w:lineRule="auto"/>
        <w:ind w:right="0"/>
        <w:jc w:val="left"/>
        <w:rPr>
          <w:rFonts w:ascii="Inter" w:cs="Inter" w:hAnsi="Inter" w:eastAsia="Inter"/>
          <w:b w:val="1"/>
          <w:bCs w:val="1"/>
          <w:sz w:val="20"/>
          <w:szCs w:val="20"/>
          <w:rtl w:val="0"/>
          <w:lang w:val="en-US"/>
        </w:rPr>
      </w:pPr>
      <w:r>
        <w:rPr>
          <w:rStyle w:val="None"/>
          <w:rFonts w:ascii="Inter" w:cs="Inter" w:hAnsi="Inter" w:eastAsia="Inte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Economic values </w:t>
      </w:r>
      <w:r>
        <w:rPr>
          <w:rStyle w:val="None"/>
          <w:rFonts w:ascii="Inter" w:cs="Inter" w:hAnsi="Inter" w:eastAsia="Inter"/>
          <w:b w:val="0"/>
          <w:bCs w:val="0"/>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(e.g., provide income or employment opportunities through tourism, fishing, or other commercial activities, etc.)</w:t>
      </w:r>
    </w:p>
    <w:p>
      <w:pPr>
        <w:pStyle w:val="Body"/>
        <w:widowControl w:val="0"/>
        <w:numPr>
          <w:ilvl w:val="0"/>
          <w:numId w:val="2"/>
        </w:numPr>
        <w:bidi w:val="0"/>
        <w:spacing w:line="240" w:lineRule="auto"/>
        <w:ind w:right="0"/>
        <w:jc w:val="left"/>
        <w:rPr>
          <w:rFonts w:ascii="Inter" w:cs="Inter" w:hAnsi="Inter" w:eastAsia="Inter"/>
          <w:b w:val="1"/>
          <w:bCs w:val="1"/>
          <w:sz w:val="20"/>
          <w:szCs w:val="20"/>
          <w:rtl w:val="0"/>
          <w:lang w:val="en-US"/>
        </w:rPr>
      </w:pPr>
      <w:r>
        <w:rPr>
          <w:rStyle w:val="None"/>
          <w:rFonts w:ascii="Inter" w:cs="Inter" w:hAnsi="Inter" w:eastAsia="Inte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Recreational values </w:t>
      </w:r>
      <w:r>
        <w:rPr>
          <w:rStyle w:val="None"/>
          <w:rFonts w:ascii="Inter" w:cs="Inter" w:hAnsi="Inter" w:eastAsia="Inter"/>
          <w:b w:val="0"/>
          <w:bCs w:val="0"/>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(e.g., provide for recreational activities like hiking, camping, wildlife viewing, etc.)</w:t>
      </w:r>
    </w:p>
    <w:p>
      <w:pPr>
        <w:pStyle w:val="Body"/>
        <w:widowControl w:val="0"/>
        <w:numPr>
          <w:ilvl w:val="0"/>
          <w:numId w:val="2"/>
        </w:numPr>
        <w:bidi w:val="0"/>
        <w:spacing w:line="240" w:lineRule="auto"/>
        <w:ind w:right="0"/>
        <w:jc w:val="left"/>
        <w:rPr>
          <w:rFonts w:ascii="Inter" w:cs="Inter" w:hAnsi="Inter" w:eastAsia="Inter"/>
          <w:b w:val="1"/>
          <w:bCs w:val="1"/>
          <w:sz w:val="20"/>
          <w:szCs w:val="20"/>
          <w:rtl w:val="0"/>
          <w:lang w:val="en-US"/>
        </w:rPr>
      </w:pPr>
      <w:r>
        <w:rPr>
          <w:rStyle w:val="None"/>
          <w:rFonts w:ascii="Inter" w:cs="Inter" w:hAnsi="Inter" w:eastAsia="Inte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Historic/cultural values </w:t>
      </w:r>
      <w:r>
        <w:rPr>
          <w:rStyle w:val="None"/>
          <w:rFonts w:ascii="Inter" w:cs="Inter" w:hAnsi="Inter" w:eastAsia="Inter"/>
          <w:b w:val="0"/>
          <w:bCs w:val="0"/>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(e.g., features or locations that represent history or enable traditions or ways of life to continue, etc.)</w:t>
      </w:r>
    </w:p>
    <w:p>
      <w:pPr>
        <w:pStyle w:val="Body"/>
        <w:widowControl w:val="0"/>
        <w:numPr>
          <w:ilvl w:val="0"/>
          <w:numId w:val="2"/>
        </w:numPr>
        <w:bidi w:val="0"/>
        <w:spacing w:line="240" w:lineRule="auto"/>
        <w:ind w:right="0"/>
        <w:jc w:val="left"/>
        <w:rPr>
          <w:rFonts w:ascii="Inter" w:cs="Inter" w:hAnsi="Inter" w:eastAsia="Inter"/>
          <w:b w:val="1"/>
          <w:bCs w:val="1"/>
          <w:sz w:val="20"/>
          <w:szCs w:val="20"/>
          <w:rtl w:val="0"/>
          <w:lang w:val="en-US"/>
        </w:rPr>
      </w:pPr>
      <w:r>
        <w:rPr>
          <w:rStyle w:val="None"/>
          <w:rFonts w:ascii="Inter" w:cs="Inter" w:hAnsi="Inter" w:eastAsia="Inte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Learning/ Scientific values </w:t>
      </w:r>
      <w:r>
        <w:rPr>
          <w:rStyle w:val="None"/>
          <w:rFonts w:ascii="Inter" w:cs="Inter" w:hAnsi="Inter" w:eastAsia="Inter"/>
          <w:b w:val="0"/>
          <w:bCs w:val="0"/>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(e.g., opportunities for scientific research, nature interpretation, etc.)</w:t>
      </w:r>
    </w:p>
    <w:p>
      <w:pPr>
        <w:pStyle w:val="Body"/>
        <w:widowControl w:val="0"/>
        <w:numPr>
          <w:ilvl w:val="0"/>
          <w:numId w:val="2"/>
        </w:numPr>
        <w:bidi w:val="0"/>
        <w:spacing w:line="240" w:lineRule="auto"/>
        <w:ind w:right="0"/>
        <w:jc w:val="left"/>
        <w:rPr>
          <w:rFonts w:ascii="Inter" w:cs="Inter" w:hAnsi="Inter" w:eastAsia="Inter"/>
          <w:b w:val="1"/>
          <w:bCs w:val="1"/>
          <w:sz w:val="20"/>
          <w:szCs w:val="20"/>
          <w:rtl w:val="0"/>
          <w:lang w:val="en-US"/>
        </w:rPr>
      </w:pPr>
      <w:r>
        <w:rPr>
          <w:rStyle w:val="None"/>
          <w:rFonts w:ascii="Inter" w:cs="Inter" w:hAnsi="Inter" w:eastAsia="Inte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Spiritual/ Philosophical fulfillment </w:t>
      </w:r>
      <w:r>
        <w:rPr>
          <w:rStyle w:val="None"/>
          <w:rFonts w:ascii="Inter" w:cs="Inter" w:hAnsi="Inter" w:eastAsia="Inter"/>
          <w:b w:val="0"/>
          <w:bCs w:val="0"/>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(e.g., areas that are sacred, religious, or spiritually significant, etc.)</w:t>
      </w:r>
    </w:p>
    <w:p>
      <w:pPr>
        <w:pStyle w:val="Body"/>
        <w:widowControl w:val="0"/>
        <w:numPr>
          <w:ilvl w:val="0"/>
          <w:numId w:val="2"/>
        </w:numPr>
        <w:bidi w:val="0"/>
        <w:spacing w:line="240" w:lineRule="auto"/>
        <w:ind w:right="0"/>
        <w:jc w:val="left"/>
        <w:rPr>
          <w:rFonts w:ascii="Inter" w:cs="Inter" w:hAnsi="Inter" w:eastAsia="Inter"/>
          <w:b w:val="1"/>
          <w:bCs w:val="1"/>
          <w:sz w:val="20"/>
          <w:szCs w:val="20"/>
          <w:rtl w:val="0"/>
          <w:lang w:val="en-US"/>
        </w:rPr>
      </w:pPr>
      <w:r>
        <w:rPr>
          <w:rStyle w:val="None"/>
          <w:rFonts w:ascii="Inter" w:cs="Inter" w:hAnsi="Inter" w:eastAsia="Inte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Health/ therapeutic values </w:t>
      </w:r>
      <w:r>
        <w:rPr>
          <w:rStyle w:val="None"/>
          <w:rFonts w:ascii="Inter" w:cs="Inter" w:hAnsi="Inter" w:eastAsia="Inter"/>
          <w:b w:val="0"/>
          <w:bCs w:val="0"/>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(e.g., areas that enable people to feel better physically or mentally, etc.)</w:t>
      </w:r>
    </w:p>
    <w:p>
      <w:pPr>
        <w:pStyle w:val="Body"/>
        <w:rPr>
          <w:rStyle w:val="None"/>
          <w:rFonts w:ascii="Inter" w:cs="Inter" w:hAnsi="Inter" w:eastAsia="Inter"/>
          <w:b w:val="1"/>
          <w:bCs w:val="1"/>
          <w:sz w:val="20"/>
          <w:szCs w:val="20"/>
        </w:rPr>
      </w:pPr>
    </w:p>
    <w:p>
      <w:pPr>
        <w:pStyle w:val="Body"/>
        <w:rPr>
          <w:rStyle w:val="None"/>
          <w:rFonts w:ascii="Inter" w:cs="Inter" w:hAnsi="Inter" w:eastAsia="Inter"/>
          <w:b w:val="1"/>
          <w:bCs w:val="1"/>
          <w:sz w:val="20"/>
          <w:szCs w:val="20"/>
        </w:rPr>
      </w:pPr>
      <w:r>
        <w:rPr>
          <w:rStyle w:val="None"/>
          <w:rFonts w:ascii="Inter" w:cs="Inter" w:hAnsi="Inter" w:eastAsia="Inter"/>
          <w:b w:val="1"/>
          <w:bCs w:val="1"/>
          <w:sz w:val="20"/>
          <w:szCs w:val="20"/>
          <w:rtl w:val="0"/>
          <w:lang w:val="en-US"/>
        </w:rPr>
        <w:t>Examples from Sites</w:t>
      </w:r>
    </w:p>
    <w:p>
      <w:pPr>
        <w:pStyle w:val="Body"/>
        <w:rPr>
          <w:rStyle w:val="None"/>
          <w:rFonts w:ascii="Inter" w:cs="Inter" w:hAnsi="Inter" w:eastAsia="Inter"/>
          <w:b w:val="1"/>
          <w:bCs w:val="1"/>
          <w:sz w:val="20"/>
          <w:szCs w:val="20"/>
        </w:rPr>
      </w:pPr>
    </w:p>
    <w:p>
      <w:pPr>
        <w:pStyle w:val="Body"/>
        <w:rPr>
          <w:rStyle w:val="None"/>
          <w:rFonts w:ascii="Inter" w:cs="Inter" w:hAnsi="Inter" w:eastAsia="Inter"/>
          <w:sz w:val="20"/>
          <w:szCs w:val="20"/>
        </w:rPr>
      </w:pPr>
      <w:r>
        <w:rPr>
          <w:rStyle w:val="None"/>
          <w:rFonts w:ascii="Inter" w:cs="Inter" w:hAnsi="Inter" w:eastAsia="Inter"/>
          <w:b w:val="1"/>
          <w:bCs w:val="1"/>
          <w:sz w:val="20"/>
          <w:szCs w:val="20"/>
          <w:rtl w:val="0"/>
        </w:rPr>
        <w:t xml:space="preserve">Site: </w:t>
      </w:r>
      <w:r>
        <w:rPr>
          <w:rStyle w:val="None"/>
          <w:rFonts w:ascii="Inter" w:cs="Inter" w:hAnsi="Inter" w:eastAsia="Inter"/>
          <w:sz w:val="20"/>
          <w:szCs w:val="20"/>
          <w:rtl w:val="0"/>
          <w:lang w:val="en-US"/>
        </w:rPr>
        <w:t>Ruins of Kilwa Kisiwani and Ruins of Songo Mnara, People</w:t>
      </w:r>
      <w:r>
        <w:rPr>
          <w:rStyle w:val="None"/>
          <w:rFonts w:ascii="Inter" w:cs="Inter" w:hAnsi="Inter" w:eastAsia="Inter"/>
          <w:sz w:val="20"/>
          <w:szCs w:val="20"/>
          <w:rtl w:val="0"/>
          <w:lang w:val="en-US"/>
        </w:rPr>
        <w:t>’</w:t>
      </w:r>
      <w:r>
        <w:rPr>
          <w:rStyle w:val="None"/>
          <w:rFonts w:ascii="Inter" w:cs="Inter" w:hAnsi="Inter" w:eastAsia="Inter"/>
          <w:sz w:val="20"/>
          <w:szCs w:val="20"/>
          <w:rtl w:val="0"/>
          <w:lang w:val="it-IT"/>
        </w:rPr>
        <w:t>s Republic of Tanzania</w:t>
      </w:r>
    </w:p>
    <w:p>
      <w:pPr>
        <w:pStyle w:val="Body"/>
        <w:spacing w:before="240"/>
        <w:jc w:val="both"/>
        <w:rPr>
          <w:rStyle w:val="None"/>
          <w:rFonts w:ascii="Inter" w:cs="Inter" w:hAnsi="Inter" w:eastAsia="Inter"/>
          <w:sz w:val="20"/>
          <w:szCs w:val="20"/>
        </w:rPr>
      </w:pPr>
      <w:r>
        <w:rPr>
          <w:rStyle w:val="None"/>
          <w:rFonts w:ascii="Inter" w:cs="Inter" w:hAnsi="Inter" w:eastAsia="Inter"/>
          <w:b w:val="1"/>
          <w:bCs w:val="1"/>
          <w:sz w:val="20"/>
          <w:szCs w:val="20"/>
          <w:rtl w:val="0"/>
          <w:lang w:val="pt-PT"/>
        </w:rPr>
        <w:t xml:space="preserve">SoOUV(Excerpt): </w:t>
      </w:r>
      <w:r>
        <w:rPr>
          <w:rStyle w:val="None"/>
          <w:rFonts w:ascii="Inter" w:cs="Inter" w:hAnsi="Inter" w:eastAsia="Inter"/>
          <w:sz w:val="20"/>
          <w:szCs w:val="20"/>
          <w:rtl w:val="0"/>
          <w:lang w:val="en-US"/>
        </w:rPr>
        <w:t xml:space="preserve">Located on two islands close to each other just off the Tanzanian coast about 300km south of Dar es Salaam are the </w:t>
      </w:r>
      <w:r>
        <w:rPr>
          <w:rStyle w:val="None"/>
          <w:rFonts w:ascii="Inter" w:cs="Inter" w:hAnsi="Inter" w:eastAsia="Inter"/>
          <w:sz w:val="20"/>
          <w:szCs w:val="20"/>
          <w:u w:val="single"/>
          <w:rtl w:val="0"/>
          <w:lang w:val="en-US"/>
        </w:rPr>
        <w:t>remains of two port cities, Kilwa Kisiwani and Songo Mnara</w:t>
      </w:r>
      <w:r>
        <w:rPr>
          <w:rStyle w:val="None"/>
          <w:rFonts w:ascii="Inter" w:cs="Inter" w:hAnsi="Inter" w:eastAsia="Inter"/>
          <w:sz w:val="20"/>
          <w:szCs w:val="20"/>
          <w:rtl w:val="0"/>
          <w:lang w:val="en-US"/>
        </w:rPr>
        <w:t xml:space="preserve">. The larger, </w:t>
      </w:r>
      <w:r>
        <w:rPr>
          <w:rStyle w:val="None"/>
          <w:rFonts w:ascii="Inter" w:cs="Inter" w:hAnsi="Inter" w:eastAsia="Inter"/>
          <w:i w:val="1"/>
          <w:iCs w:val="1"/>
          <w:sz w:val="20"/>
          <w:szCs w:val="20"/>
          <w:rtl w:val="0"/>
          <w:lang w:val="en-US"/>
        </w:rPr>
        <w:t>Kilwa Kisiwani, was occupied from the 9th to the 19th century and reached its peak of prosperity in the 13th and 14th centuries</w:t>
      </w:r>
      <w:r>
        <w:rPr>
          <w:rStyle w:val="None"/>
          <w:rFonts w:ascii="Inter" w:cs="Inter" w:hAnsi="Inter" w:eastAsia="Inter"/>
          <w:sz w:val="20"/>
          <w:szCs w:val="20"/>
          <w:rtl w:val="0"/>
          <w:lang w:val="en-US"/>
        </w:rPr>
        <w:t>. In 1331-1332, the great traveler, Ibn Battouta made a stop here and described Kilwa as one of the most beautiful cities of the world.</w:t>
      </w:r>
    </w:p>
    <w:p>
      <w:pPr>
        <w:pStyle w:val="Body"/>
        <w:spacing w:before="240"/>
        <w:jc w:val="both"/>
        <w:rPr>
          <w:rStyle w:val="None"/>
          <w:rFonts w:ascii="Inter" w:cs="Inter" w:hAnsi="Inter" w:eastAsia="Inter"/>
          <w:sz w:val="20"/>
          <w:szCs w:val="20"/>
        </w:rPr>
      </w:pPr>
      <w:r>
        <w:rPr>
          <w:rStyle w:val="None"/>
          <w:rFonts w:ascii="Inter" w:cs="Inter" w:hAnsi="Inter" w:eastAsia="Inter"/>
          <w:sz w:val="20"/>
          <w:szCs w:val="20"/>
          <w:rtl w:val="0"/>
          <w:lang w:val="en-US"/>
        </w:rPr>
        <w:t xml:space="preserve">Kilwa Kisiwani and Songo Mnara were Swahili trading cities and their </w:t>
      </w:r>
      <w:r>
        <w:rPr>
          <w:rStyle w:val="None"/>
          <w:rFonts w:ascii="Inter" w:cs="Inter" w:hAnsi="Inter" w:eastAsia="Inter"/>
          <w:i w:val="1"/>
          <w:iCs w:val="1"/>
          <w:sz w:val="20"/>
          <w:szCs w:val="20"/>
          <w:rtl w:val="0"/>
          <w:lang w:val="en-US"/>
        </w:rPr>
        <w:t>prosperity was based on control of Indian Ocean trade with Arabia, India and China, particularly between the 13th and 16th centuries, when gold and ivory from the hinterland was traded for silver, carnelians, perfumes, Persian faience and Chinese porcelain. Kilwa Kisiwani minted its own currency in the 11th to 14th centuries.</w:t>
      </w:r>
      <w:r>
        <w:rPr>
          <w:rStyle w:val="None"/>
          <w:rFonts w:ascii="Inter" w:cs="Inter" w:hAnsi="Inter" w:eastAsia="Inter"/>
          <w:sz w:val="20"/>
          <w:szCs w:val="20"/>
          <w:rtl w:val="0"/>
          <w:lang w:val="en-US"/>
        </w:rPr>
        <w:t xml:space="preserve"> In the 16th century, the Portuguese established a fort on Kilwa Kisiwani and the decline of the two islands began.</w:t>
      </w:r>
    </w:p>
    <w:p>
      <w:pPr>
        <w:pStyle w:val="Body"/>
        <w:spacing w:before="240"/>
        <w:jc w:val="both"/>
        <w:rPr>
          <w:rStyle w:val="None"/>
          <w:rFonts w:ascii="Inter" w:cs="Inter" w:hAnsi="Inter" w:eastAsia="Inter"/>
          <w:sz w:val="20"/>
          <w:szCs w:val="20"/>
        </w:rPr>
      </w:pPr>
      <w:r>
        <w:rPr>
          <w:rStyle w:val="None"/>
          <w:rFonts w:ascii="Inter" w:cs="Inter" w:hAnsi="Inter" w:eastAsia="Inter"/>
          <w:sz w:val="20"/>
          <w:szCs w:val="20"/>
          <w:u w:val="single"/>
          <w:rtl w:val="0"/>
          <w:lang w:val="en-US"/>
        </w:rPr>
        <w:t>The remains of Kilwa Kisiwani cover much of the island with many parts of the city still unexcavated. The substantial standing ruins, built of coral and lime mortar,</w:t>
      </w:r>
      <w:r>
        <w:rPr>
          <w:rStyle w:val="None"/>
          <w:rFonts w:ascii="Inter" w:cs="Inter" w:hAnsi="Inter" w:eastAsia="Inter"/>
          <w:sz w:val="20"/>
          <w:szCs w:val="20"/>
          <w:rtl w:val="0"/>
          <w:lang w:val="en-US"/>
        </w:rPr>
        <w:t xml:space="preserve"> include the Great Mosque constructed in the 11th century and considerably enlarged in the 13th century, and roofed entirely with domes and vaults, some decorated with embedded Chinese porcelain; the palace Husuni Kubwa built between c1310 and 1333 with its large octagonal bathing pool; Husuni Ndogo, numerous mosques, the Gereza (prison) constructed on the ruins of the Portuguese fort and an entire urban complex with houses, public squares, burial grounds, etc.</w:t>
      </w:r>
    </w:p>
    <w:p>
      <w:pPr>
        <w:pStyle w:val="Body"/>
        <w:spacing w:before="240"/>
        <w:jc w:val="both"/>
        <w:rPr>
          <w:rStyle w:val="None"/>
          <w:rFonts w:ascii="Inter" w:cs="Inter" w:hAnsi="Inter" w:eastAsia="Inter"/>
          <w:sz w:val="20"/>
          <w:szCs w:val="20"/>
        </w:rPr>
      </w:pPr>
    </w:p>
    <w:p>
      <w:pPr>
        <w:pStyle w:val="Body"/>
        <w:spacing w:before="240"/>
        <w:jc w:val="both"/>
        <w:rPr>
          <w:rStyle w:val="None"/>
          <w:rFonts w:ascii="Inter" w:cs="Inter" w:hAnsi="Inter" w:eastAsia="Inter"/>
          <w:sz w:val="20"/>
          <w:szCs w:val="20"/>
        </w:rPr>
      </w:pPr>
    </w:p>
    <w:p>
      <w:pPr>
        <w:pStyle w:val="Body"/>
        <w:spacing w:before="240"/>
        <w:jc w:val="both"/>
        <w:rPr>
          <w:rStyle w:val="None"/>
          <w:rFonts w:ascii="Inter" w:cs="Inter" w:hAnsi="Inter" w:eastAsia="Inter"/>
          <w:sz w:val="20"/>
          <w:szCs w:val="20"/>
        </w:rPr>
      </w:pPr>
    </w:p>
    <w:p>
      <w:pPr>
        <w:pStyle w:val="Body"/>
        <w:jc w:val="both"/>
        <w:rPr>
          <w:rStyle w:val="None"/>
          <w:rFonts w:ascii="Inter" w:cs="Inter" w:hAnsi="Inter" w:eastAsia="Inter"/>
          <w:outline w:val="0"/>
          <w:color w:val="212121"/>
          <w:sz w:val="20"/>
          <w:szCs w:val="20"/>
          <w:u w:color="212121"/>
          <w:shd w:val="clear" w:color="auto" w:fill="ffffff"/>
          <w14:textFill>
            <w14:solidFill>
              <w14:srgbClr w14:val="212121"/>
            </w14:solidFill>
          </w14:textFill>
        </w:rPr>
      </w:pPr>
    </w:p>
    <w:tbl>
      <w:tblPr>
        <w:tblW w:w="1291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09"/>
        <w:gridCol w:w="4252"/>
        <w:gridCol w:w="5557"/>
      </w:tblGrid>
      <w:tr>
        <w:tblPrEx>
          <w:shd w:val="clear" w:color="auto" w:fill="ced7e7"/>
        </w:tblPrEx>
        <w:trPr>
          <w:trHeight w:val="464"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top"/>
          </w:tcPr>
          <w:p>
            <w:pPr>
              <w:pStyle w:val="Body"/>
              <w:widowControl w:val="0"/>
              <w:spacing w:line="240" w:lineRule="auto"/>
            </w:pPr>
            <w:r>
              <w:rPr>
                <w:rStyle w:val="None"/>
                <w:rFonts w:ascii="Inter" w:cs="Inter" w:hAnsi="Inter" w:eastAsia="Inter"/>
                <w:b w:val="1"/>
                <w:bCs w:val="1"/>
                <w:sz w:val="20"/>
                <w:szCs w:val="20"/>
                <w:shd w:val="nil" w:color="auto" w:fill="auto"/>
                <w:rtl w:val="0"/>
                <w:lang w:val="en-US"/>
              </w:rPr>
              <w:t>Broad Value Category</w:t>
            </w: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top"/>
          </w:tcPr>
          <w:p>
            <w:pPr>
              <w:pStyle w:val="Body"/>
              <w:widowControl w:val="0"/>
              <w:spacing w:line="240" w:lineRule="auto"/>
            </w:pPr>
            <w:r>
              <w:rPr>
                <w:rStyle w:val="None"/>
                <w:rFonts w:ascii="Inter" w:cs="Inter" w:hAnsi="Inter" w:eastAsia="Inter"/>
                <w:b w:val="1"/>
                <w:bCs w:val="1"/>
                <w:sz w:val="20"/>
                <w:szCs w:val="20"/>
                <w:shd w:val="nil" w:color="auto" w:fill="auto"/>
                <w:rtl w:val="0"/>
                <w:lang w:val="en-US"/>
              </w:rPr>
              <w:t>Attribute (What is important?)</w:t>
            </w: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top"/>
          </w:tcPr>
          <w:p>
            <w:pPr>
              <w:pStyle w:val="Body"/>
              <w:widowControl w:val="0"/>
              <w:spacing w:line="240" w:lineRule="auto"/>
            </w:pPr>
            <w:r>
              <w:rPr>
                <w:rStyle w:val="None"/>
                <w:rFonts w:ascii="Inter" w:cs="Inter" w:hAnsi="Inter" w:eastAsia="Inter"/>
                <w:b w:val="1"/>
                <w:bCs w:val="1"/>
                <w:sz w:val="20"/>
                <w:szCs w:val="20"/>
                <w:shd w:val="nil" w:color="auto" w:fill="auto"/>
                <w:rtl w:val="0"/>
                <w:lang w:val="en-US"/>
              </w:rPr>
              <w:t>Value (Why is it important?)</w:t>
            </w:r>
          </w:p>
        </w:tc>
      </w:tr>
      <w:tr>
        <w:tblPrEx>
          <w:shd w:val="clear" w:color="auto" w:fill="ced7e7"/>
        </w:tblPrEx>
        <w:trPr>
          <w:trHeight w:val="146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Style w:val="None"/>
                <w:rFonts w:ascii="Inter" w:cs="Inter" w:hAnsi="Inter" w:eastAsia="Inter"/>
                <w:sz w:val="20"/>
                <w:szCs w:val="20"/>
                <w:shd w:val="nil" w:color="auto" w:fill="auto"/>
                <w:rtl w:val="0"/>
                <w:lang w:val="en-US"/>
              </w:rPr>
              <w:t>Historic Values</w:t>
            </w: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widowControl w:val="0"/>
              <w:spacing w:line="240" w:lineRule="auto"/>
            </w:pPr>
            <w:r>
              <w:rPr>
                <w:rStyle w:val="None"/>
                <w:rFonts w:ascii="Inter" w:cs="Inter" w:hAnsi="Inter" w:eastAsia="Inter"/>
                <w:sz w:val="20"/>
                <w:szCs w:val="20"/>
                <w:shd w:val="nil" w:color="auto" w:fill="auto"/>
                <w:rtl w:val="0"/>
                <w:lang w:val="en-US"/>
              </w:rPr>
              <w:t>Objects and artefacts, Trading routes, Exchange processes</w:t>
            </w: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Style w:val="None"/>
                <w:rFonts w:ascii="Inter" w:cs="Inter" w:hAnsi="Inter" w:eastAsia="Inter"/>
                <w:b w:val="1"/>
                <w:bCs w:val="1"/>
                <w:sz w:val="20"/>
                <w:szCs w:val="20"/>
                <w:shd w:val="nil" w:color="auto" w:fill="auto"/>
                <w:rtl w:val="0"/>
                <w:lang w:val="en-US"/>
              </w:rPr>
              <w:t>Site of Swahili Trading History</w:t>
            </w:r>
            <w:r>
              <w:rPr>
                <w:rStyle w:val="None"/>
                <w:rFonts w:ascii="Inter" w:cs="Inter" w:hAnsi="Inter" w:eastAsia="Inter"/>
                <w:sz w:val="20"/>
                <w:szCs w:val="20"/>
                <w:shd w:val="nil" w:color="auto" w:fill="auto"/>
                <w:rtl w:val="0"/>
                <w:lang w:val="en-US"/>
              </w:rPr>
              <w:t xml:space="preserve"> - Kilwa Kisiwani, was occupied from the 9th to the 19th century and reached its peak of prosperity in the 13th and 14th centuries</w:t>
            </w:r>
            <w:r>
              <w:rPr>
                <w:rStyle w:val="None"/>
                <w:rFonts w:ascii="Inter" w:cs="Inter" w:hAnsi="Inter" w:eastAsia="Inter"/>
                <w:sz w:val="20"/>
                <w:szCs w:val="20"/>
                <w:shd w:val="nil" w:color="auto" w:fill="auto"/>
                <w:rtl w:val="0"/>
                <w:lang w:val="en-US"/>
              </w:rPr>
              <w:t>…</w:t>
            </w:r>
            <w:r>
              <w:rPr>
                <w:rStyle w:val="None"/>
                <w:rFonts w:ascii="Inter" w:cs="Inter" w:hAnsi="Inter" w:eastAsia="Inter"/>
                <w:b w:val="1"/>
                <w:bCs w:val="1"/>
                <w:sz w:val="20"/>
                <w:szCs w:val="20"/>
                <w:shd w:val="nil" w:color="auto" w:fill="auto"/>
                <w:rtl w:val="0"/>
                <w:lang w:val="en-US"/>
              </w:rPr>
              <w:t>when gold and ivory from the hinterland was traded for silver, carnelians, perfumes, Persian faience and Chinese porcelain.</w:t>
            </w:r>
          </w:p>
        </w:tc>
      </w:tr>
      <w:tr>
        <w:tblPrEx>
          <w:shd w:val="clear" w:color="auto" w:fill="ced7e7"/>
        </w:tblPrEx>
        <w:trPr>
          <w:trHeight w:val="980" w:hRule="atLeast"/>
        </w:trPr>
        <w:tc>
          <w:tcPr>
            <w:tcW w:type="dxa" w:w="31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Style w:val="None"/>
                <w:rFonts w:ascii="Inter" w:cs="Inter" w:hAnsi="Inter" w:eastAsia="Inter"/>
                <w:sz w:val="20"/>
                <w:szCs w:val="20"/>
                <w:shd w:val="nil" w:color="auto" w:fill="auto"/>
                <w:rtl w:val="0"/>
                <w:lang w:val="en-US"/>
              </w:rPr>
              <w:t xml:space="preserve">Archaeological </w:t>
            </w:r>
          </w:p>
        </w:tc>
        <w:tc>
          <w:tcPr>
            <w:tcW w:type="dxa" w:w="42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Style w:val="None"/>
                <w:rFonts w:ascii="Inter" w:cs="Inter" w:hAnsi="Inter" w:eastAsia="Inter"/>
                <w:sz w:val="20"/>
                <w:szCs w:val="20"/>
                <w:shd w:val="nil" w:color="auto" w:fill="auto"/>
                <w:rtl w:val="0"/>
                <w:lang w:val="en-US"/>
              </w:rPr>
              <w:t>Standing archaeological remains, building knowledge and construction techniques</w:t>
            </w:r>
          </w:p>
        </w:tc>
        <w:tc>
          <w:tcPr>
            <w:tcW w:type="dxa" w:w="55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pPr>
            <w:r>
              <w:rPr>
                <w:rStyle w:val="None"/>
                <w:rFonts w:ascii="Inter" w:cs="Inter" w:hAnsi="Inter" w:eastAsia="Inter"/>
                <w:sz w:val="20"/>
                <w:szCs w:val="20"/>
                <w:shd w:val="nil" w:color="auto" w:fill="auto"/>
                <w:rtl w:val="0"/>
                <w:lang w:val="en-US"/>
              </w:rPr>
              <w:t xml:space="preserve">The remains of Kilwa Kisiwani cover much of the island with many parts of the city still unexcavated. </w:t>
            </w:r>
            <w:r>
              <w:rPr>
                <w:rStyle w:val="None"/>
                <w:rFonts w:ascii="Inter" w:cs="Inter" w:hAnsi="Inter" w:eastAsia="Inter"/>
                <w:b w:val="1"/>
                <w:bCs w:val="1"/>
                <w:sz w:val="20"/>
                <w:szCs w:val="20"/>
                <w:shd w:val="nil" w:color="auto" w:fill="auto"/>
                <w:rtl w:val="0"/>
                <w:lang w:val="en-US"/>
              </w:rPr>
              <w:t>The substantial standing ruins, built of coral and lime mortar show specific built material and building techniques.</w:t>
            </w:r>
          </w:p>
        </w:tc>
      </w:tr>
    </w:tbl>
    <w:p>
      <w:pPr>
        <w:pStyle w:val="Body"/>
        <w:widowControl w:val="0"/>
        <w:spacing w:line="240" w:lineRule="auto"/>
        <w:rPr>
          <w:rStyle w:val="None"/>
          <w:rFonts w:ascii="Inter" w:cs="Inter" w:hAnsi="Inter" w:eastAsia="Inter"/>
          <w:outline w:val="0"/>
          <w:color w:val="212121"/>
          <w:sz w:val="20"/>
          <w:szCs w:val="20"/>
          <w:u w:color="212121"/>
          <w:shd w:val="clear" w:color="auto" w:fill="ffffff"/>
          <w14:textFill>
            <w14:solidFill>
              <w14:srgbClr w14:val="212121"/>
            </w14:solidFill>
          </w14:textFill>
        </w:rPr>
      </w:pPr>
    </w:p>
    <w:p>
      <w:pPr>
        <w:pStyle w:val="Body"/>
        <w:jc w:val="both"/>
        <w:rPr>
          <w:rStyle w:val="None"/>
          <w:rFonts w:ascii="Inter" w:cs="Inter" w:hAnsi="Inter" w:eastAsia="Inter"/>
          <w:outline w:val="0"/>
          <w:color w:val="212121"/>
          <w:sz w:val="20"/>
          <w:szCs w:val="20"/>
          <w:u w:color="212121"/>
          <w:shd w:val="clear" w:color="auto" w:fill="ffffff"/>
          <w14:textFill>
            <w14:solidFill>
              <w14:srgbClr w14:val="212121"/>
            </w14:solidFill>
          </w14:textFill>
        </w:rPr>
      </w:pPr>
    </w:p>
    <w:p>
      <w:pPr>
        <w:pStyle w:val="Body"/>
        <w:rPr>
          <w:rStyle w:val="None"/>
          <w:rFonts w:ascii="Inter" w:cs="Inter" w:hAnsi="Inter" w:eastAsia="Inter"/>
          <w:b w:val="1"/>
          <w:bCs w:val="1"/>
          <w:sz w:val="20"/>
          <w:szCs w:val="20"/>
        </w:rPr>
      </w:pPr>
      <w:r>
        <w:rPr>
          <w:rStyle w:val="None"/>
          <w:rFonts w:ascii="Inter" w:cs="Inter" w:hAnsi="Inter" w:eastAsia="Inter"/>
          <w:b w:val="1"/>
          <w:bCs w:val="1"/>
          <w:sz w:val="20"/>
          <w:szCs w:val="20"/>
          <w:rtl w:val="0"/>
          <w:lang w:val="en-US"/>
        </w:rPr>
        <w:t xml:space="preserve">Appendix 2: Examples of Broad Value Categories </w:t>
      </w:r>
    </w:p>
    <w:p>
      <w:pPr>
        <w:pStyle w:val="Body"/>
        <w:jc w:val="both"/>
        <w:rPr>
          <w:rStyle w:val="None"/>
          <w:rFonts w:ascii="Inter" w:cs="Inter" w:hAnsi="Inter" w:eastAsia="Inter"/>
          <w:outline w:val="0"/>
          <w:color w:val="212121"/>
          <w:sz w:val="20"/>
          <w:szCs w:val="20"/>
          <w:u w:color="212121"/>
          <w:shd w:val="clear" w:color="auto" w:fill="ffffff"/>
          <w14:textFill>
            <w14:solidFill>
              <w14:srgbClr w14:val="212121"/>
            </w14:solidFill>
          </w14:textFill>
        </w:rPr>
      </w:pPr>
    </w:p>
    <w:p>
      <w:pPr>
        <w:pStyle w:val="Body"/>
        <w:rPr>
          <w:rStyle w:val="None"/>
          <w:rFonts w:ascii="Inter" w:cs="Inter" w:hAnsi="Inter" w:eastAsia="Inter"/>
        </w:rPr>
      </w:pPr>
      <w:r>
        <w:rPr>
          <w:rStyle w:val="None"/>
          <w:rFonts w:ascii="Inter" w:cs="Inter" w:hAnsi="Inter" w:eastAsia="Inter"/>
          <w:rtl w:val="0"/>
          <w:lang w:val="en-US"/>
        </w:rPr>
        <w:t xml:space="preserve">Examples of visually exploring the relationship between value and attributes using the Heritopolis example. </w:t>
      </w:r>
    </w:p>
    <w:p>
      <w:pPr>
        <w:pStyle w:val="Body"/>
        <w:spacing w:line="240" w:lineRule="auto"/>
        <w:rPr>
          <w:rStyle w:val="None"/>
          <w:rFonts w:ascii="Inter" w:cs="Inter" w:hAnsi="Inter" w:eastAsia="Inter"/>
          <w:sz w:val="18"/>
          <w:szCs w:val="18"/>
        </w:rPr>
      </w:pPr>
    </w:p>
    <w:p>
      <w:pPr>
        <w:pStyle w:val="Body"/>
        <w:spacing w:line="240" w:lineRule="auto"/>
        <w:rPr>
          <w:rStyle w:val="None"/>
          <w:rFonts w:ascii="Inter" w:cs="Inter" w:hAnsi="Inter" w:eastAsia="Inter"/>
          <w:outline w:val="0"/>
          <w:color w:val="262626"/>
          <w:sz w:val="18"/>
          <w:szCs w:val="18"/>
          <w:u w:color="262626"/>
          <w14:textFill>
            <w14:solidFill>
              <w14:srgbClr w14:val="262626"/>
            </w14:solidFill>
          </w14:textFill>
        </w:rPr>
      </w:pPr>
      <w:r>
        <w:rPr>
          <w:rStyle w:val="None"/>
          <w:rFonts w:ascii="Inter" w:cs="Inter" w:hAnsi="Inter" w:eastAsia="Inter"/>
          <w:outline w:val="0"/>
          <w:color w:val="262626"/>
          <w:sz w:val="18"/>
          <w:szCs w:val="18"/>
          <w:u w:color="262626"/>
          <w:rtl w:val="0"/>
          <w:lang w:val="en-US"/>
          <w14:textFill>
            <w14:solidFill>
              <w14:srgbClr w14:val="262626"/>
            </w14:solidFill>
          </w14:textFill>
        </w:rPr>
        <w:t>Located on the Blue Sea coast, the historic port town of Heritopolis has played a role throughout history as a place of interchange between historic cultures over time. While much of the architecture reflects the city</w:t>
      </w:r>
      <w:r>
        <w:rPr>
          <w:rStyle w:val="None"/>
          <w:rFonts w:ascii="Inter" w:cs="Inter" w:hAnsi="Inter" w:eastAsia="Inter"/>
          <w:outline w:val="0"/>
          <w:color w:val="262626"/>
          <w:sz w:val="18"/>
          <w:szCs w:val="18"/>
          <w:u w:color="262626"/>
          <w:rtl w:val="0"/>
          <w:lang w:val="en-US"/>
          <w14:textFill>
            <w14:solidFill>
              <w14:srgbClr w14:val="262626"/>
            </w14:solidFill>
          </w14:textFill>
        </w:rPr>
        <w:t>’</w:t>
      </w:r>
      <w:r>
        <w:rPr>
          <w:rStyle w:val="None"/>
          <w:rFonts w:ascii="Inter" w:cs="Inter" w:hAnsi="Inter" w:eastAsia="Inter"/>
          <w:outline w:val="0"/>
          <w:color w:val="262626"/>
          <w:sz w:val="18"/>
          <w:szCs w:val="18"/>
          <w:u w:color="262626"/>
          <w:rtl w:val="0"/>
          <w:lang w:val="en-US"/>
          <w14:textFill>
            <w14:solidFill>
              <w14:srgbClr w14:val="262626"/>
            </w14:solidFill>
          </w14:textFill>
        </w:rPr>
        <w:t>s golden age of wealth as a trading port in the 18th century, the buildings respect the much older urban layout that dates back to the 6th century. The 18th-century urban plan placed equal emphasis on the built fabric as on public green spaces within the city centre. In addition, within the urban fabric are a range of significant monuments from each stage of the city</w:t>
      </w:r>
      <w:r>
        <w:rPr>
          <w:rStyle w:val="None"/>
          <w:rFonts w:ascii="Inter" w:cs="Inter" w:hAnsi="Inter" w:eastAsia="Inter"/>
          <w:outline w:val="0"/>
          <w:color w:val="262626"/>
          <w:sz w:val="18"/>
          <w:szCs w:val="18"/>
          <w:u w:color="262626"/>
          <w:rtl w:val="0"/>
          <w:lang w:val="en-US"/>
          <w14:textFill>
            <w14:solidFill>
              <w14:srgbClr w14:val="262626"/>
            </w14:solidFill>
          </w14:textFill>
        </w:rPr>
        <w:t>’</w:t>
      </w:r>
      <w:r>
        <w:rPr>
          <w:rStyle w:val="None"/>
          <w:rFonts w:ascii="Inter" w:cs="Inter" w:hAnsi="Inter" w:eastAsia="Inter"/>
          <w:outline w:val="0"/>
          <w:color w:val="262626"/>
          <w:sz w:val="18"/>
          <w:szCs w:val="18"/>
          <w:u w:color="262626"/>
          <w:rtl w:val="0"/>
          <w:lang w:val="en-US"/>
          <w14:textFill>
            <w14:solidFill>
              <w14:srgbClr w14:val="262626"/>
            </w14:solidFill>
          </w14:textFill>
        </w:rPr>
        <w:t>s history: the Mausoleum of Eugenius, the Basilica of St Helena and the Great Mosque with its madrasa and baths, are all important architectural masterpieces of different periods. The eclectic mix of vernacular and monumental architecture reflects the diverse communities who have lived in the city for one and a half millennia and who continue to follow traditional practices today.</w:t>
      </w:r>
      <w:r>
        <w:rPr>
          <w:rStyle w:val="None"/>
          <w:rFonts w:ascii="Inter" w:cs="Inter" w:hAnsi="Inter" w:eastAsia="Inter"/>
          <w:outline w:val="0"/>
          <w:color w:val="262626"/>
          <w:sz w:val="18"/>
          <w:szCs w:val="18"/>
          <w:u w:color="262626"/>
          <w14:textFill>
            <w14:solidFill>
              <w14:srgbClr w14:val="262626"/>
            </w14:solidFill>
          </w14:textFill>
        </w:rPr>
        <w:drawing xmlns:a="http://schemas.openxmlformats.org/drawingml/2006/main">
          <wp:anchor distT="0" distB="0" distL="0" distR="0" simplePos="0" relativeHeight="251659264" behindDoc="0" locked="0" layoutInCell="1" allowOverlap="1">
            <wp:simplePos x="0" y="0"/>
            <wp:positionH relativeFrom="margin">
              <wp:posOffset>922596</wp:posOffset>
            </wp:positionH>
            <wp:positionV relativeFrom="line">
              <wp:posOffset>271426</wp:posOffset>
            </wp:positionV>
            <wp:extent cx="6371707" cy="2736414"/>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5">
                      <a:extLst/>
                    </a:blip>
                    <a:stretch>
                      <a:fillRect/>
                    </a:stretch>
                  </pic:blipFill>
                  <pic:spPr>
                    <a:xfrm>
                      <a:off x="0" y="0"/>
                      <a:ext cx="6371707" cy="2736414"/>
                    </a:xfrm>
                    <a:prstGeom prst="rect">
                      <a:avLst/>
                    </a:prstGeom>
                    <a:ln w="12700" cap="flat">
                      <a:noFill/>
                      <a:miter lim="400000"/>
                    </a:ln>
                    <a:effectLst/>
                  </pic:spPr>
                </pic:pic>
              </a:graphicData>
            </a:graphic>
          </wp:anchor>
        </w:drawing>
      </w:r>
      <w:r>
        <w:rPr>
          <w:rStyle w:val="None"/>
          <w:rFonts w:ascii="Inter" w:cs="Inter" w:hAnsi="Inter" w:eastAsia="Inter"/>
          <w:outline w:val="0"/>
          <w:color w:val="262626"/>
          <w:sz w:val="18"/>
          <w:szCs w:val="18"/>
          <w:u w:color="262626"/>
          <w:rtl w:val="0"/>
          <w:lang w:val="en-US"/>
          <w14:textFill>
            <w14:solidFill>
              <w14:srgbClr w14:val="262626"/>
            </w14:solidFill>
          </w14:textFill>
        </w:rPr>
        <w:t> </w:t>
      </w:r>
    </w:p>
    <w:p>
      <w:pPr>
        <w:pStyle w:val="Body"/>
        <w:spacing w:line="240" w:lineRule="auto"/>
        <w:rPr>
          <w:rStyle w:val="None"/>
        </w:rPr>
      </w:pPr>
    </w:p>
    <w:p>
      <w:pPr>
        <w:pStyle w:val="Body"/>
        <w:rPr>
          <w:rStyle w:val="None"/>
          <w:rFonts w:ascii="Inter" w:cs="Inter" w:hAnsi="Inter" w:eastAsia="Inter"/>
        </w:rPr>
      </w:pPr>
    </w:p>
    <w:p>
      <w:pPr>
        <w:pStyle w:val="Body"/>
        <w:spacing w:line="288" w:lineRule="auto"/>
        <w:jc w:val="both"/>
        <w:rPr>
          <w:rStyle w:val="None"/>
          <w:rFonts w:ascii="Inter" w:cs="Inter" w:hAnsi="Inter" w:eastAsia="Inter"/>
          <w:b w:val="1"/>
          <w:bCs w:val="1"/>
        </w:rPr>
      </w:pPr>
      <w:bookmarkStart w:name="_headingh.mb7ivttkg1s7" w:id="4"/>
      <w:bookmarkEnd w:id="4"/>
    </w:p>
    <w:p>
      <w:pPr>
        <w:pStyle w:val="Body"/>
        <w:spacing w:line="288" w:lineRule="auto"/>
        <w:jc w:val="both"/>
        <w:rPr>
          <w:rStyle w:val="None"/>
          <w:rFonts w:ascii="Inter" w:cs="Inter" w:hAnsi="Inter" w:eastAsia="Inter"/>
          <w:b w:val="1"/>
          <w:bCs w:val="1"/>
        </w:rPr>
      </w:pPr>
    </w:p>
    <w:p>
      <w:pPr>
        <w:pStyle w:val="Body"/>
        <w:jc w:val="both"/>
        <w:rPr>
          <w:rStyle w:val="None"/>
          <w:rFonts w:ascii="Inter" w:cs="Inter" w:hAnsi="Inter" w:eastAsia="Inter"/>
          <w:outline w:val="0"/>
          <w:color w:val="212121"/>
          <w:sz w:val="20"/>
          <w:szCs w:val="20"/>
          <w:u w:color="212121"/>
          <w:shd w:val="clear" w:color="auto" w:fill="ffffff"/>
          <w14:textFill>
            <w14:solidFill>
              <w14:srgbClr w14:val="212121"/>
            </w14:solidFill>
          </w14:textFill>
        </w:rPr>
      </w:pPr>
    </w:p>
    <w:p>
      <w:pPr>
        <w:pStyle w:val="Body"/>
        <w:jc w:val="both"/>
        <w:rPr>
          <w:rStyle w:val="None"/>
          <w:rFonts w:ascii="Inter" w:cs="Inter" w:hAnsi="Inter" w:eastAsia="Inter"/>
          <w:outline w:val="0"/>
          <w:color w:val="212121"/>
          <w:sz w:val="20"/>
          <w:szCs w:val="20"/>
          <w:u w:color="212121"/>
          <w:shd w:val="clear" w:color="auto" w:fill="ffffff"/>
          <w14:textFill>
            <w14:solidFill>
              <w14:srgbClr w14:val="212121"/>
            </w14:solidFill>
          </w14:textFill>
        </w:rPr>
      </w:pPr>
    </w:p>
    <w:p>
      <w:pPr>
        <w:pStyle w:val="Body"/>
        <w:jc w:val="both"/>
        <w:rPr>
          <w:rStyle w:val="None"/>
          <w:rFonts w:ascii="Inter" w:cs="Inter" w:hAnsi="Inter" w:eastAsia="Inter"/>
          <w:outline w:val="0"/>
          <w:color w:val="212121"/>
          <w:sz w:val="20"/>
          <w:szCs w:val="20"/>
          <w:u w:color="212121"/>
          <w:shd w:val="clear" w:color="auto" w:fill="ffffff"/>
          <w14:textFill>
            <w14:solidFill>
              <w14:srgbClr w14:val="212121"/>
            </w14:solidFill>
          </w14:textFill>
        </w:rPr>
      </w:pPr>
    </w:p>
    <w:p>
      <w:pPr>
        <w:pStyle w:val="Body"/>
        <w:jc w:val="both"/>
        <w:rPr>
          <w:rStyle w:val="None"/>
          <w:rFonts w:ascii="Inter" w:cs="Inter" w:hAnsi="Inter" w:eastAsia="Inter"/>
          <w:outline w:val="0"/>
          <w:color w:val="212121"/>
          <w:sz w:val="20"/>
          <w:szCs w:val="20"/>
          <w:u w:color="212121"/>
          <w:shd w:val="clear" w:color="auto" w:fill="ffffff"/>
          <w14:textFill>
            <w14:solidFill>
              <w14:srgbClr w14:val="212121"/>
            </w14:solidFill>
          </w14:textFill>
        </w:rPr>
      </w:pPr>
    </w:p>
    <w:p>
      <w:pPr>
        <w:pStyle w:val="Body"/>
        <w:jc w:val="both"/>
        <w:rPr>
          <w:rStyle w:val="None"/>
          <w:rFonts w:ascii="Inter" w:cs="Inter" w:hAnsi="Inter" w:eastAsia="Inter"/>
          <w:outline w:val="0"/>
          <w:color w:val="212121"/>
          <w:sz w:val="20"/>
          <w:szCs w:val="20"/>
          <w:u w:color="212121"/>
          <w:shd w:val="clear" w:color="auto" w:fill="ffffff"/>
          <w14:textFill>
            <w14:solidFill>
              <w14:srgbClr w14:val="212121"/>
            </w14:solidFill>
          </w14:textFill>
        </w:rPr>
      </w:pPr>
    </w:p>
    <w:p>
      <w:pPr>
        <w:pStyle w:val="Body"/>
        <w:jc w:val="both"/>
        <w:rPr>
          <w:rStyle w:val="None"/>
          <w:rFonts w:ascii="Inter" w:cs="Inter" w:hAnsi="Inter" w:eastAsia="Inter"/>
          <w:outline w:val="0"/>
          <w:color w:val="212121"/>
          <w:sz w:val="20"/>
          <w:szCs w:val="20"/>
          <w:u w:color="212121"/>
          <w:shd w:val="clear" w:color="auto" w:fill="ffffff"/>
          <w14:textFill>
            <w14:solidFill>
              <w14:srgbClr w14:val="212121"/>
            </w14:solidFill>
          </w14:textFill>
        </w:rPr>
      </w:pPr>
    </w:p>
    <w:p>
      <w:pPr>
        <w:pStyle w:val="Body"/>
        <w:jc w:val="both"/>
        <w:rPr>
          <w:rStyle w:val="None"/>
          <w:rFonts w:ascii="Inter" w:cs="Inter" w:hAnsi="Inter" w:eastAsia="Inter"/>
          <w:outline w:val="0"/>
          <w:color w:val="212121"/>
          <w:sz w:val="20"/>
          <w:szCs w:val="20"/>
          <w:u w:color="212121"/>
          <w:shd w:val="clear" w:color="auto" w:fill="ffffff"/>
          <w14:textFill>
            <w14:solidFill>
              <w14:srgbClr w14:val="212121"/>
            </w14:solidFill>
          </w14:textFill>
        </w:rPr>
      </w:pPr>
    </w:p>
    <w:p>
      <w:pPr>
        <w:pStyle w:val="Body"/>
        <w:jc w:val="both"/>
        <w:rPr>
          <w:rStyle w:val="None"/>
          <w:rFonts w:ascii="Inter" w:cs="Inter" w:hAnsi="Inter" w:eastAsia="Inter"/>
          <w:outline w:val="0"/>
          <w:color w:val="212121"/>
          <w:sz w:val="20"/>
          <w:szCs w:val="20"/>
          <w:u w:color="212121"/>
          <w:shd w:val="clear" w:color="auto" w:fill="ffffff"/>
          <w14:textFill>
            <w14:solidFill>
              <w14:srgbClr w14:val="212121"/>
            </w14:solidFill>
          </w14:textFill>
        </w:rPr>
      </w:pPr>
    </w:p>
    <w:p>
      <w:pPr>
        <w:pStyle w:val="Body"/>
        <w:jc w:val="both"/>
        <w:rPr>
          <w:rStyle w:val="None"/>
          <w:rFonts w:ascii="Inter" w:cs="Inter" w:hAnsi="Inter" w:eastAsia="Inter"/>
          <w:outline w:val="0"/>
          <w:color w:val="212121"/>
          <w:sz w:val="20"/>
          <w:szCs w:val="20"/>
          <w:u w:color="212121"/>
          <w:shd w:val="clear" w:color="auto" w:fill="ffffff"/>
          <w14:textFill>
            <w14:solidFill>
              <w14:srgbClr w14:val="212121"/>
            </w14:solidFill>
          </w14:textFill>
        </w:rPr>
      </w:pPr>
    </w:p>
    <w:p>
      <w:pPr>
        <w:pStyle w:val="Body"/>
        <w:jc w:val="both"/>
        <w:rPr>
          <w:rStyle w:val="None"/>
          <w:rFonts w:ascii="Inter" w:cs="Inter" w:hAnsi="Inter" w:eastAsia="Inter"/>
          <w:outline w:val="0"/>
          <w:color w:val="212121"/>
          <w:sz w:val="20"/>
          <w:szCs w:val="20"/>
          <w:u w:color="212121"/>
          <w:shd w:val="clear" w:color="auto" w:fill="ffffff"/>
          <w14:textFill>
            <w14:solidFill>
              <w14:srgbClr w14:val="212121"/>
            </w14:solidFill>
          </w14:textFill>
        </w:rPr>
      </w:pPr>
    </w:p>
    <w:p>
      <w:pPr>
        <w:pStyle w:val="Body"/>
        <w:jc w:val="both"/>
        <w:rPr>
          <w:rStyle w:val="None"/>
          <w:rFonts w:ascii="Inter" w:cs="Inter" w:hAnsi="Inter" w:eastAsia="Inter"/>
          <w:b w:val="1"/>
          <w:bCs w:val="1"/>
          <w:sz w:val="24"/>
          <w:szCs w:val="24"/>
        </w:rPr>
      </w:pPr>
      <w:r>
        <w:rPr>
          <w:rStyle w:val="None"/>
          <w:rFonts w:ascii="Inter" w:cs="Inter" w:hAnsi="Inter" w:eastAsia="Inter"/>
          <w:b w:val="1"/>
          <w:bCs w:val="1"/>
          <w:sz w:val="24"/>
          <w:szCs w:val="24"/>
          <w:rtl w:val="0"/>
          <w:lang w:val="en-US"/>
        </w:rPr>
        <w:t>Part Three - Prioritising Values</w:t>
      </w:r>
    </w:p>
    <w:p>
      <w:pPr>
        <w:pStyle w:val="Body"/>
        <w:jc w:val="both"/>
        <w:rPr>
          <w:rStyle w:val="None"/>
          <w:rFonts w:ascii="Inter" w:cs="Inter" w:hAnsi="Inter" w:eastAsia="Inter"/>
          <w:b w:val="1"/>
          <w:bCs w:val="1"/>
          <w:sz w:val="24"/>
          <w:szCs w:val="24"/>
        </w:rPr>
      </w:pPr>
    </w:p>
    <w:p>
      <w:pPr>
        <w:pStyle w:val="Body"/>
        <w:jc w:val="both"/>
        <w:rPr>
          <w:rStyle w:val="None"/>
          <w:rFonts w:ascii="Inter" w:cs="Inter" w:hAnsi="Inter" w:eastAsia="Inter"/>
          <w:sz w:val="20"/>
          <w:szCs w:val="20"/>
        </w:rPr>
      </w:pPr>
      <w:r>
        <w:rPr>
          <w:rStyle w:val="None"/>
          <w:rFonts w:ascii="Inter" w:cs="Inter" w:hAnsi="Inter" w:eastAsia="Inter"/>
          <w:sz w:val="20"/>
          <w:szCs w:val="20"/>
          <w:rtl w:val="0"/>
          <w:lang w:val="en-US"/>
        </w:rPr>
        <w:t>Use this</w:t>
      </w:r>
      <w:r>
        <w:rPr>
          <w:rStyle w:val="None"/>
          <w:rFonts w:ascii="Inter" w:cs="Inter" w:hAnsi="Inter" w:eastAsia="Inter"/>
          <w:b w:val="1"/>
          <w:bCs w:val="1"/>
          <w:sz w:val="20"/>
          <w:szCs w:val="20"/>
          <w:rtl w:val="0"/>
          <w:lang w:val="en-US"/>
        </w:rPr>
        <w:t xml:space="preserve"> last table</w:t>
      </w:r>
      <w:r>
        <w:rPr>
          <w:rStyle w:val="None"/>
          <w:rFonts w:ascii="Inter" w:cs="Inter" w:hAnsi="Inter" w:eastAsia="Inter"/>
          <w:sz w:val="20"/>
          <w:szCs w:val="20"/>
          <w:rtl w:val="0"/>
          <w:lang w:val="en-US"/>
        </w:rPr>
        <w:t xml:space="preserve"> to now think about how you are going to prioritise your values and attributes for the sake of the risk assessment. Make sure to have </w:t>
      </w:r>
      <w:r>
        <w:rPr>
          <w:rStyle w:val="None"/>
          <w:rFonts w:ascii="Inter" w:cs="Inter" w:hAnsi="Inter" w:eastAsia="Inter"/>
          <w:b w:val="1"/>
          <w:bCs w:val="1"/>
          <w:sz w:val="20"/>
          <w:szCs w:val="20"/>
          <w:rtl w:val="0"/>
          <w:lang w:val="en-US"/>
        </w:rPr>
        <w:t>clear rationale for prioritisation,</w:t>
      </w:r>
      <w:r>
        <w:rPr>
          <w:rStyle w:val="None"/>
          <w:rFonts w:ascii="Inter" w:cs="Inter" w:hAnsi="Inter" w:eastAsia="Inter"/>
          <w:sz w:val="20"/>
          <w:szCs w:val="20"/>
          <w:rtl w:val="0"/>
          <w:lang w:val="en-US"/>
        </w:rPr>
        <w:t xml:space="preserve"> ensuring the involvement and validation of key stakeholders and associated communities.</w:t>
      </w:r>
    </w:p>
    <w:p>
      <w:pPr>
        <w:pStyle w:val="Body"/>
        <w:rPr>
          <w:rStyle w:val="None"/>
          <w:rFonts w:ascii="Inter" w:cs="Inter" w:hAnsi="Inter" w:eastAsia="Inter"/>
          <w:sz w:val="20"/>
          <w:szCs w:val="20"/>
        </w:rPr>
      </w:pPr>
    </w:p>
    <w:tbl>
      <w:tblPr>
        <w:tblW w:w="1297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65"/>
        <w:gridCol w:w="2415"/>
        <w:gridCol w:w="1605"/>
        <w:gridCol w:w="5490"/>
      </w:tblGrid>
      <w:tr>
        <w:tblPrEx>
          <w:shd w:val="clear" w:color="auto" w:fill="ced7e7"/>
        </w:tblPrEx>
        <w:trPr>
          <w:trHeight w:val="500" w:hRule="atLeast"/>
        </w:trPr>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center"/>
          </w:tcPr>
          <w:p>
            <w:pPr>
              <w:pStyle w:val="Body"/>
              <w:widowControl w:val="0"/>
              <w:spacing w:line="240" w:lineRule="auto"/>
            </w:pPr>
            <w:r>
              <w:rPr>
                <w:rStyle w:val="None"/>
                <w:rFonts w:ascii="Inter" w:cs="Inter" w:hAnsi="Inter" w:eastAsia="Inter"/>
                <w:b w:val="1"/>
                <w:bCs w:val="1"/>
                <w:sz w:val="20"/>
                <w:szCs w:val="20"/>
                <w:shd w:val="nil" w:color="auto" w:fill="auto"/>
                <w:rtl w:val="0"/>
                <w:lang w:val="en-US"/>
              </w:rPr>
              <w:t>Key Value</w:t>
            </w:r>
          </w:p>
        </w:tc>
        <w:tc>
          <w:tcPr>
            <w:tcW w:type="dxa" w:w="24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top"/>
          </w:tcPr>
          <w:p>
            <w:pPr>
              <w:pStyle w:val="Body"/>
              <w:widowControl w:val="0"/>
              <w:spacing w:line="240" w:lineRule="auto"/>
            </w:pPr>
            <w:r>
              <w:rPr>
                <w:rStyle w:val="None"/>
                <w:rFonts w:ascii="Inter" w:cs="Inter" w:hAnsi="Inter" w:eastAsia="Inter"/>
                <w:b w:val="1"/>
                <w:bCs w:val="1"/>
                <w:sz w:val="20"/>
                <w:szCs w:val="20"/>
                <w:shd w:val="nil" w:color="auto" w:fill="auto"/>
                <w:rtl w:val="0"/>
                <w:lang w:val="en-US"/>
              </w:rPr>
              <w:t>Attributes (What is important?)</w:t>
            </w:r>
          </w:p>
        </w:tc>
        <w:tc>
          <w:tcPr>
            <w:tcW w:type="dxa" w:w="16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top"/>
          </w:tcPr>
          <w:p>
            <w:pPr>
              <w:pStyle w:val="Body"/>
              <w:widowControl w:val="0"/>
              <w:spacing w:line="240" w:lineRule="auto"/>
            </w:pPr>
            <w:r>
              <w:rPr>
                <w:rStyle w:val="None"/>
                <w:rFonts w:ascii="Inter" w:cs="Inter" w:hAnsi="Inter" w:eastAsia="Inter"/>
                <w:b w:val="1"/>
                <w:bCs w:val="1"/>
                <w:sz w:val="20"/>
                <w:szCs w:val="20"/>
                <w:shd w:val="nil" w:color="auto" w:fill="auto"/>
                <w:rtl w:val="0"/>
                <w:lang w:val="en-US"/>
              </w:rPr>
              <w:t>Prioritisation</w:t>
            </w:r>
          </w:p>
        </w:tc>
        <w:tc>
          <w:tcPr>
            <w:tcW w:type="dxa" w:w="54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top"/>
          </w:tcPr>
          <w:p>
            <w:pPr>
              <w:pStyle w:val="Body"/>
              <w:widowControl w:val="0"/>
              <w:spacing w:line="240" w:lineRule="auto"/>
            </w:pPr>
            <w:r>
              <w:rPr>
                <w:rStyle w:val="None"/>
                <w:rFonts w:ascii="Inter" w:cs="Inter" w:hAnsi="Inter" w:eastAsia="Inter"/>
                <w:b w:val="1"/>
                <w:bCs w:val="1"/>
                <w:sz w:val="20"/>
                <w:szCs w:val="20"/>
                <w:shd w:val="nil" w:color="auto" w:fill="auto"/>
                <w:rtl w:val="0"/>
                <w:lang w:val="en-US"/>
              </w:rPr>
              <w:t>Rationale</w:t>
            </w:r>
          </w:p>
        </w:tc>
      </w:tr>
      <w:tr>
        <w:tblPrEx>
          <w:shd w:val="clear" w:color="auto" w:fill="ced7e7"/>
        </w:tblPrEx>
        <w:trPr>
          <w:trHeight w:val="2900" w:hRule="atLeast"/>
        </w:trPr>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9daf8"/>
            <w:tcMar>
              <w:top w:type="dxa" w:w="80"/>
              <w:left w:type="dxa" w:w="80"/>
              <w:bottom w:type="dxa" w:w="80"/>
              <w:right w:type="dxa" w:w="80"/>
            </w:tcMar>
            <w:vAlign w:val="top"/>
          </w:tcPr>
          <w:p>
            <w:pPr>
              <w:pStyle w:val="Body"/>
              <w:widowControl w:val="0"/>
              <w:spacing w:line="240" w:lineRule="auto"/>
              <w:rPr>
                <w:rStyle w:val="None"/>
                <w:rFonts w:ascii="Inter" w:cs="Inter" w:hAnsi="Inter" w:eastAsia="Inter"/>
                <w:sz w:val="20"/>
                <w:szCs w:val="20"/>
                <w:shd w:val="nil" w:color="auto" w:fill="auto"/>
              </w:rPr>
            </w:pPr>
            <w:r>
              <w:rPr>
                <w:rStyle w:val="None"/>
                <w:rFonts w:ascii="Inter" w:cs="Inter" w:hAnsi="Inter" w:eastAsia="Inter"/>
                <w:sz w:val="20"/>
                <w:szCs w:val="20"/>
                <w:shd w:val="nil" w:color="auto" w:fill="auto"/>
                <w:rtl w:val="0"/>
                <w:lang w:val="en-US"/>
              </w:rPr>
              <w:t>EXAMPLE: Ecological and Cultural</w:t>
            </w:r>
          </w:p>
          <w:p>
            <w:pPr>
              <w:pStyle w:val="Body"/>
              <w:widowControl w:val="0"/>
              <w:spacing w:line="240" w:lineRule="auto"/>
              <w:rPr>
                <w:rStyle w:val="None"/>
                <w:rFonts w:ascii="Inter" w:cs="Inter" w:hAnsi="Inter" w:eastAsia="Inter"/>
                <w:sz w:val="20"/>
                <w:szCs w:val="20"/>
                <w:shd w:val="nil" w:color="auto" w:fill="auto"/>
                <w:lang w:val="en-US"/>
              </w:rPr>
            </w:pPr>
          </w:p>
          <w:p>
            <w:pPr>
              <w:pStyle w:val="Body"/>
              <w:widowControl w:val="0"/>
              <w:bidi w:val="0"/>
              <w:spacing w:line="240" w:lineRule="auto"/>
              <w:ind w:left="0" w:right="0" w:firstLine="0"/>
              <w:jc w:val="left"/>
              <w:rPr>
                <w:rtl w:val="0"/>
              </w:rPr>
            </w:pPr>
            <w:r>
              <w:rPr>
                <w:rStyle w:val="None"/>
                <w:rFonts w:ascii="Inter" w:cs="Inter" w:hAnsi="Inter" w:eastAsia="Inter"/>
                <w:b w:val="0"/>
                <w:bCs w:val="0"/>
                <w:sz w:val="20"/>
                <w:szCs w:val="20"/>
                <w:shd w:val="nil" w:color="auto" w:fill="auto"/>
                <w:rtl w:val="0"/>
                <w:lang w:val="en-US"/>
              </w:rPr>
              <w:t xml:space="preserve">The sacred groves and forests are </w:t>
            </w:r>
            <w:r>
              <w:rPr>
                <w:rStyle w:val="None"/>
                <w:rFonts w:ascii="Inter" w:cs="Inter" w:hAnsi="Inter" w:eastAsia="Inter"/>
                <w:b w:val="1"/>
                <w:bCs w:val="1"/>
                <w:sz w:val="20"/>
                <w:szCs w:val="20"/>
                <w:shd w:val="nil" w:color="auto" w:fill="auto"/>
                <w:rtl w:val="0"/>
                <w:lang w:val="en-US"/>
              </w:rPr>
              <w:t>reservoirs for flora and fauna</w:t>
            </w:r>
            <w:r>
              <w:rPr>
                <w:rStyle w:val="None"/>
                <w:rFonts w:ascii="Inter" w:cs="Inter" w:hAnsi="Inter" w:eastAsia="Inter"/>
                <w:b w:val="0"/>
                <w:bCs w:val="0"/>
                <w:sz w:val="20"/>
                <w:szCs w:val="20"/>
                <w:shd w:val="nil" w:color="auto" w:fill="auto"/>
                <w:rtl w:val="0"/>
                <w:lang w:val="en-US"/>
              </w:rPr>
              <w:t xml:space="preserve"> and contribute to the </w:t>
            </w:r>
            <w:r>
              <w:rPr>
                <w:rStyle w:val="None"/>
                <w:rFonts w:ascii="Inter" w:cs="Inter" w:hAnsi="Inter" w:eastAsia="Inter"/>
                <w:b w:val="1"/>
                <w:bCs w:val="1"/>
                <w:sz w:val="20"/>
                <w:szCs w:val="20"/>
                <w:shd w:val="nil" w:color="auto" w:fill="auto"/>
                <w:rtl w:val="0"/>
                <w:lang w:val="en-US"/>
              </w:rPr>
              <w:t>balance of the ecosystem.</w:t>
            </w:r>
            <w:r>
              <w:rPr>
                <w:rStyle w:val="None"/>
                <w:rFonts w:ascii="Inter" w:cs="Inter" w:hAnsi="Inter" w:eastAsia="Inter"/>
                <w:b w:val="0"/>
                <w:bCs w:val="0"/>
                <w:sz w:val="20"/>
                <w:szCs w:val="20"/>
                <w:shd w:val="nil" w:color="auto" w:fill="auto"/>
                <w:rtl w:val="0"/>
                <w:lang w:val="en-US"/>
              </w:rPr>
              <w:t xml:space="preserve"> The Takienta would not </w:t>
            </w:r>
            <w:r>
              <w:rPr>
                <w:rStyle w:val="None"/>
                <w:rFonts w:ascii="Inter" w:cs="Inter" w:hAnsi="Inter" w:eastAsia="Inter"/>
                <w:b w:val="1"/>
                <w:bCs w:val="1"/>
                <w:sz w:val="20"/>
                <w:szCs w:val="20"/>
                <w:shd w:val="nil" w:color="auto" w:fill="auto"/>
                <w:rtl w:val="0"/>
                <w:lang w:val="en-US"/>
              </w:rPr>
              <w:t>exist without the sacred groves, forests and sanctuary</w:t>
            </w:r>
            <w:r>
              <w:rPr>
                <w:rStyle w:val="None"/>
                <w:rFonts w:ascii="Inter" w:cs="Inter" w:hAnsi="Inter" w:eastAsia="Inter"/>
                <w:b w:val="0"/>
                <w:bCs w:val="0"/>
                <w:sz w:val="20"/>
                <w:szCs w:val="20"/>
                <w:shd w:val="nil" w:color="auto" w:fill="auto"/>
                <w:rtl w:val="0"/>
                <w:lang w:val="en-US"/>
              </w:rPr>
              <w:t xml:space="preserve">. These are the </w:t>
            </w:r>
            <w:r>
              <w:rPr>
                <w:rStyle w:val="None"/>
                <w:rFonts w:ascii="Inter" w:cs="Inter" w:hAnsi="Inter" w:eastAsia="Inter"/>
                <w:b w:val="1"/>
                <w:bCs w:val="1"/>
                <w:sz w:val="20"/>
                <w:szCs w:val="20"/>
                <w:shd w:val="nil" w:color="auto" w:fill="auto"/>
                <w:rtl w:val="0"/>
                <w:lang w:val="en-US"/>
              </w:rPr>
              <w:t>places where rituals, initiations, funerals, dances and songs are performed.</w:t>
            </w:r>
            <w:r>
              <w:rPr>
                <w:rStyle w:val="None"/>
                <w:rFonts w:ascii="Inter" w:cs="Inter" w:hAnsi="Inter" w:eastAsia="Inter"/>
                <w:b w:val="1"/>
                <w:bCs w:val="1"/>
                <w:sz w:val="20"/>
                <w:szCs w:val="20"/>
                <w:shd w:val="nil" w:color="auto" w:fill="auto"/>
              </w:rPr>
            </w:r>
          </w:p>
        </w:tc>
        <w:tc>
          <w:tcPr>
            <w:tcW w:type="dxa" w:w="24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9daf8"/>
            <w:tcMar>
              <w:top w:type="dxa" w:w="80"/>
              <w:left w:type="dxa" w:w="80"/>
              <w:bottom w:type="dxa" w:w="80"/>
              <w:right w:type="dxa" w:w="80"/>
            </w:tcMar>
            <w:vAlign w:val="top"/>
          </w:tcPr>
          <w:p>
            <w:pPr>
              <w:pStyle w:val="Body"/>
              <w:widowControl w:val="0"/>
              <w:spacing w:line="240" w:lineRule="auto"/>
            </w:pPr>
            <w:r>
              <w:rPr>
                <w:rStyle w:val="None"/>
                <w:rFonts w:ascii="Inter" w:cs="Inter" w:hAnsi="Inter" w:eastAsia="Inter"/>
                <w:sz w:val="20"/>
                <w:szCs w:val="20"/>
                <w:shd w:val="nil" w:color="auto" w:fill="auto"/>
                <w:rtl w:val="0"/>
                <w:lang w:val="en-US"/>
              </w:rPr>
              <w:t>Sacred groves, forests, sanctuaries, cemeteries, ritual, initiation and funeral practices, dances and songs.</w:t>
            </w:r>
          </w:p>
        </w:tc>
        <w:tc>
          <w:tcPr>
            <w:tcW w:type="dxa" w:w="16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9daf8"/>
            <w:tcMar>
              <w:top w:type="dxa" w:w="80"/>
              <w:left w:type="dxa" w:w="80"/>
              <w:bottom w:type="dxa" w:w="80"/>
              <w:right w:type="dxa" w:w="80"/>
            </w:tcMar>
            <w:vAlign w:val="top"/>
          </w:tcPr>
          <w:p>
            <w:pPr>
              <w:pStyle w:val="Body"/>
              <w:widowControl w:val="0"/>
              <w:spacing w:line="240" w:lineRule="auto"/>
            </w:pPr>
            <w:r>
              <w:rPr>
                <w:rStyle w:val="None"/>
                <w:rFonts w:ascii="Inter" w:cs="Inter" w:hAnsi="Inter" w:eastAsia="Inter"/>
                <w:sz w:val="20"/>
                <w:szCs w:val="20"/>
                <w:shd w:val="nil" w:color="auto" w:fill="auto"/>
                <w:rtl w:val="0"/>
                <w:lang w:val="en-US"/>
              </w:rPr>
              <w:t>1</w:t>
            </w:r>
          </w:p>
        </w:tc>
        <w:tc>
          <w:tcPr>
            <w:tcW w:type="dxa" w:w="54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9daf8"/>
            <w:tcMar>
              <w:top w:type="dxa" w:w="80"/>
              <w:left w:type="dxa" w:w="80"/>
              <w:bottom w:type="dxa" w:w="80"/>
              <w:right w:type="dxa" w:w="80"/>
            </w:tcMar>
            <w:vAlign w:val="top"/>
          </w:tcPr>
          <w:p>
            <w:pPr>
              <w:pStyle w:val="Body"/>
              <w:widowControl w:val="0"/>
              <w:spacing w:line="240" w:lineRule="auto"/>
              <w:rPr>
                <w:rStyle w:val="None"/>
                <w:rFonts w:ascii="Inter" w:cs="Inter" w:hAnsi="Inter" w:eastAsia="Inter"/>
                <w:sz w:val="20"/>
                <w:szCs w:val="20"/>
                <w:shd w:val="nil" w:color="auto" w:fill="auto"/>
              </w:rPr>
            </w:pPr>
            <w:r>
              <w:rPr>
                <w:rStyle w:val="None"/>
                <w:rFonts w:ascii="Inter" w:cs="Inter" w:hAnsi="Inter" w:eastAsia="Inter"/>
                <w:sz w:val="20"/>
                <w:szCs w:val="20"/>
                <w:shd w:val="nil" w:color="auto" w:fill="auto"/>
                <w:rtl w:val="0"/>
                <w:lang w:val="en-US"/>
              </w:rPr>
              <w:t xml:space="preserve">These particular values were reflected most strongly as a priority with the local community, and the core components that hold up the spiritual components of the cultural landscape. </w:t>
            </w:r>
          </w:p>
          <w:p>
            <w:pPr>
              <w:pStyle w:val="Body"/>
              <w:widowControl w:val="0"/>
              <w:spacing w:line="240" w:lineRule="auto"/>
              <w:rPr>
                <w:rStyle w:val="None"/>
                <w:rFonts w:ascii="Inter" w:cs="Inter" w:hAnsi="Inter" w:eastAsia="Inter"/>
                <w:sz w:val="20"/>
                <w:szCs w:val="20"/>
                <w:shd w:val="nil" w:color="auto" w:fill="auto"/>
                <w:lang w:val="en-US"/>
              </w:rPr>
            </w:pPr>
          </w:p>
          <w:p>
            <w:pPr>
              <w:pStyle w:val="Body"/>
              <w:widowControl w:val="0"/>
              <w:bidi w:val="0"/>
              <w:spacing w:line="240" w:lineRule="auto"/>
              <w:ind w:left="0" w:right="0" w:firstLine="0"/>
              <w:jc w:val="left"/>
              <w:rPr>
                <w:rtl w:val="0"/>
              </w:rPr>
            </w:pPr>
            <w:r>
              <w:rPr>
                <w:rStyle w:val="None"/>
                <w:rFonts w:ascii="Inter" w:cs="Inter" w:hAnsi="Inter" w:eastAsia="Inter"/>
                <w:sz w:val="20"/>
                <w:szCs w:val="20"/>
                <w:shd w:val="nil" w:color="auto" w:fill="auto"/>
                <w:rtl w:val="0"/>
                <w:lang w:val="en-US"/>
              </w:rPr>
              <w:t>It was also felt that these were currently most obviously being impacted by climate impacts as well as other environmental changes.</w:t>
            </w:r>
          </w:p>
        </w:tc>
      </w:tr>
      <w:tr>
        <w:tblPrEx>
          <w:shd w:val="clear" w:color="auto" w:fill="ced7e7"/>
        </w:tblPrEx>
        <w:trPr>
          <w:trHeight w:val="440" w:hRule="atLeast"/>
        </w:trPr>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4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6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4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0" w:hRule="atLeast"/>
        </w:trPr>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4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6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4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0" w:hRule="atLeast"/>
        </w:trPr>
        <w:tc>
          <w:tcPr>
            <w:tcW w:type="dxa" w:w="34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4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6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4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r>
        <w:rPr>
          <w:rStyle w:val="None"/>
          <w:rFonts w:ascii="Inter" w:cs="Inter" w:hAnsi="Inter" w:eastAsia="Inter"/>
          <w:sz w:val="20"/>
          <w:szCs w:val="20"/>
        </w:rPr>
      </w:r>
    </w:p>
    <w:sectPr>
      <w:headerReference w:type="default" r:id="rId6"/>
      <w:footerReference w:type="default" r:id="rId7"/>
      <w:pgSz w:w="15840" w:h="12240" w:orient="landscape"/>
      <w:pgMar w:top="90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Inter">
    <w:charset w:val="00"/>
    <w:family w:val="roman"/>
    <w:pitch w:val="default"/>
  </w:font>
  <w:font w:name="Cambri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Inter" w:cs="Inter" w:hAnsi="Inter" w:eastAsia="Inter"/>
      <w:outline w:val="0"/>
      <w:color w:val="1155cc"/>
      <w:sz w:val="20"/>
      <w:szCs w:val="20"/>
      <w:u w:val="single" w:color="1155cc"/>
      <w14:textFill>
        <w14:solidFill>
          <w14:srgbClr w14:val="1155CC"/>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