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A09A" w14:textId="77777777" w:rsidR="003B39C3" w:rsidRDefault="00000000">
      <w:pPr>
        <w:pStyle w:val="Heading1"/>
      </w:pPr>
      <w:r>
        <w:t>Admissions and Continued Occupancy Policy (ACOP) Amendment</w:t>
      </w:r>
      <w:r>
        <w:br/>
        <w:t>Public Housing Program</w:t>
      </w:r>
    </w:p>
    <w:p w14:paraId="419408B0" w14:textId="77777777" w:rsidR="003B39C3" w:rsidRDefault="00000000">
      <w:pPr>
        <w:pStyle w:val="Heading2"/>
      </w:pPr>
      <w:r>
        <w:t>Purpose</w:t>
      </w:r>
    </w:p>
    <w:p w14:paraId="671E327C" w14:textId="77777777" w:rsidR="003B39C3" w:rsidRDefault="00000000">
      <w:r>
        <w:t>The purpose of this amendment is to update the Admissions and Continued Occupancy Policy (ACOP) to reflect local priorities, revised minimum rent requirements, compliance with updated HUD regulations, and revisions to the Public Housing Grievance Procedure.</w:t>
      </w:r>
    </w:p>
    <w:p w14:paraId="0C83A421" w14:textId="77777777" w:rsidR="003B39C3" w:rsidRDefault="00000000">
      <w:pPr>
        <w:pStyle w:val="Heading2"/>
      </w:pPr>
      <w:r>
        <w:t>Housing Crisis Referral Priority (Up to 50%)</w:t>
      </w:r>
    </w:p>
    <w:p w14:paraId="313C3ABD" w14:textId="77777777" w:rsidR="003B39C3" w:rsidRDefault="00000000">
      <w:r>
        <w:t>The Authority may prioritize up to fifty percent (50%) of public housing admissions offered each month for applicant households with a verified housing crisis referral from an approved partner agency participating in the Miami County Housing First system.</w:t>
      </w:r>
      <w:r>
        <w:br/>
      </w:r>
      <w:r>
        <w:br/>
        <w:t>A housing crisis referral is defined as written verification from an approved partner agency indicating that the household is experiencing an immediate housing crisis, including but not limited to literal homelessness, imminent risk of homelessness, fleeing domestic violence or other unsafe living conditions, or other circumstances determined by the Authority to meet Housing First crisis criteria.</w:t>
      </w:r>
      <w:r>
        <w:br/>
      </w:r>
      <w:r>
        <w:br/>
        <w:t>Referrals must originate from agencies included on the Miami County Housing First Accepted Partner List, as approved and maintained by the Authority. All referrals must be verified in accordance with procedures established by the Authority prior to admission.</w:t>
      </w:r>
    </w:p>
    <w:p w14:paraId="6EA639B4" w14:textId="77777777" w:rsidR="003B39C3" w:rsidRDefault="00000000">
      <w:pPr>
        <w:pStyle w:val="Heading2"/>
      </w:pPr>
      <w:r>
        <w:t>Miami County Resident or Worker Priority (Up to 40%)</w:t>
      </w:r>
    </w:p>
    <w:p w14:paraId="7A008E72" w14:textId="77777777" w:rsidR="003B39C3" w:rsidRDefault="00000000">
      <w:r>
        <w:t>The Authority may prioritize up to forty percent (40%) of public housing admissions offered each month for applicant households who currently reside in Miami County or have at least one adult household member employed in Miami County. Residency or employment status must be verified prior to admission.</w:t>
      </w:r>
    </w:p>
    <w:p w14:paraId="0265A686" w14:textId="77777777" w:rsidR="003B39C3" w:rsidRDefault="00000000">
      <w:pPr>
        <w:pStyle w:val="Heading2"/>
      </w:pPr>
      <w:r>
        <w:t>Application of Multiple Priorities</w:t>
      </w:r>
    </w:p>
    <w:p w14:paraId="10B226F1" w14:textId="77777777" w:rsidR="003B39C3" w:rsidRDefault="00000000">
      <w:r>
        <w:t>Applicant households may qualify for more than one local priority. Qualification for multiple priorities does not guarantee admission and does not result in additional weighting beyond placement within the applicable priority category.</w:t>
      </w:r>
    </w:p>
    <w:p w14:paraId="1D8CB13D" w14:textId="77777777" w:rsidR="003B39C3" w:rsidRDefault="00000000">
      <w:pPr>
        <w:pStyle w:val="Heading2"/>
      </w:pPr>
      <w:r>
        <w:t>Minimum Rent Requirement</w:t>
      </w:r>
    </w:p>
    <w:p w14:paraId="397838CB" w14:textId="77777777" w:rsidR="003B39C3" w:rsidRDefault="00000000">
      <w:r>
        <w:t>The Authority establishes a minimum rent of fifty dollars ($50.00) per month for all public housing households.</w:t>
      </w:r>
      <w:r>
        <w:br/>
      </w:r>
      <w:r>
        <w:br/>
        <w:t>The minimum rent applies to households whose Total Tenant Payment (TTP), as calculated in accordance with HUD regulations, would otherwise be less than $50.00.</w:t>
      </w:r>
      <w:r>
        <w:br/>
      </w:r>
      <w:r>
        <w:br/>
        <w:t xml:space="preserve">The Authority shall grant minimum rent hardship exemptions in accordance with HUD </w:t>
      </w:r>
      <w:r>
        <w:lastRenderedPageBreak/>
        <w:t>regulations. Hardship exemptions may be temporary or long-term, as determined by the Authority.</w:t>
      </w:r>
    </w:p>
    <w:p w14:paraId="54279019" w14:textId="77777777" w:rsidR="003B39C3" w:rsidRDefault="00000000">
      <w:pPr>
        <w:pStyle w:val="Heading2"/>
      </w:pPr>
      <w:r>
        <w:t>HOTMA and NSPIRE Compliance</w:t>
      </w:r>
    </w:p>
    <w:p w14:paraId="0CCFEC72" w14:textId="77777777" w:rsidR="003B39C3" w:rsidRDefault="00000000">
      <w:r>
        <w:t>The Authority’s Admissions and Continued Occupancy Policy is updated to ensure compliance with all applicable HUD Housing Opportunity Through Modernization Act (HOTMA) requirements and National Standards for the Physical Inspection of Real Estate (NSPIRE) regulations. Where ACOP provisions conflict with HUD-required rules, HUD regulations shall govern.</w:t>
      </w:r>
    </w:p>
    <w:p w14:paraId="1FAE9155" w14:textId="77777777" w:rsidR="003B39C3" w:rsidRDefault="00000000">
      <w:pPr>
        <w:pStyle w:val="Heading2"/>
      </w:pPr>
      <w:r>
        <w:t>Public Housing Grievance Procedure – Formal Hearing Panel</w:t>
      </w:r>
    </w:p>
    <w:p w14:paraId="070A1B09" w14:textId="77777777" w:rsidR="003B39C3" w:rsidRDefault="00000000">
      <w:r>
        <w:t>A Formal Hearing Panel may be requested by a resident who does not agree with the decision resulting from an informal hearing.</w:t>
      </w:r>
      <w:r>
        <w:br/>
      </w:r>
      <w:r>
        <w:br/>
        <w:t>The Formal Hearing Panel shall consist of at least six (6) designated members, as determined by the Resident Advisory Council (RAC). Three (3) panel members shall participate in each formal hearing, including at least one tenant representative from the RAC.</w:t>
      </w:r>
      <w:r>
        <w:br/>
      </w:r>
      <w:r>
        <w:br/>
        <w:t>Panel members shall be selected based on association with the tenant, involvement with the case, and availability.</w:t>
      </w:r>
      <w:r>
        <w:br/>
      </w:r>
      <w:r>
        <w:br/>
        <w:t>Panel membership includes the following positions: Executive Director, MMHA Board Chairperson, RAC Chairperson, and MMHA Board Tenant Representative. Additional members may be nominated by the RAC.</w:t>
      </w:r>
      <w:r>
        <w:br/>
      </w:r>
      <w:r>
        <w:br/>
        <w:t>Approved nominees include: Andria Beach, Becky Snell, Krystal Anderson, Barbara Tobias, Sara Smith, Kip Mauchamer, Liz DeWeese, and Chantay Biggs.</w:t>
      </w:r>
    </w:p>
    <w:p w14:paraId="29BBE1BE" w14:textId="77777777" w:rsidR="003B39C3" w:rsidRDefault="00000000">
      <w:pPr>
        <w:pStyle w:val="Heading2"/>
      </w:pPr>
      <w:r>
        <w:t>Grievance Hearing Exclusions and Denials</w:t>
      </w:r>
    </w:p>
    <w:p w14:paraId="27CFF5B7" w14:textId="77777777" w:rsidR="003B39C3" w:rsidRDefault="00000000">
      <w:r>
        <w:t>The Authority reserves the right to deny a Formal Public Housing Grievance Hearing for disputes not subject to the grievance process.</w:t>
      </w:r>
      <w:r>
        <w:br/>
      </w:r>
      <w:r>
        <w:br/>
        <w:t>Non-covered disputes include personal disputes between residents not involving the Authority, class grievances, and matters unrelated to Authority actions affecting a resident’s lease, rights, duties, welfare, or status.</w:t>
      </w:r>
      <w:r>
        <w:br/>
      </w:r>
      <w:r>
        <w:br/>
        <w:t>The Authority may exclude hearings for eviction actions involving criminal activity that threatens health, safety, or peaceful enjoyment of the premises, drug-related or violent criminal activity, or felony convictions, where state law provides court due process.</w:t>
      </w:r>
      <w:r>
        <w:br/>
      </w:r>
      <w:r>
        <w:br/>
        <w:t>Failure to timely request a Formal Hearing following informal resolution may result in procedural denial, subject to judicial remedies.</w:t>
      </w:r>
    </w:p>
    <w:p w14:paraId="70123017" w14:textId="77777777" w:rsidR="003B39C3" w:rsidRDefault="00000000">
      <w:pPr>
        <w:pStyle w:val="Heading2"/>
      </w:pPr>
      <w:r>
        <w:lastRenderedPageBreak/>
        <w:t>Effective Date</w:t>
      </w:r>
    </w:p>
    <w:p w14:paraId="04CBCE8E" w14:textId="77777777" w:rsidR="003B39C3" w:rsidRDefault="00000000">
      <w:r>
        <w:t>This amendment shall take effect on [EFFECTIVE DATE], following approval by the Board of Commissioners and required resident notification.</w:t>
      </w:r>
    </w:p>
    <w:sectPr w:rsidR="003B39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3408538">
    <w:abstractNumId w:val="8"/>
  </w:num>
  <w:num w:numId="2" w16cid:durableId="981731771">
    <w:abstractNumId w:val="6"/>
  </w:num>
  <w:num w:numId="3" w16cid:durableId="596601708">
    <w:abstractNumId w:val="5"/>
  </w:num>
  <w:num w:numId="4" w16cid:durableId="1671056263">
    <w:abstractNumId w:val="4"/>
  </w:num>
  <w:num w:numId="5" w16cid:durableId="1727560395">
    <w:abstractNumId w:val="7"/>
  </w:num>
  <w:num w:numId="6" w16cid:durableId="469832286">
    <w:abstractNumId w:val="3"/>
  </w:num>
  <w:num w:numId="7" w16cid:durableId="298456794">
    <w:abstractNumId w:val="2"/>
  </w:num>
  <w:num w:numId="8" w16cid:durableId="2074087215">
    <w:abstractNumId w:val="1"/>
  </w:num>
  <w:num w:numId="9" w16cid:durableId="132149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39C3"/>
    <w:rsid w:val="004F45FA"/>
    <w:rsid w:val="00AA1D8D"/>
    <w:rsid w:val="00B47730"/>
    <w:rsid w:val="00BF706C"/>
    <w:rsid w:val="00CB0664"/>
    <w:rsid w:val="00D149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BA712FE-4DB2-403C-8917-313DF8BD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3988</Characters>
  <Application>Microsoft Office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Andria Beach</cp:lastModifiedBy>
  <cp:revision>3</cp:revision>
  <dcterms:created xsi:type="dcterms:W3CDTF">2026-02-06T19:34:00Z</dcterms:created>
  <dcterms:modified xsi:type="dcterms:W3CDTF">2026-02-06T19:35:00Z</dcterms:modified>
  <cp:category/>
</cp:coreProperties>
</file>