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2F07" w14:textId="77777777" w:rsidR="00BB1A49" w:rsidRPr="00C94FFC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Introduction</w:t>
      </w:r>
    </w:p>
    <w:p w14:paraId="0FA2BA1A" w14:textId="2B37857A" w:rsidR="00BB1A49" w:rsidRPr="00C94FFC" w:rsidRDefault="00754BD9" w:rsidP="00C1082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Chandler </w:t>
      </w:r>
      <w:r w:rsidR="004072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GTO 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ensures that it meets the needs of individuals in all areas of the </w:t>
      </w:r>
      <w:r w:rsidR="004072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trainee’s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engagement with </w:t>
      </w:r>
      <w:r w:rsidR="00B90F99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Chandler</w:t>
      </w:r>
      <w:r w:rsidR="004072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GTO</w:t>
      </w:r>
      <w:r w:rsidR="0080091A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without discrimination.</w:t>
      </w:r>
    </w:p>
    <w:p w14:paraId="70CA212D" w14:textId="77777777" w:rsidR="00BB1A49" w:rsidRPr="00C94FFC" w:rsidRDefault="00BB1A49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Purpose</w:t>
      </w:r>
    </w:p>
    <w:p w14:paraId="4892B662" w14:textId="33A937F4" w:rsidR="00A6054F" w:rsidRPr="00C94FFC" w:rsidRDefault="00407291" w:rsidP="00C1082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This policy outlines the commitment of </w:t>
      </w:r>
      <w:r w:rsidR="00754BD9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Chandler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to ensuring 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that the principles of access and equity in the provision of timely and appropriate information, </w:t>
      </w:r>
      <w:proofErr w:type="gramStart"/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advice</w:t>
      </w:r>
      <w:proofErr w:type="gramEnd"/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and support services </w:t>
      </w:r>
      <w:r w:rsidR="006D6C9B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to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assist 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trainees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to identify and achieve their desired outcomes is provided at all times. </w:t>
      </w:r>
      <w:r w:rsidR="00754BD9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Chandler 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GTO</w:t>
      </w:r>
      <w:r w:rsidR="0080091A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ensures that it meets the needs of individuals without discrimination.</w:t>
      </w:r>
    </w:p>
    <w:p w14:paraId="3F6BB7DA" w14:textId="77777777" w:rsidR="00A6054F" w:rsidRPr="00C94FFC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Scope</w:t>
      </w:r>
    </w:p>
    <w:p w14:paraId="148507A8" w14:textId="5E59F2A7" w:rsidR="00A6054F" w:rsidRPr="00C94FFC" w:rsidRDefault="00C1082E" w:rsidP="00BB1A49">
      <w:pPr>
        <w:rPr>
          <w:rFonts w:asciiTheme="majorHAnsi" w:hAnsiTheme="majorHAnsi" w:cstheme="majorHAnsi"/>
          <w:sz w:val="22"/>
          <w:szCs w:val="22"/>
        </w:rPr>
      </w:pPr>
      <w:r w:rsidRPr="00C94FFC">
        <w:rPr>
          <w:rFonts w:asciiTheme="majorHAnsi" w:hAnsiTheme="majorHAnsi" w:cstheme="majorHAnsi"/>
          <w:sz w:val="22"/>
          <w:szCs w:val="22"/>
        </w:rPr>
        <w:t xml:space="preserve">All operational areas of </w:t>
      </w:r>
      <w:r w:rsidR="00754BD9">
        <w:rPr>
          <w:rFonts w:asciiTheme="majorHAnsi" w:hAnsiTheme="majorHAnsi" w:cstheme="majorHAnsi"/>
          <w:sz w:val="22"/>
          <w:szCs w:val="22"/>
        </w:rPr>
        <w:t>Chandler</w:t>
      </w:r>
      <w:r w:rsidR="000038AD">
        <w:rPr>
          <w:rFonts w:asciiTheme="majorHAnsi" w:hAnsiTheme="majorHAnsi" w:cstheme="majorHAnsi"/>
          <w:sz w:val="22"/>
          <w:szCs w:val="22"/>
        </w:rPr>
        <w:t xml:space="preserve"> </w:t>
      </w:r>
      <w:r w:rsidR="00407291">
        <w:rPr>
          <w:rFonts w:asciiTheme="majorHAnsi" w:hAnsiTheme="majorHAnsi" w:cstheme="majorHAnsi"/>
          <w:sz w:val="22"/>
          <w:szCs w:val="22"/>
        </w:rPr>
        <w:t>GTO</w:t>
      </w:r>
      <w:r w:rsidRPr="00C94FFC">
        <w:rPr>
          <w:rFonts w:asciiTheme="majorHAnsi" w:hAnsiTheme="majorHAnsi" w:cstheme="majorHAnsi"/>
          <w:sz w:val="22"/>
          <w:szCs w:val="22"/>
        </w:rPr>
        <w:t>.</w:t>
      </w:r>
    </w:p>
    <w:p w14:paraId="4E836536" w14:textId="77777777" w:rsidR="00A6054F" w:rsidRPr="00C94FFC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Responsibilities</w:t>
      </w:r>
    </w:p>
    <w:p w14:paraId="12463122" w14:textId="05AE969F" w:rsidR="00A6054F" w:rsidRPr="00C94FFC" w:rsidRDefault="005E2140" w:rsidP="00BB1A49">
      <w:pPr>
        <w:rPr>
          <w:rFonts w:asciiTheme="majorHAnsi" w:hAnsiTheme="majorHAnsi" w:cstheme="majorHAnsi"/>
          <w:sz w:val="22"/>
          <w:szCs w:val="22"/>
        </w:rPr>
      </w:pPr>
      <w:r w:rsidRPr="00C94FFC">
        <w:rPr>
          <w:rFonts w:asciiTheme="majorHAnsi" w:hAnsiTheme="majorHAnsi" w:cstheme="majorHAnsi"/>
          <w:sz w:val="22"/>
          <w:szCs w:val="22"/>
        </w:rPr>
        <w:t>All employees</w:t>
      </w:r>
      <w:r w:rsidR="00A613A3" w:rsidRPr="00C94FFC">
        <w:rPr>
          <w:rFonts w:asciiTheme="majorHAnsi" w:hAnsiTheme="majorHAnsi" w:cstheme="majorHAnsi"/>
          <w:sz w:val="22"/>
          <w:szCs w:val="22"/>
        </w:rPr>
        <w:t>.</w:t>
      </w:r>
    </w:p>
    <w:p w14:paraId="29D7941C" w14:textId="70EF65AF" w:rsidR="00A6054F" w:rsidRPr="00C94FFC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Definitions</w:t>
      </w:r>
      <w:r w:rsidR="003D04EC" w:rsidRPr="00C94FFC">
        <w:rPr>
          <w:rFonts w:cstheme="majorHAnsi"/>
          <w:sz w:val="22"/>
          <w:szCs w:val="22"/>
        </w:rPr>
        <w:t xml:space="preserve"> </w:t>
      </w:r>
    </w:p>
    <w:p w14:paraId="4E59B6D6" w14:textId="3BBEC9C2" w:rsidR="00A6054F" w:rsidRPr="00C94FFC" w:rsidRDefault="002C3E57" w:rsidP="002C3E57">
      <w:pPr>
        <w:jc w:val="both"/>
        <w:rPr>
          <w:rFonts w:asciiTheme="majorHAnsi" w:hAnsiTheme="majorHAnsi" w:cstheme="majorHAnsi"/>
          <w:sz w:val="22"/>
          <w:szCs w:val="22"/>
        </w:rPr>
      </w:pPr>
      <w:r w:rsidRPr="00C94FFC">
        <w:rPr>
          <w:rFonts w:asciiTheme="majorHAnsi" w:hAnsiTheme="majorHAnsi" w:cstheme="majorHAnsi"/>
          <w:b/>
          <w:sz w:val="22"/>
          <w:szCs w:val="22"/>
        </w:rPr>
        <w:t>Access and Equity</w:t>
      </w:r>
      <w:r w:rsidR="00C94FFC">
        <w:rPr>
          <w:rFonts w:asciiTheme="majorHAnsi" w:hAnsiTheme="majorHAnsi" w:cstheme="majorHAnsi"/>
          <w:b/>
          <w:sz w:val="22"/>
          <w:szCs w:val="22"/>
        </w:rPr>
        <w:t>:</w:t>
      </w:r>
      <w:r w:rsidRPr="00C94FFC">
        <w:rPr>
          <w:rFonts w:asciiTheme="majorHAnsi" w:hAnsiTheme="majorHAnsi" w:cstheme="majorHAnsi"/>
          <w:sz w:val="22"/>
          <w:szCs w:val="22"/>
        </w:rPr>
        <w:t xml:space="preserve"> </w:t>
      </w:r>
      <w:r w:rsidR="00754BD9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Chandler </w:t>
      </w:r>
      <w:r w:rsidR="004072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Pr="00C94FFC">
        <w:rPr>
          <w:rFonts w:asciiTheme="majorHAnsi" w:hAnsiTheme="majorHAnsi" w:cstheme="majorHAnsi"/>
          <w:sz w:val="22"/>
          <w:szCs w:val="22"/>
        </w:rPr>
        <w:t xml:space="preserve">policies and approaches </w:t>
      </w:r>
      <w:r w:rsidR="006D6C9B" w:rsidRPr="00C94FFC">
        <w:rPr>
          <w:rFonts w:asciiTheme="majorHAnsi" w:hAnsiTheme="majorHAnsi" w:cstheme="majorHAnsi"/>
          <w:sz w:val="22"/>
          <w:szCs w:val="22"/>
        </w:rPr>
        <w:t xml:space="preserve">are </w:t>
      </w:r>
      <w:r w:rsidRPr="00C94FFC">
        <w:rPr>
          <w:rFonts w:asciiTheme="majorHAnsi" w:hAnsiTheme="majorHAnsi" w:cstheme="majorHAnsi"/>
          <w:sz w:val="22"/>
          <w:szCs w:val="22"/>
        </w:rPr>
        <w:t xml:space="preserve">aimed at ensuring its operations are responsive to the individual needs of </w:t>
      </w:r>
      <w:r w:rsidR="00407291">
        <w:rPr>
          <w:rFonts w:asciiTheme="majorHAnsi" w:hAnsiTheme="majorHAnsi" w:cstheme="majorHAnsi"/>
          <w:sz w:val="22"/>
          <w:szCs w:val="22"/>
        </w:rPr>
        <w:t>trainees</w:t>
      </w:r>
      <w:r w:rsidRPr="00C94FFC">
        <w:rPr>
          <w:rFonts w:asciiTheme="majorHAnsi" w:hAnsiTheme="majorHAnsi" w:cstheme="majorHAnsi"/>
          <w:sz w:val="22"/>
          <w:szCs w:val="22"/>
        </w:rPr>
        <w:t xml:space="preserve"> whose age, gender, cultural or ethnic background, dis/ability, sexuality, language, literacy and/or numeracy skills, un/employment, </w:t>
      </w:r>
      <w:proofErr w:type="gramStart"/>
      <w:r w:rsidRPr="00C94FFC">
        <w:rPr>
          <w:rFonts w:asciiTheme="majorHAnsi" w:hAnsiTheme="majorHAnsi" w:cstheme="majorHAnsi"/>
          <w:sz w:val="22"/>
          <w:szCs w:val="22"/>
        </w:rPr>
        <w:t>imprisonment</w:t>
      </w:r>
      <w:proofErr w:type="gramEnd"/>
      <w:r w:rsidRPr="00C94FFC">
        <w:rPr>
          <w:rFonts w:asciiTheme="majorHAnsi" w:hAnsiTheme="majorHAnsi" w:cstheme="majorHAnsi"/>
          <w:sz w:val="22"/>
          <w:szCs w:val="22"/>
        </w:rPr>
        <w:t xml:space="preserve"> or geographic location (amongst others) may present a barrier to access, participation </w:t>
      </w:r>
      <w:r w:rsidR="006D6C9B" w:rsidRPr="00C94FFC">
        <w:rPr>
          <w:rFonts w:asciiTheme="majorHAnsi" w:hAnsiTheme="majorHAnsi" w:cstheme="majorHAnsi"/>
          <w:sz w:val="22"/>
          <w:szCs w:val="22"/>
        </w:rPr>
        <w:t xml:space="preserve">in </w:t>
      </w:r>
      <w:r w:rsidRPr="00C94FFC">
        <w:rPr>
          <w:rFonts w:asciiTheme="majorHAnsi" w:hAnsiTheme="majorHAnsi" w:cstheme="majorHAnsi"/>
          <w:sz w:val="22"/>
          <w:szCs w:val="22"/>
        </w:rPr>
        <w:t>and the achievement of suitable outcomes.</w:t>
      </w:r>
    </w:p>
    <w:p w14:paraId="56AE6757" w14:textId="77777777" w:rsidR="002C3E57" w:rsidRPr="00C94FFC" w:rsidRDefault="002C3E57" w:rsidP="002C3E5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BBF5449" w14:textId="6C616409" w:rsidR="002C3E57" w:rsidRPr="00C94FFC" w:rsidRDefault="006D6C9B" w:rsidP="002C3E57">
      <w:pPr>
        <w:jc w:val="both"/>
        <w:rPr>
          <w:rFonts w:asciiTheme="majorHAnsi" w:hAnsiTheme="majorHAnsi" w:cstheme="majorHAnsi"/>
          <w:sz w:val="22"/>
          <w:szCs w:val="22"/>
        </w:rPr>
      </w:pPr>
      <w:r w:rsidRPr="00C94FFC">
        <w:rPr>
          <w:rFonts w:asciiTheme="majorHAnsi" w:hAnsiTheme="majorHAnsi" w:cstheme="majorHAnsi"/>
          <w:b/>
          <w:sz w:val="22"/>
          <w:szCs w:val="22"/>
        </w:rPr>
        <w:t>Client</w:t>
      </w:r>
      <w:r w:rsidR="00E30C26" w:rsidRPr="00C94FFC">
        <w:rPr>
          <w:rFonts w:asciiTheme="majorHAnsi" w:hAnsiTheme="majorHAnsi" w:cstheme="majorHAnsi"/>
          <w:sz w:val="22"/>
          <w:szCs w:val="22"/>
        </w:rPr>
        <w:t xml:space="preserve"> means</w:t>
      </w:r>
      <w:r w:rsidR="002C3E57" w:rsidRPr="00C94FFC">
        <w:rPr>
          <w:rFonts w:asciiTheme="majorHAnsi" w:hAnsiTheme="majorHAnsi" w:cstheme="majorHAnsi"/>
          <w:sz w:val="22"/>
          <w:szCs w:val="22"/>
        </w:rPr>
        <w:t xml:space="preserve"> the person who uses/purchases the services of </w:t>
      </w:r>
      <w:r w:rsidR="00754BD9">
        <w:rPr>
          <w:rFonts w:asciiTheme="majorHAnsi" w:hAnsiTheme="majorHAnsi" w:cstheme="majorHAnsi"/>
          <w:sz w:val="22"/>
          <w:szCs w:val="22"/>
        </w:rPr>
        <w:t xml:space="preserve">Chandler </w:t>
      </w:r>
      <w:r w:rsidR="00407291">
        <w:rPr>
          <w:rFonts w:asciiTheme="majorHAnsi" w:hAnsiTheme="majorHAnsi" w:cstheme="majorHAnsi"/>
          <w:sz w:val="22"/>
          <w:szCs w:val="22"/>
        </w:rPr>
        <w:t>GTO</w:t>
      </w:r>
      <w:r w:rsidR="00004E53">
        <w:rPr>
          <w:rFonts w:asciiTheme="majorHAnsi" w:hAnsiTheme="majorHAnsi" w:cstheme="majorHAnsi"/>
          <w:sz w:val="22"/>
          <w:szCs w:val="22"/>
        </w:rPr>
        <w:t>.</w:t>
      </w:r>
    </w:p>
    <w:p w14:paraId="4E172DA1" w14:textId="77777777" w:rsidR="002C3E57" w:rsidRPr="00C94FFC" w:rsidRDefault="002C3E57" w:rsidP="002C3E5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A3E5220" w14:textId="508D37DA" w:rsidR="002C3E57" w:rsidRPr="00C94FFC" w:rsidRDefault="00754BD9" w:rsidP="002C3E5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Chandler</w:t>
      </w:r>
      <w:r w:rsidR="00E30C26" w:rsidRPr="00C94FF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07291">
        <w:rPr>
          <w:rFonts w:asciiTheme="majorHAnsi" w:hAnsiTheme="majorHAnsi" w:cstheme="majorHAnsi"/>
          <w:b/>
          <w:sz w:val="22"/>
          <w:szCs w:val="22"/>
        </w:rPr>
        <w:t xml:space="preserve">GTO </w:t>
      </w:r>
      <w:r w:rsidR="00E30C26" w:rsidRPr="00C94FFC">
        <w:rPr>
          <w:rFonts w:asciiTheme="majorHAnsi" w:hAnsiTheme="majorHAnsi" w:cstheme="majorHAnsi"/>
          <w:b/>
          <w:sz w:val="22"/>
          <w:szCs w:val="22"/>
        </w:rPr>
        <w:t>O</w:t>
      </w:r>
      <w:r w:rsidR="002C3E57" w:rsidRPr="00C94FFC">
        <w:rPr>
          <w:rFonts w:asciiTheme="majorHAnsi" w:hAnsiTheme="majorHAnsi" w:cstheme="majorHAnsi"/>
          <w:b/>
          <w:sz w:val="22"/>
          <w:szCs w:val="22"/>
        </w:rPr>
        <w:t>perations</w:t>
      </w:r>
      <w:r w:rsidR="00B90F99" w:rsidRPr="00C94FFC">
        <w:rPr>
          <w:rFonts w:asciiTheme="majorHAnsi" w:hAnsiTheme="majorHAnsi" w:cstheme="majorHAnsi"/>
          <w:sz w:val="22"/>
          <w:szCs w:val="22"/>
        </w:rPr>
        <w:t xml:space="preserve"> means </w:t>
      </w:r>
      <w:r w:rsidR="000038AD" w:rsidRPr="00C94FFC">
        <w:rPr>
          <w:rFonts w:asciiTheme="majorHAnsi" w:hAnsiTheme="majorHAnsi" w:cstheme="majorHAnsi"/>
          <w:sz w:val="22"/>
          <w:szCs w:val="22"/>
        </w:rPr>
        <w:t>all</w:t>
      </w:r>
      <w:r w:rsidR="00B90F99" w:rsidRPr="00C94FFC">
        <w:rPr>
          <w:rFonts w:asciiTheme="majorHAnsi" w:hAnsiTheme="majorHAnsi" w:cstheme="majorHAnsi"/>
          <w:sz w:val="22"/>
          <w:szCs w:val="22"/>
        </w:rPr>
        <w:t xml:space="preserve"> the operations of</w:t>
      </w:r>
      <w:r w:rsidR="00B90F99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Chandler</w:t>
      </w:r>
      <w:r w:rsidR="000038AD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4072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6D6C9B" w:rsidRPr="00C94FFC">
        <w:rPr>
          <w:rFonts w:asciiTheme="majorHAnsi" w:hAnsiTheme="majorHAnsi" w:cstheme="majorHAnsi"/>
          <w:sz w:val="22"/>
          <w:szCs w:val="22"/>
        </w:rPr>
        <w:t>including but not limited to</w:t>
      </w:r>
      <w:r w:rsidR="002C3E57" w:rsidRPr="00C94FFC">
        <w:rPr>
          <w:rFonts w:asciiTheme="majorHAnsi" w:hAnsiTheme="majorHAnsi" w:cstheme="majorHAnsi"/>
          <w:sz w:val="22"/>
          <w:szCs w:val="22"/>
        </w:rPr>
        <w:t>, assessment, administration</w:t>
      </w:r>
      <w:r w:rsidR="000038AD">
        <w:rPr>
          <w:rFonts w:asciiTheme="majorHAnsi" w:hAnsiTheme="majorHAnsi" w:cstheme="majorHAnsi"/>
          <w:sz w:val="22"/>
          <w:szCs w:val="22"/>
        </w:rPr>
        <w:t>,</w:t>
      </w:r>
      <w:r w:rsidR="006D6C9B" w:rsidRPr="00C94FFC">
        <w:rPr>
          <w:rFonts w:asciiTheme="majorHAnsi" w:hAnsiTheme="majorHAnsi" w:cstheme="majorHAnsi"/>
          <w:sz w:val="22"/>
          <w:szCs w:val="22"/>
        </w:rPr>
        <w:t xml:space="preserve"> </w:t>
      </w:r>
      <w:r w:rsidR="00C379CF" w:rsidRPr="00C94FFC">
        <w:rPr>
          <w:rFonts w:asciiTheme="majorHAnsi" w:hAnsiTheme="majorHAnsi" w:cstheme="majorHAnsi"/>
          <w:sz w:val="22"/>
          <w:szCs w:val="22"/>
        </w:rPr>
        <w:t xml:space="preserve">and </w:t>
      </w:r>
      <w:r w:rsidR="002C3E57" w:rsidRPr="00C94FFC">
        <w:rPr>
          <w:rFonts w:asciiTheme="majorHAnsi" w:hAnsiTheme="majorHAnsi" w:cstheme="majorHAnsi"/>
          <w:sz w:val="22"/>
          <w:szCs w:val="22"/>
        </w:rPr>
        <w:t xml:space="preserve">support </w:t>
      </w:r>
      <w:r w:rsidR="00004E53">
        <w:rPr>
          <w:rFonts w:asciiTheme="majorHAnsi" w:hAnsiTheme="majorHAnsi" w:cstheme="majorHAnsi"/>
          <w:sz w:val="22"/>
          <w:szCs w:val="22"/>
        </w:rPr>
        <w:t>of trainees.</w:t>
      </w:r>
    </w:p>
    <w:p w14:paraId="2DBD1AF8" w14:textId="484C846F" w:rsidR="00A6054F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Alignment</w:t>
      </w:r>
    </w:p>
    <w:p w14:paraId="72E890CE" w14:textId="7628C640" w:rsidR="00545F96" w:rsidRPr="004E435A" w:rsidRDefault="00545F96" w:rsidP="004E435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45F96">
        <w:rPr>
          <w:rFonts w:asciiTheme="majorHAnsi" w:hAnsiTheme="majorHAnsi" w:cstheme="majorHAnsi"/>
          <w:b/>
          <w:bCs/>
          <w:sz w:val="22"/>
          <w:szCs w:val="22"/>
        </w:rPr>
        <w:t>Standards for Group Training Organisation (2017)</w:t>
      </w:r>
    </w:p>
    <w:p w14:paraId="19A1A439" w14:textId="191C6F5A" w:rsidR="00A6054F" w:rsidRPr="00C94FFC" w:rsidRDefault="00A6054F" w:rsidP="00A6054F">
      <w:pPr>
        <w:pStyle w:val="Heading1"/>
        <w:rPr>
          <w:rFonts w:cstheme="majorHAnsi"/>
          <w:sz w:val="22"/>
          <w:szCs w:val="22"/>
        </w:rPr>
      </w:pPr>
      <w:r w:rsidRPr="00C94FFC">
        <w:rPr>
          <w:rFonts w:cstheme="majorHAnsi"/>
          <w:sz w:val="22"/>
          <w:szCs w:val="22"/>
        </w:rPr>
        <w:t>Policy Statement</w:t>
      </w:r>
    </w:p>
    <w:p w14:paraId="1EEA2F11" w14:textId="77777777" w:rsidR="00545F96" w:rsidRDefault="00545F96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E2A5F34" w14:textId="3C18CFD7" w:rsidR="00C1082E" w:rsidRPr="00C94FFC" w:rsidRDefault="00C1082E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Access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Equity </w:t>
      </w:r>
    </w:p>
    <w:p w14:paraId="6CBE71C9" w14:textId="533DFEB3" w:rsidR="00755F89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40729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80091A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applies access and equity principles and provides timely and appropriate informatio</w:t>
      </w:r>
      <w:r w:rsidR="003804A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n,</w:t>
      </w:r>
      <w:r w:rsidR="00972E9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038AD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advice,</w:t>
      </w:r>
      <w:r w:rsidR="00972E9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support services,</w:t>
      </w:r>
      <w:r w:rsidR="003804A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assisting 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trainees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to identify and achieve their desired outcomes. </w:t>
      </w:r>
    </w:p>
    <w:p w14:paraId="5A87904A" w14:textId="77777777" w:rsidR="00755F89" w:rsidRPr="00C94FFC" w:rsidRDefault="00755F8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74C81F" w14:textId="7F8C6E31" w:rsidR="007A260A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meets the needs of individuals through the fair allocation of resources and the right to equality of opportunity without discrimination.</w:t>
      </w:r>
      <w:r w:rsidR="00C044B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1A875F86" w14:textId="038F2DCC" w:rsidR="004C43AB" w:rsidRPr="00C94FFC" w:rsidRDefault="00C044B0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Where, for example, the 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has applied for a 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>place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that is detrimental to theirs or the public’s safety due to their disability (a 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>person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who applies for a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>n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4C43AB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individual support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qualification who is legally blind for example), </w:t>
      </w:r>
      <w:r w:rsidR="00754BD9"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will not accept their </w:t>
      </w:r>
      <w:r w:rsidR="00004E53">
        <w:rPr>
          <w:rFonts w:asciiTheme="majorHAnsi" w:hAnsiTheme="majorHAnsi" w:cstheme="majorHAnsi"/>
          <w:color w:val="000000" w:themeColor="text1"/>
          <w:sz w:val="22"/>
          <w:szCs w:val="22"/>
        </w:rPr>
        <w:t>application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outline in writing the reasons why.  </w:t>
      </w:r>
    </w:p>
    <w:p w14:paraId="654EA314" w14:textId="77777777" w:rsidR="007C672B" w:rsidRDefault="007C672B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A934626" w14:textId="26B218FD" w:rsidR="00C1082E" w:rsidRPr="00C94FFC" w:rsidRDefault="00B90F9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Chandler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6865D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firmly believes that this approach to access and equity is not prohibitive or discriminatory but rather gives </w:t>
      </w:r>
      <w:r w:rsidR="00754BD9">
        <w:rPr>
          <w:rFonts w:asciiTheme="majorHAnsi" w:hAnsiTheme="majorHAnsi" w:cstheme="majorHAnsi"/>
          <w:color w:val="000000" w:themeColor="text1"/>
          <w:sz w:val="22"/>
          <w:szCs w:val="22"/>
        </w:rPr>
        <w:t>individuals</w:t>
      </w:r>
      <w:r w:rsidR="006865D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every opportunity to achieve success in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an appropriate</w:t>
      </w:r>
      <w:r w:rsidR="006865D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learning program and </w:t>
      </w:r>
      <w:r w:rsidR="004E59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achieve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their personal</w:t>
      </w:r>
      <w:r w:rsidR="006865D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goals</w:t>
      </w:r>
      <w:r w:rsidR="006865D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4362A6A8" w14:textId="77777777" w:rsidR="00C044B0" w:rsidRPr="00C94FFC" w:rsidRDefault="00C044B0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EF70E2D" w14:textId="4719F476" w:rsidR="00C1082E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prohibits discrimination (direct or indirect) towards any group or individuals in any form, </w:t>
      </w:r>
      <w:r w:rsidR="00C1082E" w:rsidRPr="00C94FFC">
        <w:rPr>
          <w:rFonts w:asciiTheme="majorHAnsi" w:hAnsiTheme="majorHAnsi" w:cstheme="majorHAnsi"/>
          <w:i/>
          <w:color w:val="000000" w:themeColor="text1"/>
          <w:sz w:val="22"/>
          <w:szCs w:val="22"/>
          <w:u w:val="single"/>
        </w:rPr>
        <w:t>inclusive of, but not limited to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</w:t>
      </w:r>
    </w:p>
    <w:p w14:paraId="56E79D2D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E85B678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Gender;</w:t>
      </w:r>
      <w:proofErr w:type="gramEnd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AB5DB62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Pregnancy;</w:t>
      </w:r>
      <w:proofErr w:type="gramEnd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DAE0482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Race;</w:t>
      </w:r>
      <w:proofErr w:type="gramEnd"/>
    </w:p>
    <w:p w14:paraId="47EFDB20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Colour;</w:t>
      </w:r>
      <w:proofErr w:type="gramEnd"/>
    </w:p>
    <w:p w14:paraId="57B623AE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Nationality;</w:t>
      </w:r>
      <w:proofErr w:type="gramEnd"/>
    </w:p>
    <w:p w14:paraId="0183A7E0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Ethnic or ethno-religious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background;</w:t>
      </w:r>
      <w:proofErr w:type="gramEnd"/>
    </w:p>
    <w:p w14:paraId="32CBF1CD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Marital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status;</w:t>
      </w:r>
      <w:proofErr w:type="gramEnd"/>
    </w:p>
    <w:p w14:paraId="55080C81" w14:textId="686DC6BD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Sexual preference; </w:t>
      </w:r>
      <w:r w:rsidR="00334832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and</w:t>
      </w:r>
    </w:p>
    <w:p w14:paraId="30D49DB3" w14:textId="77777777" w:rsidR="00C1082E" w:rsidRPr="00C94FFC" w:rsidRDefault="00C1082E" w:rsidP="00C1082E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Age.</w:t>
      </w:r>
    </w:p>
    <w:p w14:paraId="3ED7885F" w14:textId="5B46B0AD" w:rsidR="004C43AB" w:rsidRPr="00C94FFC" w:rsidRDefault="004C43AB">
      <w:pPr>
        <w:rPr>
          <w:rFonts w:asciiTheme="majorHAnsi" w:eastAsia="MS Mincho" w:hAnsiTheme="majorHAnsi" w:cstheme="majorHAnsi"/>
          <w:b/>
          <w:bCs/>
          <w:color w:val="000000" w:themeColor="text1"/>
          <w:kern w:val="20"/>
          <w:sz w:val="22"/>
          <w:szCs w:val="22"/>
          <w:lang w:eastAsia="ja-JP"/>
        </w:rPr>
      </w:pPr>
    </w:p>
    <w:p w14:paraId="4A23A36C" w14:textId="41F4B497" w:rsidR="00C1082E" w:rsidRPr="00C94FFC" w:rsidRDefault="00C1082E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Continuous Improvement of Services</w:t>
      </w:r>
    </w:p>
    <w:p w14:paraId="54413176" w14:textId="4E5D1716" w:rsidR="00C1082E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monitors </w:t>
      </w:r>
      <w:r w:rsidR="004E5999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needs for support services. </w:t>
      </w:r>
      <w:r w:rsidR="009C0069">
        <w:rPr>
          <w:rFonts w:asciiTheme="majorHAnsi" w:hAnsiTheme="majorHAnsi" w:cstheme="majorHAnsi"/>
          <w:color w:val="000000" w:themeColor="text1"/>
          <w:sz w:val="22"/>
          <w:szCs w:val="22"/>
        </w:rPr>
        <w:t>It</w:t>
      </w:r>
      <w:r w:rsidR="0080091A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collects and analyses sufficient relevant information to evaluate the need for and delivery of services. This information is used for the continuous improvement of services.</w:t>
      </w:r>
    </w:p>
    <w:p w14:paraId="4E16835E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0AB14A2" w14:textId="3F47EF1A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Information Prior to </w:t>
      </w:r>
      <w:r w:rsidR="009C0069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Commencement</w:t>
      </w:r>
    </w:p>
    <w:p w14:paraId="5E4354CE" w14:textId="11CF5673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organisation disseminates clear information to each </w:t>
      </w:r>
      <w:r w:rsidR="009C006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trainee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prior to </w:t>
      </w:r>
      <w:r w:rsidR="009C0069">
        <w:rPr>
          <w:rFonts w:asciiTheme="majorHAnsi" w:hAnsiTheme="majorHAnsi" w:cstheme="majorHAnsi"/>
          <w:color w:val="000000" w:themeColor="text1"/>
          <w:sz w:val="22"/>
          <w:szCs w:val="22"/>
        </w:rPr>
        <w:t>commencement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, which includes the following:</w:t>
      </w:r>
    </w:p>
    <w:p w14:paraId="58194763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D49806" w14:textId="19523967" w:rsidR="00C1082E" w:rsidRPr="00C94FFC" w:rsidRDefault="009C0069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selection, enrolment and induction/orientation </w:t>
      </w:r>
      <w:proofErr w:type="gramStart"/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procedures;</w:t>
      </w:r>
      <w:proofErr w:type="gramEnd"/>
    </w:p>
    <w:p w14:paraId="62D91012" w14:textId="2E050803" w:rsidR="00C1082E" w:rsidRPr="00C94FFC" w:rsidRDefault="009C0069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Position Description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including learning &amp; vocational </w:t>
      </w:r>
      <w:proofErr w:type="gramStart"/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outcomes</w:t>
      </w:r>
      <w:proofErr w:type="gramEnd"/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C50C0B5" w14:textId="566E3B64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Provision for language, literacy and numeracy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assistance</w:t>
      </w:r>
      <w:r w:rsidR="00334832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;</w:t>
      </w:r>
      <w:proofErr w:type="gramEnd"/>
    </w:p>
    <w:p w14:paraId="10FD8CCA" w14:textId="699D06DA" w:rsidR="00C1082E" w:rsidRPr="00C94FFC" w:rsidRDefault="00372405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support, including any external support the organisation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may arrange to support </w:t>
      </w:r>
      <w:proofErr w:type="gramStart"/>
      <w:r>
        <w:rPr>
          <w:rFonts w:asciiTheme="majorHAnsi" w:hAnsiTheme="majorHAnsi" w:cstheme="majorHAnsi"/>
          <w:color w:val="000000" w:themeColor="text1"/>
          <w:sz w:val="22"/>
          <w:szCs w:val="22"/>
        </w:rPr>
        <w:t>them</w:t>
      </w:r>
      <w:proofErr w:type="gramEnd"/>
    </w:p>
    <w:p w14:paraId="56FD229A" w14:textId="264C5BEF" w:rsidR="00C1082E" w:rsidRPr="00C94FFC" w:rsidRDefault="00372405" w:rsidP="00755F89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Language and literacy </w:t>
      </w:r>
      <w:proofErr w:type="gramStart"/>
      <w:r>
        <w:rPr>
          <w:rFonts w:asciiTheme="majorHAnsi" w:hAnsiTheme="majorHAnsi" w:cstheme="majorHAnsi"/>
          <w:color w:val="000000" w:themeColor="text1"/>
          <w:sz w:val="22"/>
          <w:szCs w:val="22"/>
        </w:rPr>
        <w:t>assessment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;</w:t>
      </w:r>
      <w:proofErr w:type="gramEnd"/>
    </w:p>
    <w:p w14:paraId="48254250" w14:textId="005C8FE9" w:rsidR="00C1082E" w:rsidRPr="00C94FFC" w:rsidRDefault="00372405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omplaints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and grievance </w:t>
      </w:r>
      <w:proofErr w:type="gramStart"/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procedures;</w:t>
      </w:r>
      <w:proofErr w:type="gramEnd"/>
    </w:p>
    <w:p w14:paraId="586DE522" w14:textId="77777777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Disciplinary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procedures;</w:t>
      </w:r>
      <w:proofErr w:type="gramEnd"/>
    </w:p>
    <w:p w14:paraId="0AFC1CAD" w14:textId="77777777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Staff responsibilities for access and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equity;</w:t>
      </w:r>
      <w:proofErr w:type="gramEnd"/>
    </w:p>
    <w:p w14:paraId="3D8214CE" w14:textId="77777777" w:rsidR="00E30C26" w:rsidRPr="00C94FFC" w:rsidRDefault="00E30C26" w:rsidP="00E30C26">
      <w:pPr>
        <w:widowControl w:val="0"/>
        <w:adjustRightInd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0BA9320" w14:textId="26912F09" w:rsidR="00C1082E" w:rsidRPr="00C94FFC" w:rsidRDefault="00754BD9" w:rsidP="00F172CF">
      <w:pPr>
        <w:widowControl w:val="0"/>
        <w:adjustRightInd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ensures that it maximises the co</w:t>
      </w:r>
      <w:r w:rsidR="009E72A1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llection of </w:t>
      </w:r>
      <w:r w:rsidR="0037240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data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to ensure that it can </w:t>
      </w:r>
      <w:r w:rsidR="00372405">
        <w:rPr>
          <w:rFonts w:asciiTheme="majorHAnsi" w:hAnsiTheme="majorHAnsi" w:cstheme="majorHAnsi"/>
          <w:color w:val="000000" w:themeColor="text1"/>
          <w:sz w:val="22"/>
          <w:szCs w:val="22"/>
        </w:rPr>
        <w:t>support the trainee to make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informed decisions about </w:t>
      </w:r>
      <w:r w:rsidR="0037240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most appropriate role, </w:t>
      </w:r>
      <w:r w:rsidR="00B53F3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considering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individual’s existing skills and competencies.  Any advice or offer made by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</w:t>
      </w:r>
      <w:r w:rsidR="000038AD">
        <w:rPr>
          <w:rFonts w:asciiTheme="majorHAnsi" w:hAnsiTheme="majorHAnsi" w:cstheme="majorHAnsi"/>
          <w:color w:val="000000" w:themeColor="text1"/>
          <w:sz w:val="22"/>
          <w:szCs w:val="22"/>
        </w:rPr>
        <w:t>r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will be consistent with the </w:t>
      </w:r>
      <w:r w:rsidR="00372405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="00A41B34">
        <w:rPr>
          <w:rFonts w:asciiTheme="majorHAnsi" w:hAnsiTheme="majorHAnsi" w:cstheme="majorHAnsi"/>
          <w:color w:val="000000" w:themeColor="text1"/>
          <w:sz w:val="22"/>
          <w:szCs w:val="22"/>
        </w:rPr>
        <w:t>’s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55F8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identified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needs</w:t>
      </w:r>
      <w:r w:rsidR="00755F8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328B057" w14:textId="77777777" w:rsidR="004E435A" w:rsidRDefault="004E435A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B71FA98" w14:textId="520DC9A6" w:rsidR="00C1082E" w:rsidRPr="00C94FFC" w:rsidRDefault="000038AD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Workplace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Training</w:t>
      </w:r>
    </w:p>
    <w:p w14:paraId="7EA76B43" w14:textId="3836C7E1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Where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training and/or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assessment is conducted in the workplace, </w:t>
      </w:r>
      <w:r w:rsidR="00754BD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negotiates the </w:t>
      </w:r>
      <w:r w:rsidR="00C044B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training and assessment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strategy with the </w:t>
      </w:r>
      <w:r w:rsidR="00F334C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host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employer and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 </w:t>
      </w:r>
      <w:r w:rsidR="00754BD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7C672B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works with the </w:t>
      </w:r>
      <w:r w:rsidR="00B055F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host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employer to integrate any on-the-job training and assessment and schedules workplace visits to monitor/review the training and assessment.</w:t>
      </w:r>
    </w:p>
    <w:p w14:paraId="58685EDC" w14:textId="083D437D" w:rsidR="00C1082E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Where a traineeship training contract is in place or being negotiated, individual training plans are developed, documented, </w:t>
      </w:r>
      <w:r w:rsidR="000038AD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implemented,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monitored for each trainee, encompassing all relevant off-the-job and structured workplace training and assessment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accordance with legislative and contractual requirements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75374C26" w14:textId="0FA60228" w:rsidR="00F334CD" w:rsidRPr="00C94FFC" w:rsidRDefault="00F334CD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334CD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>The Host employer is made aware of the Chandler GTO’s commitment to Access and Equity by providing information</w:t>
      </w:r>
      <w:r w:rsidR="00672245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 xml:space="preserve"> about the policy</w:t>
      </w:r>
      <w:r w:rsidRPr="00F334CD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</w:rPr>
        <w:t xml:space="preserve"> in the Host Employer Handbook.</w:t>
      </w:r>
    </w:p>
    <w:p w14:paraId="3DD5F22C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78311A" w14:textId="77777777" w:rsidR="00C1082E" w:rsidRPr="00C94FFC" w:rsidRDefault="00C1082E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Support Services</w:t>
      </w:r>
    </w:p>
    <w:p w14:paraId="060073B6" w14:textId="360AE26E" w:rsidR="00C1082E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organisation provides support services depending on the needs of its </w:t>
      </w:r>
      <w:r w:rsidR="00B055F0"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capacity to provide these services. Information is provided to </w:t>
      </w:r>
      <w:r w:rsidR="00B055F0"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about available support services and any external support arrangements.</w:t>
      </w:r>
    </w:p>
    <w:p w14:paraId="5A9D677B" w14:textId="77777777" w:rsidR="00B055F0" w:rsidRPr="00C94FFC" w:rsidRDefault="00B055F0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A63C89C" w14:textId="5A3C838B" w:rsidR="00C1082E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liaises with students, trainers and assessors, and stakeholders to ensure that the type of intervention selected is appropriate for the </w:t>
      </w:r>
      <w:r w:rsidR="00B055F0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achieves the outcomes of the </w:t>
      </w:r>
      <w:r w:rsidR="00C044B0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training and assessment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program.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0038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E30C26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monitors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delivery of support services and identifies changes for continuous improvement.</w:t>
      </w:r>
    </w:p>
    <w:p w14:paraId="53B85D9F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55F3F72" w14:textId="044AAC98" w:rsidR="00945A33" w:rsidRPr="00C94FFC" w:rsidRDefault="00945A33">
      <w:pPr>
        <w:rPr>
          <w:rFonts w:asciiTheme="majorHAnsi" w:eastAsia="MS Mincho" w:hAnsiTheme="majorHAnsi" w:cstheme="majorHAnsi"/>
          <w:b/>
          <w:bCs/>
          <w:color w:val="000000" w:themeColor="text1"/>
          <w:kern w:val="20"/>
          <w:sz w:val="22"/>
          <w:szCs w:val="22"/>
          <w:lang w:eastAsia="ja-JP"/>
        </w:rPr>
      </w:pPr>
    </w:p>
    <w:p w14:paraId="2CB0A7B1" w14:textId="6DF3C3FA" w:rsidR="00C1082E" w:rsidRPr="00C94FFC" w:rsidRDefault="00B055F0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Records</w:t>
      </w:r>
    </w:p>
    <w:p w14:paraId="40CB64E7" w14:textId="1A0A57F8" w:rsidR="00755F89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Chandler 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>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maintains current and accurate </w:t>
      </w:r>
      <w:r w:rsidR="00F84AA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staff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records. </w:t>
      </w:r>
      <w:r w:rsidR="00F84AA5">
        <w:rPr>
          <w:rFonts w:asciiTheme="majorHAnsi" w:hAnsiTheme="majorHAnsi" w:cstheme="majorHAnsi"/>
          <w:color w:val="000000" w:themeColor="text1"/>
          <w:sz w:val="22"/>
          <w:szCs w:val="22"/>
        </w:rPr>
        <w:t>Trainees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are informed about how to access their records, including progress records</w:t>
      </w:r>
      <w:r w:rsidR="00F84AA5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32432973" w14:textId="77777777" w:rsidR="00755F89" w:rsidRPr="00C94FFC" w:rsidRDefault="00755F8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01E0885" w14:textId="74E248DB" w:rsidR="00C1082E" w:rsidRPr="00C94FFC" w:rsidRDefault="00B90F9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Staff members are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informed of record collection, recording and storage responsibilities. Staff record keeping is monitored to ensure effectiveness, and changes incorporated into continuous improvement processes.</w:t>
      </w:r>
    </w:p>
    <w:p w14:paraId="053F625D" w14:textId="77777777" w:rsidR="00755F89" w:rsidRPr="00C94FFC" w:rsidRDefault="00755F8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49B1FD" w14:textId="1C1BAEDC" w:rsidR="00755F89" w:rsidRPr="00C94FFC" w:rsidRDefault="00F84AA5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privacy is maintained </w:t>
      </w:r>
      <w:r w:rsidR="00945A33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always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Only authorised staff have access to confidential information. Authorised staff must enter any confidential information accurately and ensure it is secure from unauthorised access. </w:t>
      </w:r>
    </w:p>
    <w:p w14:paraId="5B1AEBA3" w14:textId="77777777" w:rsidR="00755F89" w:rsidRPr="00C94FFC" w:rsidRDefault="00755F8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399A46" w14:textId="496853F8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Requests for access to confidential records must be approved by the </w:t>
      </w:r>
      <w:r w:rsidR="00F84AA5">
        <w:rPr>
          <w:rFonts w:asciiTheme="majorHAnsi" w:hAnsiTheme="majorHAnsi" w:cstheme="majorHAnsi"/>
          <w:color w:val="000000" w:themeColor="text1"/>
          <w:sz w:val="22"/>
          <w:szCs w:val="22"/>
        </w:rPr>
        <w:t>Managing Director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be made in writing by the </w:t>
      </w:r>
      <w:r w:rsidR="00F84AA5">
        <w:rPr>
          <w:rFonts w:asciiTheme="majorHAnsi" w:hAnsiTheme="majorHAnsi" w:cstheme="majorHAnsi"/>
          <w:color w:val="000000" w:themeColor="text1"/>
          <w:sz w:val="22"/>
          <w:szCs w:val="22"/>
        </w:rPr>
        <w:t>trainee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A5779F6" w14:textId="77777777" w:rsidR="00755F89" w:rsidRPr="00C94FFC" w:rsidRDefault="00755F8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BE065F8" w14:textId="27B7B90A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Information collected from and about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trainees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must meet registering body and licensing authority requirements, where relevant.</w:t>
      </w:r>
    </w:p>
    <w:p w14:paraId="4113EB0E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8014698" w14:textId="473CE185" w:rsidR="00C1082E" w:rsidRPr="00C94FFC" w:rsidRDefault="00C1082E" w:rsidP="00C1082E">
      <w:pPr>
        <w:pStyle w:val="Heading4"/>
        <w:ind w:left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Complaints and Appeals</w:t>
      </w:r>
    </w:p>
    <w:p w14:paraId="079138BA" w14:textId="13AD2046" w:rsidR="00C1082E" w:rsidRPr="00C94FFC" w:rsidRDefault="00754BD9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documents and implements procedures for dealing with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staff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complaints and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grievances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a constructive and timely manner.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Procedures are in place to ensure that:</w:t>
      </w:r>
    </w:p>
    <w:p w14:paraId="6939F1DD" w14:textId="77777777" w:rsidR="00C1082E" w:rsidRPr="00C94FFC" w:rsidRDefault="00C1082E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F009143" w14:textId="5F4EFCE3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Each complaint,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</w:t>
      </w:r>
      <w:r w:rsidR="000038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and its outcome </w:t>
      </w:r>
      <w:r w:rsidR="000038AD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are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recorded in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writing;</w:t>
      </w:r>
      <w:proofErr w:type="gramEnd"/>
    </w:p>
    <w:p w14:paraId="03D1995A" w14:textId="74488ABF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Each complaint,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</w:t>
      </w:r>
      <w:r w:rsidR="000038AD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its outcome are recorded in the complaints &amp;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gramStart"/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register;</w:t>
      </w:r>
      <w:proofErr w:type="gramEnd"/>
    </w:p>
    <w:p w14:paraId="1AF4B54A" w14:textId="2658B7E8" w:rsidR="00C1082E" w:rsidRPr="00C94FFC" w:rsidRDefault="00C1082E" w:rsidP="006F6E05">
      <w:pPr>
        <w:pStyle w:val="ListParagraph"/>
        <w:widowControl w:val="0"/>
        <w:numPr>
          <w:ilvl w:val="0"/>
          <w:numId w:val="3"/>
        </w:numPr>
        <w:tabs>
          <w:tab w:val="clear" w:pos="1418"/>
          <w:tab w:val="num" w:pos="851"/>
        </w:tabs>
        <w:autoSpaceDE w:val="0"/>
        <w:autoSpaceDN w:val="0"/>
        <w:adjustRightInd w:val="0"/>
        <w:ind w:left="851"/>
        <w:contextualSpacing w:val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Each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heard by an independent person or panel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as per the Resolution of Grievance </w:t>
      </w:r>
      <w:proofErr w:type="gramStart"/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Policy</w:t>
      </w:r>
      <w:r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;</w:t>
      </w:r>
      <w:proofErr w:type="gramEnd"/>
    </w:p>
    <w:p w14:paraId="38646B54" w14:textId="77777777" w:rsidR="004E435A" w:rsidRDefault="004E435A" w:rsidP="00C1082E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AB49C5C" w14:textId="174B2B32" w:rsidR="00C1082E" w:rsidRPr="000038AD" w:rsidRDefault="00754BD9" w:rsidP="004E435A">
      <w:pPr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Chandler</w:t>
      </w:r>
      <w:r w:rsidR="0082761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GTO</w:t>
      </w:r>
      <w:r w:rsidR="00B90F9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follows up any complaint that is substantiated to ensure that the cause of the complaint is resolved such that the problem will not reoccur.</w:t>
      </w:r>
      <w:r w:rsidR="00755F89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All records of any complaint </w:t>
      </w:r>
      <w:r w:rsidR="00ED291A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>and/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or </w:t>
      </w:r>
      <w:r w:rsidR="00490ACE">
        <w:rPr>
          <w:rFonts w:asciiTheme="majorHAnsi" w:hAnsiTheme="majorHAnsi" w:cstheme="majorHAnsi"/>
          <w:color w:val="000000" w:themeColor="text1"/>
          <w:sz w:val="22"/>
          <w:szCs w:val="22"/>
        </w:rPr>
        <w:t>grievance</w:t>
      </w:r>
      <w:r w:rsidR="00C1082E" w:rsidRPr="00C94FF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are kept on file.</w:t>
      </w:r>
    </w:p>
    <w:sectPr w:rsidR="00C1082E" w:rsidRPr="000038AD" w:rsidSect="004E435A"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2F1F" w14:textId="77777777" w:rsidR="001070C4" w:rsidRDefault="001070C4" w:rsidP="00423415">
      <w:r>
        <w:separator/>
      </w:r>
    </w:p>
  </w:endnote>
  <w:endnote w:type="continuationSeparator" w:id="0">
    <w:p w14:paraId="002FBF0D" w14:textId="77777777" w:rsidR="001070C4" w:rsidRDefault="001070C4" w:rsidP="0042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B32" w14:textId="77777777" w:rsidR="003A3B8A" w:rsidRPr="00FE62EE" w:rsidRDefault="003A3B8A" w:rsidP="003A3B8A">
    <w:pPr>
      <w:pBdr>
        <w:bottom w:val="single" w:sz="12" w:space="1" w:color="auto"/>
      </w:pBdr>
      <w:tabs>
        <w:tab w:val="center" w:pos="4320"/>
        <w:tab w:val="right" w:pos="8505"/>
      </w:tabs>
      <w:rPr>
        <w:rFonts w:ascii="Century Gothic" w:eastAsia="Times New Roman" w:hAnsi="Century Gothic" w:cs="Times New Roman"/>
        <w:sz w:val="20"/>
        <w:szCs w:val="20"/>
      </w:rPr>
    </w:pPr>
  </w:p>
  <w:p w14:paraId="5B9381E8" w14:textId="77777777" w:rsidR="003A3B8A" w:rsidRPr="00FE62EE" w:rsidRDefault="003A3B8A" w:rsidP="003A3B8A">
    <w:pPr>
      <w:tabs>
        <w:tab w:val="right" w:pos="9639"/>
      </w:tabs>
      <w:rPr>
        <w:rFonts w:ascii="Century Gothic" w:eastAsia="Times New Roman" w:hAnsi="Century Gothic" w:cs="Arial"/>
        <w:sz w:val="18"/>
        <w:szCs w:val="18"/>
      </w:rPr>
    </w:pPr>
  </w:p>
  <w:p w14:paraId="774E3C36" w14:textId="455FFEBB" w:rsidR="006865D0" w:rsidRPr="00F172CF" w:rsidRDefault="003A3B8A" w:rsidP="00F172CF">
    <w:pPr>
      <w:tabs>
        <w:tab w:val="right" w:pos="8505"/>
      </w:tabs>
      <w:rPr>
        <w:rFonts w:asciiTheme="majorHAnsi" w:eastAsia="Times New Roman" w:hAnsiTheme="majorHAnsi" w:cstheme="majorHAnsi"/>
        <w:sz w:val="20"/>
        <w:szCs w:val="20"/>
      </w:rPr>
    </w:pPr>
    <w:r w:rsidRPr="00490ACE">
      <w:rPr>
        <w:rFonts w:asciiTheme="majorHAnsi" w:eastAsia="Times New Roman" w:hAnsiTheme="majorHAnsi" w:cstheme="majorHAnsi"/>
        <w:sz w:val="20"/>
        <w:szCs w:val="20"/>
      </w:rPr>
      <w:t>Access</w:t>
    </w:r>
    <w:r w:rsidR="00490ACE" w:rsidRPr="00490ACE">
      <w:rPr>
        <w:rFonts w:asciiTheme="majorHAnsi" w:eastAsia="Times New Roman" w:hAnsiTheme="majorHAnsi" w:cstheme="majorHAnsi"/>
        <w:sz w:val="20"/>
        <w:szCs w:val="20"/>
      </w:rPr>
      <w:t xml:space="preserve"> and </w:t>
    </w:r>
    <w:r w:rsidRPr="00490ACE">
      <w:rPr>
        <w:rFonts w:asciiTheme="majorHAnsi" w:eastAsia="Times New Roman" w:hAnsiTheme="majorHAnsi" w:cstheme="majorHAnsi"/>
        <w:sz w:val="20"/>
        <w:szCs w:val="20"/>
      </w:rPr>
      <w:t>Equity P</w:t>
    </w:r>
    <w:r w:rsidR="00490ACE" w:rsidRPr="00490ACE">
      <w:rPr>
        <w:rFonts w:asciiTheme="majorHAnsi" w:eastAsia="Times New Roman" w:hAnsiTheme="majorHAnsi" w:cstheme="majorHAnsi"/>
        <w:sz w:val="20"/>
        <w:szCs w:val="20"/>
      </w:rPr>
      <w:t>_P</w:t>
    </w:r>
    <w:r w:rsidR="00490ACE">
      <w:rPr>
        <w:rFonts w:asciiTheme="majorHAnsi" w:eastAsia="Times New Roman" w:hAnsiTheme="majorHAnsi" w:cstheme="majorHAnsi"/>
        <w:sz w:val="20"/>
        <w:szCs w:val="20"/>
      </w:rPr>
      <w:t xml:space="preserve"> V1</w:t>
    </w:r>
    <w:r w:rsidRPr="00490ACE">
      <w:rPr>
        <w:rFonts w:asciiTheme="majorHAnsi" w:eastAsia="Times New Roman" w:hAnsiTheme="majorHAnsi" w:cstheme="majorHAnsi"/>
        <w:sz w:val="20"/>
        <w:szCs w:val="20"/>
      </w:rPr>
      <w:tab/>
      <w:t xml:space="preserve">Page </w: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begin"/>
    </w:r>
    <w:r w:rsidRPr="00490ACE">
      <w:rPr>
        <w:rFonts w:asciiTheme="majorHAnsi" w:eastAsia="Times New Roman" w:hAnsiTheme="majorHAnsi" w:cstheme="majorHAnsi"/>
        <w:sz w:val="20"/>
        <w:szCs w:val="20"/>
      </w:rPr>
      <w:instrText xml:space="preserve"> PAGE </w:instrTex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separate"/>
    </w:r>
    <w:r w:rsidR="001E2A58" w:rsidRPr="00490ACE">
      <w:rPr>
        <w:rFonts w:asciiTheme="majorHAnsi" w:eastAsia="Times New Roman" w:hAnsiTheme="majorHAnsi" w:cstheme="majorHAnsi"/>
        <w:noProof/>
        <w:sz w:val="20"/>
        <w:szCs w:val="20"/>
      </w:rPr>
      <w:t>5</w: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end"/>
    </w:r>
    <w:r w:rsidRPr="00490ACE">
      <w:rPr>
        <w:rFonts w:asciiTheme="majorHAnsi" w:eastAsia="Times New Roman" w:hAnsiTheme="majorHAnsi" w:cstheme="majorHAnsi"/>
        <w:sz w:val="20"/>
        <w:szCs w:val="20"/>
      </w:rPr>
      <w:t xml:space="preserve"> of </w: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begin"/>
    </w:r>
    <w:r w:rsidRPr="00490ACE">
      <w:rPr>
        <w:rFonts w:asciiTheme="majorHAnsi" w:eastAsia="Times New Roman" w:hAnsiTheme="majorHAnsi" w:cstheme="majorHAnsi"/>
        <w:sz w:val="20"/>
        <w:szCs w:val="20"/>
      </w:rPr>
      <w:instrText xml:space="preserve"> NUMPAGES </w:instrTex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separate"/>
    </w:r>
    <w:r w:rsidR="001E2A58" w:rsidRPr="00490ACE">
      <w:rPr>
        <w:rFonts w:asciiTheme="majorHAnsi" w:eastAsia="Times New Roman" w:hAnsiTheme="majorHAnsi" w:cstheme="majorHAnsi"/>
        <w:noProof/>
        <w:sz w:val="20"/>
        <w:szCs w:val="20"/>
      </w:rPr>
      <w:t>5</w:t>
    </w:r>
    <w:r w:rsidRPr="00490ACE">
      <w:rPr>
        <w:rFonts w:asciiTheme="majorHAnsi" w:eastAsia="Times New Roman" w:hAnsiTheme="majorHAnsi" w:cs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78E8" w14:textId="457690C5" w:rsidR="00C94FFC" w:rsidRPr="00C94FFC" w:rsidRDefault="00C94FFC" w:rsidP="00407291">
    <w:pPr>
      <w:pStyle w:val="Footer"/>
      <w:rPr>
        <w:rFonts w:asciiTheme="majorHAnsi" w:hAnsiTheme="majorHAnsi" w:cstheme="majorHAnsi"/>
        <w:sz w:val="20"/>
        <w:szCs w:val="20"/>
      </w:rPr>
    </w:pPr>
    <w:r w:rsidRPr="00C94FFC">
      <w:rPr>
        <w:rFonts w:asciiTheme="majorHAnsi" w:hAnsiTheme="majorHAnsi" w:cstheme="majorHAnsi"/>
        <w:sz w:val="20"/>
        <w:szCs w:val="20"/>
      </w:rPr>
      <w:t>Access and Equity Policy and Procedure V1</w:t>
    </w:r>
    <w:r w:rsidR="00407291">
      <w:rPr>
        <w:rFonts w:asciiTheme="majorHAnsi" w:hAnsiTheme="majorHAnsi" w:cstheme="majorHAnsi"/>
        <w:sz w:val="20"/>
        <w:szCs w:val="20"/>
      </w:rPr>
      <w:tab/>
    </w:r>
    <w:r w:rsidR="00407291">
      <w:rPr>
        <w:rFonts w:asciiTheme="majorHAnsi" w:hAnsiTheme="majorHAnsi" w:cstheme="majorHAnsi"/>
        <w:sz w:val="20"/>
        <w:szCs w:val="20"/>
      </w:rPr>
      <w:tab/>
    </w:r>
    <w:r w:rsidR="00407291" w:rsidRPr="00407291">
      <w:rPr>
        <w:rFonts w:asciiTheme="majorHAnsi" w:hAnsiTheme="majorHAnsi" w:cstheme="majorHAnsi"/>
        <w:sz w:val="20"/>
        <w:szCs w:val="20"/>
      </w:rPr>
      <w:t xml:space="preserve">Page </w: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instrText xml:space="preserve"> PAGE  \* Arabic  \* MERGEFORMAT </w:instrTex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407291" w:rsidRPr="00407291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407291" w:rsidRPr="00407291">
      <w:rPr>
        <w:rFonts w:asciiTheme="majorHAnsi" w:hAnsiTheme="majorHAnsi" w:cstheme="majorHAnsi"/>
        <w:sz w:val="20"/>
        <w:szCs w:val="20"/>
      </w:rPr>
      <w:t xml:space="preserve"> of </w: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instrText xml:space="preserve"> NUMPAGES  \* Arabic  \* MERGEFORMAT </w:instrTex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407291" w:rsidRPr="00407291">
      <w:rPr>
        <w:rFonts w:asciiTheme="majorHAnsi" w:hAnsiTheme="majorHAnsi" w:cstheme="majorHAnsi"/>
        <w:b/>
        <w:bCs/>
        <w:noProof/>
        <w:sz w:val="20"/>
        <w:szCs w:val="20"/>
      </w:rPr>
      <w:t>2</w:t>
    </w:r>
    <w:r w:rsidR="00407291" w:rsidRPr="00407291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EE0B" w14:textId="77777777" w:rsidR="001070C4" w:rsidRDefault="001070C4" w:rsidP="00423415">
      <w:r>
        <w:separator/>
      </w:r>
    </w:p>
  </w:footnote>
  <w:footnote w:type="continuationSeparator" w:id="0">
    <w:p w14:paraId="57BB41C1" w14:textId="77777777" w:rsidR="001070C4" w:rsidRDefault="001070C4" w:rsidP="0042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90" w:type="dxa"/>
      <w:tblInd w:w="-7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2"/>
      <w:gridCol w:w="5268"/>
    </w:tblGrid>
    <w:tr w:rsidR="00C94FFC" w:rsidRPr="00C94FFC" w14:paraId="060491BC" w14:textId="77777777" w:rsidTr="00772EA0">
      <w:tc>
        <w:tcPr>
          <w:tcW w:w="5222" w:type="dxa"/>
          <w:vAlign w:val="center"/>
        </w:tcPr>
        <w:p w14:paraId="18CC8FDF" w14:textId="76C795F9" w:rsidR="00C94FFC" w:rsidRPr="00407291" w:rsidRDefault="00843BCA" w:rsidP="00C94FFC">
          <w:pPr>
            <w:tabs>
              <w:tab w:val="center" w:pos="4513"/>
              <w:tab w:val="right" w:pos="9026"/>
            </w:tabs>
            <w:rPr>
              <w:rFonts w:ascii="Calibri" w:hAnsi="Calibri" w:cs="Times New Roman"/>
              <w:sz w:val="32"/>
              <w:szCs w:val="32"/>
            </w:rPr>
          </w:pPr>
          <w:r>
            <w:rPr>
              <w:rFonts w:ascii="Calibri" w:hAnsi="Calibri" w:cs="Times New Roman"/>
              <w:noProof/>
            </w:rPr>
            <w:drawing>
              <wp:inline distT="0" distB="0" distL="0" distR="0" wp14:anchorId="7CE8CDF7" wp14:editId="5370C0C9">
                <wp:extent cx="1658081" cy="52321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081" cy="523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07291">
            <w:rPr>
              <w:rFonts w:ascii="Calibri" w:hAnsi="Calibri" w:cs="Times New Roman"/>
              <w:sz w:val="32"/>
              <w:szCs w:val="32"/>
            </w:rPr>
            <w:t xml:space="preserve">  </w:t>
          </w:r>
          <w:r w:rsidR="00407291" w:rsidRPr="00407291">
            <w:rPr>
              <w:rFonts w:ascii="Calibri" w:hAnsi="Calibri" w:cs="Times New Roman"/>
              <w:sz w:val="44"/>
              <w:szCs w:val="44"/>
            </w:rPr>
            <w:t>GTO</w:t>
          </w:r>
        </w:p>
      </w:tc>
      <w:tc>
        <w:tcPr>
          <w:tcW w:w="5268" w:type="dxa"/>
          <w:vAlign w:val="center"/>
        </w:tcPr>
        <w:p w14:paraId="7AB828DD" w14:textId="0570F6A1" w:rsidR="00C94FFC" w:rsidRPr="00C94FFC" w:rsidRDefault="00C94FFC" w:rsidP="00C94FF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Times New Roman"/>
              <w:b/>
              <w:sz w:val="28"/>
              <w:szCs w:val="28"/>
            </w:rPr>
          </w:pPr>
          <w:r>
            <w:rPr>
              <w:rFonts w:ascii="Calibri" w:hAnsi="Calibri" w:cs="Times New Roman"/>
              <w:b/>
              <w:sz w:val="28"/>
              <w:szCs w:val="28"/>
            </w:rPr>
            <w:t>Access and Equity Policy and Procedure</w:t>
          </w:r>
          <w:r w:rsidRPr="00C94FFC">
            <w:rPr>
              <w:rFonts w:ascii="Calibri" w:hAnsi="Calibri" w:cs="Times New Roman"/>
              <w:b/>
              <w:sz w:val="28"/>
              <w:szCs w:val="28"/>
            </w:rPr>
            <w:t xml:space="preserve"> </w:t>
          </w:r>
        </w:p>
      </w:tc>
    </w:tr>
  </w:tbl>
  <w:p w14:paraId="138EDE4C" w14:textId="77777777" w:rsidR="00C94FFC" w:rsidRDefault="00C9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6953"/>
    <w:multiLevelType w:val="hybridMultilevel"/>
    <w:tmpl w:val="3982B6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C2CD6"/>
    <w:multiLevelType w:val="hybridMultilevel"/>
    <w:tmpl w:val="04663028"/>
    <w:lvl w:ilvl="0" w:tplc="C85617D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0B6638"/>
    <w:multiLevelType w:val="hybridMultilevel"/>
    <w:tmpl w:val="84809D68"/>
    <w:lvl w:ilvl="0" w:tplc="C85617D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C30344"/>
    <w:multiLevelType w:val="hybridMultilevel"/>
    <w:tmpl w:val="F78A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5495"/>
    <w:multiLevelType w:val="hybridMultilevel"/>
    <w:tmpl w:val="CD42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98633">
    <w:abstractNumId w:val="3"/>
  </w:num>
  <w:num w:numId="2" w16cid:durableId="321005641">
    <w:abstractNumId w:val="4"/>
  </w:num>
  <w:num w:numId="3" w16cid:durableId="1741245843">
    <w:abstractNumId w:val="2"/>
  </w:num>
  <w:num w:numId="4" w16cid:durableId="946275432">
    <w:abstractNumId w:val="1"/>
  </w:num>
  <w:num w:numId="5" w16cid:durableId="198033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05"/>
    <w:rsid w:val="000038AD"/>
    <w:rsid w:val="00004E53"/>
    <w:rsid w:val="00052A05"/>
    <w:rsid w:val="00081DCC"/>
    <w:rsid w:val="001070C4"/>
    <w:rsid w:val="001C0F87"/>
    <w:rsid w:val="001E2A58"/>
    <w:rsid w:val="00205293"/>
    <w:rsid w:val="002C3E57"/>
    <w:rsid w:val="00334832"/>
    <w:rsid w:val="00344C8B"/>
    <w:rsid w:val="00345E53"/>
    <w:rsid w:val="00372405"/>
    <w:rsid w:val="003804A3"/>
    <w:rsid w:val="003A3B8A"/>
    <w:rsid w:val="003D04EC"/>
    <w:rsid w:val="00407291"/>
    <w:rsid w:val="00423415"/>
    <w:rsid w:val="00465111"/>
    <w:rsid w:val="004657B1"/>
    <w:rsid w:val="00482C40"/>
    <w:rsid w:val="00490ACE"/>
    <w:rsid w:val="004C43AB"/>
    <w:rsid w:val="004E3600"/>
    <w:rsid w:val="004E435A"/>
    <w:rsid w:val="004E5999"/>
    <w:rsid w:val="00545F96"/>
    <w:rsid w:val="00574C61"/>
    <w:rsid w:val="00592AF6"/>
    <w:rsid w:val="005A4D06"/>
    <w:rsid w:val="005B5DE8"/>
    <w:rsid w:val="005E2140"/>
    <w:rsid w:val="00672245"/>
    <w:rsid w:val="006865D0"/>
    <w:rsid w:val="00694F3F"/>
    <w:rsid w:val="006D6C9B"/>
    <w:rsid w:val="006F6E05"/>
    <w:rsid w:val="00754BD9"/>
    <w:rsid w:val="00755F89"/>
    <w:rsid w:val="007A260A"/>
    <w:rsid w:val="007C5062"/>
    <w:rsid w:val="007C672B"/>
    <w:rsid w:val="007D3BB5"/>
    <w:rsid w:val="007F4862"/>
    <w:rsid w:val="0080091A"/>
    <w:rsid w:val="00816793"/>
    <w:rsid w:val="0082150B"/>
    <w:rsid w:val="0082761D"/>
    <w:rsid w:val="00843BCA"/>
    <w:rsid w:val="00843DC3"/>
    <w:rsid w:val="0089427D"/>
    <w:rsid w:val="008B12B5"/>
    <w:rsid w:val="00914A60"/>
    <w:rsid w:val="00930177"/>
    <w:rsid w:val="00945A33"/>
    <w:rsid w:val="0097159F"/>
    <w:rsid w:val="00972E93"/>
    <w:rsid w:val="0097377B"/>
    <w:rsid w:val="009A51F8"/>
    <w:rsid w:val="009C0069"/>
    <w:rsid w:val="009E72A1"/>
    <w:rsid w:val="009F2647"/>
    <w:rsid w:val="00A22C2E"/>
    <w:rsid w:val="00A41B34"/>
    <w:rsid w:val="00A6054F"/>
    <w:rsid w:val="00A613A3"/>
    <w:rsid w:val="00A72158"/>
    <w:rsid w:val="00A73CFA"/>
    <w:rsid w:val="00A770D6"/>
    <w:rsid w:val="00A77389"/>
    <w:rsid w:val="00AE6605"/>
    <w:rsid w:val="00AF54D6"/>
    <w:rsid w:val="00AF58DA"/>
    <w:rsid w:val="00B055F0"/>
    <w:rsid w:val="00B53F33"/>
    <w:rsid w:val="00B84122"/>
    <w:rsid w:val="00B90F99"/>
    <w:rsid w:val="00BB1A49"/>
    <w:rsid w:val="00C044B0"/>
    <w:rsid w:val="00C1082E"/>
    <w:rsid w:val="00C20E63"/>
    <w:rsid w:val="00C379CF"/>
    <w:rsid w:val="00C44880"/>
    <w:rsid w:val="00C94FFC"/>
    <w:rsid w:val="00CD2571"/>
    <w:rsid w:val="00D7683E"/>
    <w:rsid w:val="00DB56B0"/>
    <w:rsid w:val="00DC5572"/>
    <w:rsid w:val="00E30C26"/>
    <w:rsid w:val="00E33A70"/>
    <w:rsid w:val="00E52714"/>
    <w:rsid w:val="00E52738"/>
    <w:rsid w:val="00E80711"/>
    <w:rsid w:val="00E82D6F"/>
    <w:rsid w:val="00EA56A2"/>
    <w:rsid w:val="00ED291A"/>
    <w:rsid w:val="00ED38FA"/>
    <w:rsid w:val="00EE6F17"/>
    <w:rsid w:val="00F172CF"/>
    <w:rsid w:val="00F334CD"/>
    <w:rsid w:val="00F55E76"/>
    <w:rsid w:val="00F84AA5"/>
    <w:rsid w:val="00F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E70F1"/>
  <w14:defaultImageDpi w14:val="300"/>
  <w15:docId w15:val="{63FD69C8-3052-47C1-B5F9-7CE5A6B2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3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423415"/>
    <w:pPr>
      <w:keepNext/>
      <w:widowControl w:val="0"/>
      <w:adjustRightInd w:val="0"/>
      <w:ind w:left="567"/>
      <w:textAlignment w:val="baseline"/>
      <w:outlineLvl w:val="3"/>
    </w:pPr>
    <w:rPr>
      <w:rFonts w:ascii="Arial" w:eastAsia="MS Mincho" w:hAnsi="Arial" w:cs="Arial"/>
      <w:b/>
      <w:bCs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A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rsid w:val="00BB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5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4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15"/>
  </w:style>
  <w:style w:type="paragraph" w:styleId="Footer">
    <w:name w:val="footer"/>
    <w:basedOn w:val="Normal"/>
    <w:link w:val="FooterChar"/>
    <w:uiPriority w:val="99"/>
    <w:unhideWhenUsed/>
    <w:rsid w:val="004234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15"/>
  </w:style>
  <w:style w:type="character" w:customStyle="1" w:styleId="Heading4Char">
    <w:name w:val="Heading 4 Char"/>
    <w:basedOn w:val="DefaultParagraphFont"/>
    <w:link w:val="Heading4"/>
    <w:rsid w:val="00423415"/>
    <w:rPr>
      <w:rFonts w:ascii="Arial" w:eastAsia="MS Mincho" w:hAnsi="Arial" w:cs="Arial"/>
      <w:b/>
      <w:bCs/>
      <w:kern w:val="20"/>
      <w:sz w:val="20"/>
      <w:szCs w:val="20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613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C94FFC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7CEFFB-92D9-4701-8260-957A8B87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RTO Doctor</Company>
  <LinksUpToDate>false</LinksUpToDate>
  <CharactersWithSpaces>6632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Doctor</dc:creator>
  <cp:lastModifiedBy>Hazel Hernandez</cp:lastModifiedBy>
  <cp:revision>2</cp:revision>
  <cp:lastPrinted>2018-03-04T22:03:00Z</cp:lastPrinted>
  <dcterms:created xsi:type="dcterms:W3CDTF">2023-06-06T04:40:00Z</dcterms:created>
  <dcterms:modified xsi:type="dcterms:W3CDTF">2023-06-06T04:40:00Z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RTO Doctor</vt:lpwstr>
  </property>
</Properties>
</file>