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1E16" w14:textId="77777777" w:rsidR="00FC6D36" w:rsidRPr="000B6221" w:rsidRDefault="00FC6D36" w:rsidP="001F28DC">
      <w:pPr>
        <w:rPr>
          <w:rFonts w:ascii="Arial" w:hAnsi="Arial" w:cs="Arial"/>
          <w:b/>
          <w:sz w:val="36"/>
          <w:szCs w:val="36"/>
        </w:rPr>
      </w:pPr>
    </w:p>
    <w:p w14:paraId="6FB4F619" w14:textId="77777777" w:rsidR="00FC6D36" w:rsidRPr="002E6AE1" w:rsidRDefault="00FC6D36" w:rsidP="00FC6D36">
      <w:pPr>
        <w:rPr>
          <w:rFonts w:ascii="Arial" w:hAnsi="Arial" w:cs="Arial"/>
          <w:b/>
        </w:rPr>
      </w:pPr>
    </w:p>
    <w:p w14:paraId="0C522190" w14:textId="77777777" w:rsidR="00FC6D36" w:rsidRPr="00CB6C8C" w:rsidRDefault="00FC6D36" w:rsidP="002E6AE1">
      <w:pPr>
        <w:ind w:left="-851" w:right="-432"/>
        <w:rPr>
          <w:rFonts w:ascii="Lucida Bright" w:hAnsi="Lucida Bright" w:cs="Arial"/>
          <w:b/>
          <w:color w:val="404040" w:themeColor="text1" w:themeTint="BF"/>
          <w:sz w:val="36"/>
          <w:szCs w:val="32"/>
        </w:rPr>
      </w:pPr>
      <w:r>
        <w:rPr>
          <w:rFonts w:ascii="Lucida Bright" w:hAnsi="Lucida Bright" w:cs="Arial"/>
          <w:b/>
          <w:color w:val="404040" w:themeColor="text1" w:themeTint="BF"/>
          <w:sz w:val="36"/>
          <w:szCs w:val="32"/>
        </w:rPr>
        <w:t>FONDO DE INVERSIÓN INMOBILIARIO</w:t>
      </w:r>
    </w:p>
    <w:p w14:paraId="45DE3AE6" w14:textId="77777777" w:rsidR="00FC6D36" w:rsidRDefault="00FC6D36" w:rsidP="002E6AE1">
      <w:pPr>
        <w:ind w:left="-851" w:right="-432"/>
        <w:rPr>
          <w:rFonts w:ascii="Lucida Bright" w:hAnsi="Lucida Bright" w:cs="Arial"/>
          <w:b/>
          <w:color w:val="404040" w:themeColor="text1" w:themeTint="BF"/>
          <w:sz w:val="36"/>
          <w:szCs w:val="32"/>
        </w:rPr>
      </w:pPr>
      <w:r>
        <w:rPr>
          <w:rFonts w:ascii="Lucida Bright" w:hAnsi="Lucida Bright" w:cs="Arial"/>
          <w:b/>
          <w:color w:val="404040" w:themeColor="text1" w:themeTint="BF"/>
          <w:sz w:val="36"/>
          <w:szCs w:val="32"/>
        </w:rPr>
        <w:t>MULTIFONDOS</w:t>
      </w:r>
    </w:p>
    <w:p w14:paraId="6C58514E" w14:textId="77777777" w:rsidR="00753DC6" w:rsidRDefault="00753DC6" w:rsidP="002E6AE1">
      <w:pPr>
        <w:ind w:left="-851" w:right="-432"/>
        <w:rPr>
          <w:rFonts w:ascii="Lucida Bright" w:hAnsi="Lucida Bright" w:cs="Arial"/>
          <w:b/>
          <w:color w:val="404040" w:themeColor="text1" w:themeTint="BF"/>
          <w:sz w:val="36"/>
          <w:szCs w:val="32"/>
        </w:rPr>
      </w:pPr>
    </w:p>
    <w:p w14:paraId="5864DDBE" w14:textId="77777777" w:rsidR="00753DC6" w:rsidRDefault="00753DC6" w:rsidP="00CC6647">
      <w:pPr>
        <w:ind w:right="-432"/>
        <w:rPr>
          <w:rFonts w:ascii="Arial" w:hAnsi="Arial" w:cs="Arial"/>
          <w:sz w:val="22"/>
          <w:szCs w:val="22"/>
        </w:rPr>
      </w:pPr>
    </w:p>
    <w:p w14:paraId="03AEA386" w14:textId="30C9257F" w:rsidR="00753DC6" w:rsidRPr="004C27EB" w:rsidRDefault="00753DC6" w:rsidP="004C27EB">
      <w:pPr>
        <w:spacing w:line="276" w:lineRule="auto"/>
        <w:ind w:left="-851" w:right="-858"/>
        <w:rPr>
          <w:rFonts w:ascii="Verdana" w:hAnsi="Verdana" w:cs="Arial"/>
          <w:color w:val="595959" w:themeColor="text1" w:themeTint="A6"/>
          <w:sz w:val="22"/>
          <w:szCs w:val="18"/>
        </w:rPr>
      </w:pPr>
      <w:r w:rsidRPr="004C27EB">
        <w:rPr>
          <w:rFonts w:ascii="Verdana" w:hAnsi="Verdana" w:cs="Arial"/>
          <w:color w:val="595959" w:themeColor="text1" w:themeTint="A6"/>
          <w:sz w:val="22"/>
          <w:szCs w:val="18"/>
        </w:rPr>
        <w:t>Multifondos de Costa Rica S</w:t>
      </w:r>
      <w:r w:rsidR="00A11560">
        <w:rPr>
          <w:rFonts w:ascii="Verdana" w:hAnsi="Verdana" w:cs="Arial"/>
          <w:color w:val="595959" w:themeColor="text1" w:themeTint="A6"/>
          <w:sz w:val="22"/>
          <w:szCs w:val="18"/>
        </w:rPr>
        <w:t xml:space="preserve">ociedad de </w:t>
      </w:r>
      <w:r w:rsidRPr="004C27EB">
        <w:rPr>
          <w:rFonts w:ascii="Verdana" w:hAnsi="Verdana" w:cs="Arial"/>
          <w:color w:val="595959" w:themeColor="text1" w:themeTint="A6"/>
          <w:sz w:val="22"/>
          <w:szCs w:val="18"/>
        </w:rPr>
        <w:t>F</w:t>
      </w:r>
      <w:r w:rsidR="00A11560">
        <w:rPr>
          <w:rFonts w:ascii="Verdana" w:hAnsi="Verdana" w:cs="Arial"/>
          <w:color w:val="595959" w:themeColor="text1" w:themeTint="A6"/>
          <w:sz w:val="22"/>
          <w:szCs w:val="18"/>
        </w:rPr>
        <w:t xml:space="preserve">ondos de </w:t>
      </w:r>
      <w:r w:rsidRPr="004C27EB">
        <w:rPr>
          <w:rFonts w:ascii="Verdana" w:hAnsi="Verdana" w:cs="Arial"/>
          <w:color w:val="595959" w:themeColor="text1" w:themeTint="A6"/>
          <w:sz w:val="22"/>
          <w:szCs w:val="18"/>
        </w:rPr>
        <w:t>I</w:t>
      </w:r>
      <w:r w:rsidR="00A11560">
        <w:rPr>
          <w:rFonts w:ascii="Verdana" w:hAnsi="Verdana" w:cs="Arial"/>
          <w:color w:val="595959" w:themeColor="text1" w:themeTint="A6"/>
          <w:sz w:val="22"/>
          <w:szCs w:val="18"/>
        </w:rPr>
        <w:t>nversión</w:t>
      </w:r>
      <w:r w:rsidRPr="004C27EB">
        <w:rPr>
          <w:rFonts w:ascii="Verdana" w:hAnsi="Verdana" w:cs="Arial"/>
          <w:color w:val="595959" w:themeColor="text1" w:themeTint="A6"/>
          <w:sz w:val="22"/>
          <w:szCs w:val="18"/>
        </w:rPr>
        <w:t>, S</w:t>
      </w:r>
      <w:r w:rsidR="00A11560">
        <w:rPr>
          <w:rFonts w:ascii="Verdana" w:hAnsi="Verdana" w:cs="Arial"/>
          <w:color w:val="595959" w:themeColor="text1" w:themeTint="A6"/>
          <w:sz w:val="22"/>
          <w:szCs w:val="18"/>
        </w:rPr>
        <w:t xml:space="preserve">ociedad </w:t>
      </w:r>
      <w:r w:rsidRPr="004C27EB">
        <w:rPr>
          <w:rFonts w:ascii="Verdana" w:hAnsi="Verdana" w:cs="Arial"/>
          <w:color w:val="595959" w:themeColor="text1" w:themeTint="A6"/>
          <w:sz w:val="22"/>
          <w:szCs w:val="18"/>
        </w:rPr>
        <w:t>A</w:t>
      </w:r>
      <w:r w:rsidR="00A11560">
        <w:rPr>
          <w:rFonts w:ascii="Verdana" w:hAnsi="Verdana" w:cs="Arial"/>
          <w:color w:val="595959" w:themeColor="text1" w:themeTint="A6"/>
          <w:sz w:val="22"/>
          <w:szCs w:val="18"/>
        </w:rPr>
        <w:t>nónima</w:t>
      </w:r>
    </w:p>
    <w:p w14:paraId="1C6870B1" w14:textId="77777777" w:rsidR="00753DC6" w:rsidRPr="00CC6647" w:rsidRDefault="00753DC6" w:rsidP="00CC6647">
      <w:pPr>
        <w:spacing w:line="276" w:lineRule="auto"/>
        <w:ind w:right="-858"/>
        <w:rPr>
          <w:rFonts w:ascii="Verdana" w:hAnsi="Verdana" w:cs="Arial"/>
          <w:color w:val="595959" w:themeColor="text1" w:themeTint="A6"/>
          <w:sz w:val="22"/>
          <w:szCs w:val="18"/>
          <w:lang w:val="es-CR"/>
        </w:rPr>
      </w:pPr>
    </w:p>
    <w:p w14:paraId="11B977B0" w14:textId="77777777" w:rsidR="00753DC6" w:rsidRDefault="00753DC6" w:rsidP="00FC6D36">
      <w:pPr>
        <w:spacing w:line="276" w:lineRule="auto"/>
        <w:ind w:left="-851" w:right="-858"/>
        <w:rPr>
          <w:rFonts w:ascii="Verdana" w:hAnsi="Verdana" w:cs="Arial"/>
          <w:color w:val="595959" w:themeColor="text1" w:themeTint="A6"/>
          <w:sz w:val="22"/>
          <w:szCs w:val="18"/>
        </w:rPr>
      </w:pPr>
    </w:p>
    <w:p w14:paraId="328917E9" w14:textId="653DDFA4" w:rsidR="00FC6D36" w:rsidRDefault="00FC6D36" w:rsidP="00FC6D36">
      <w:pPr>
        <w:spacing w:line="276" w:lineRule="auto"/>
        <w:ind w:left="-851" w:right="-858"/>
        <w:rPr>
          <w:rFonts w:ascii="Verdana" w:hAnsi="Verdana" w:cs="Arial"/>
          <w:color w:val="595959" w:themeColor="text1" w:themeTint="A6"/>
          <w:sz w:val="22"/>
          <w:szCs w:val="18"/>
        </w:rPr>
      </w:pPr>
      <w:r w:rsidRPr="00313897">
        <w:rPr>
          <w:rFonts w:ascii="Verdana" w:hAnsi="Verdana" w:cs="Arial"/>
          <w:color w:val="595959" w:themeColor="text1" w:themeTint="A6"/>
          <w:sz w:val="22"/>
          <w:szCs w:val="18"/>
        </w:rPr>
        <w:t>Autorizado mediante resolución SGV-R-</w:t>
      </w:r>
      <w:r>
        <w:rPr>
          <w:rFonts w:ascii="Verdana" w:hAnsi="Verdana" w:cs="Arial"/>
          <w:color w:val="595959" w:themeColor="text1" w:themeTint="A6"/>
          <w:sz w:val="22"/>
          <w:szCs w:val="18"/>
        </w:rPr>
        <w:t xml:space="preserve">526 </w:t>
      </w:r>
      <w:r w:rsidRPr="00313897">
        <w:rPr>
          <w:rFonts w:ascii="Verdana" w:hAnsi="Verdana" w:cs="Arial"/>
          <w:color w:val="595959" w:themeColor="text1" w:themeTint="A6"/>
          <w:sz w:val="22"/>
          <w:szCs w:val="18"/>
        </w:rPr>
        <w:t xml:space="preserve">del </w:t>
      </w:r>
      <w:r>
        <w:rPr>
          <w:rFonts w:ascii="Verdana" w:hAnsi="Verdana" w:cs="Arial"/>
          <w:color w:val="595959" w:themeColor="text1" w:themeTint="A6"/>
          <w:sz w:val="22"/>
          <w:szCs w:val="18"/>
        </w:rPr>
        <w:t>20</w:t>
      </w:r>
      <w:r w:rsidRPr="00313897">
        <w:rPr>
          <w:rFonts w:ascii="Verdana" w:hAnsi="Verdana" w:cs="Arial"/>
          <w:color w:val="595959" w:themeColor="text1" w:themeTint="A6"/>
          <w:sz w:val="22"/>
          <w:szCs w:val="18"/>
        </w:rPr>
        <w:t xml:space="preserve"> de </w:t>
      </w:r>
      <w:r>
        <w:rPr>
          <w:rFonts w:ascii="Verdana" w:hAnsi="Verdana" w:cs="Arial"/>
          <w:color w:val="595959" w:themeColor="text1" w:themeTint="A6"/>
          <w:sz w:val="22"/>
          <w:szCs w:val="18"/>
        </w:rPr>
        <w:t>agosto</w:t>
      </w:r>
      <w:r w:rsidRPr="00313897">
        <w:rPr>
          <w:rFonts w:ascii="Verdana" w:hAnsi="Verdana" w:cs="Arial"/>
          <w:color w:val="595959" w:themeColor="text1" w:themeTint="A6"/>
          <w:sz w:val="22"/>
          <w:szCs w:val="18"/>
        </w:rPr>
        <w:t xml:space="preserve"> del 200</w:t>
      </w:r>
      <w:r>
        <w:rPr>
          <w:rFonts w:ascii="Verdana" w:hAnsi="Verdana" w:cs="Arial"/>
          <w:color w:val="595959" w:themeColor="text1" w:themeTint="A6"/>
          <w:sz w:val="22"/>
          <w:szCs w:val="18"/>
        </w:rPr>
        <w:t>2</w:t>
      </w:r>
      <w:r w:rsidRPr="00313897">
        <w:rPr>
          <w:rFonts w:ascii="Verdana" w:hAnsi="Verdana" w:cs="Arial"/>
          <w:color w:val="595959" w:themeColor="text1" w:themeTint="A6"/>
          <w:sz w:val="22"/>
          <w:szCs w:val="18"/>
        </w:rPr>
        <w:t xml:space="preserve"> por la Superintendencia General de Valores.</w:t>
      </w:r>
    </w:p>
    <w:p w14:paraId="7A6406C0" w14:textId="77777777" w:rsidR="000E5999" w:rsidRPr="00313897" w:rsidRDefault="000E5999" w:rsidP="00FC6D36">
      <w:pPr>
        <w:spacing w:line="276" w:lineRule="auto"/>
        <w:ind w:left="-851" w:right="-858"/>
        <w:rPr>
          <w:rFonts w:ascii="Verdana" w:hAnsi="Verdana" w:cs="Arial"/>
          <w:color w:val="595959" w:themeColor="text1" w:themeTint="A6"/>
          <w:sz w:val="22"/>
          <w:szCs w:val="18"/>
        </w:rPr>
      </w:pPr>
    </w:p>
    <w:p w14:paraId="019DFCCD" w14:textId="77777777" w:rsidR="00435150" w:rsidRPr="000B6221" w:rsidRDefault="00435150" w:rsidP="00435150">
      <w:pPr>
        <w:tabs>
          <w:tab w:val="left" w:pos="8910"/>
        </w:tabs>
        <w:jc w:val="both"/>
        <w:rPr>
          <w:rFonts w:ascii="Arial" w:hAnsi="Arial" w:cs="Arial"/>
          <w:sz w:val="22"/>
          <w:szCs w:val="22"/>
        </w:rPr>
      </w:pPr>
    </w:p>
    <w:p w14:paraId="24F8007E" w14:textId="77777777" w:rsidR="00435150" w:rsidRPr="000B6221" w:rsidRDefault="00435150" w:rsidP="00435150">
      <w:pPr>
        <w:tabs>
          <w:tab w:val="left" w:pos="8910"/>
        </w:tabs>
        <w:jc w:val="both"/>
        <w:rPr>
          <w:rFonts w:ascii="Arial" w:hAnsi="Arial" w:cs="Arial"/>
          <w:sz w:val="22"/>
          <w:szCs w:val="22"/>
        </w:rPr>
      </w:pPr>
    </w:p>
    <w:bookmarkStart w:id="0" w:name="_Hlk801102"/>
    <w:bookmarkStart w:id="1" w:name="_Hlk801438"/>
    <w:p w14:paraId="796723EC" w14:textId="2674FF98" w:rsidR="009F0BA0" w:rsidRDefault="00162E33" w:rsidP="009F0BA0">
      <w:pPr>
        <w:rPr>
          <w:rFonts w:ascii="Verdana" w:hAnsi="Verdana"/>
          <w:b/>
          <w:caps/>
          <w:color w:val="525252"/>
          <w:bdr w:val="none" w:sz="0" w:space="0" w:color="auto" w:frame="1"/>
          <w:lang w:val="es-CR"/>
        </w:rPr>
      </w:pPr>
      <w:r>
        <w:rPr>
          <w:noProof/>
        </w:rPr>
        <mc:AlternateContent>
          <mc:Choice Requires="wpg">
            <w:drawing>
              <wp:anchor distT="0" distB="0" distL="114300" distR="114300" simplePos="0" relativeHeight="251658240" behindDoc="0" locked="0" layoutInCell="1" allowOverlap="1" wp14:anchorId="56944BD1" wp14:editId="6C163383">
                <wp:simplePos x="0" y="0"/>
                <wp:positionH relativeFrom="column">
                  <wp:posOffset>-1629888</wp:posOffset>
                </wp:positionH>
                <wp:positionV relativeFrom="paragraph">
                  <wp:posOffset>234521</wp:posOffset>
                </wp:positionV>
                <wp:extent cx="6216732" cy="534390"/>
                <wp:effectExtent l="0" t="0" r="0" b="0"/>
                <wp:wrapNone/>
                <wp:docPr id="1103765644" name="Grupo 2"/>
                <wp:cNvGraphicFramePr/>
                <a:graphic xmlns:a="http://schemas.openxmlformats.org/drawingml/2006/main">
                  <a:graphicData uri="http://schemas.microsoft.com/office/word/2010/wordprocessingGroup">
                    <wpg:wgp>
                      <wpg:cNvGrpSpPr/>
                      <wpg:grpSpPr>
                        <a:xfrm>
                          <a:off x="0" y="0"/>
                          <a:ext cx="6216732" cy="534390"/>
                          <a:chOff x="0" y="0"/>
                          <a:chExt cx="6337300" cy="581660"/>
                        </a:xfrm>
                      </wpg:grpSpPr>
                      <pic:pic xmlns:pic="http://schemas.openxmlformats.org/drawingml/2006/picture">
                        <pic:nvPicPr>
                          <pic:cNvPr id="1559803572" name="officeArt object"/>
                          <pic:cNvPicPr/>
                        </pic:nvPicPr>
                        <pic:blipFill rotWithShape="1">
                          <a:blip r:embed="rId11">
                            <a:extLst>
                              <a:ext uri="{28A0092B-C50C-407E-A947-70E740481C1C}">
                                <a14:useLocalDpi xmlns:a14="http://schemas.microsoft.com/office/drawing/2010/main" val="0"/>
                              </a:ext>
                            </a:extLst>
                          </a:blip>
                          <a:srcRect r="23130"/>
                          <a:stretch/>
                        </pic:blipFill>
                        <pic:spPr bwMode="auto">
                          <a:xfrm>
                            <a:off x="0" y="0"/>
                            <a:ext cx="4889500" cy="520065"/>
                          </a:xfrm>
                          <a:prstGeom prst="rect">
                            <a:avLst/>
                          </a:prstGeom>
                          <a:ln>
                            <a:noFill/>
                          </a:ln>
                          <a:effectLst/>
                          <a:extLst>
                            <a:ext uri="{53640926-AAD7-44D8-BBD7-CCE9431645EC}">
                              <a14:shadowObscured xmlns:a14="http://schemas.microsoft.com/office/drawing/2010/main"/>
                            </a:ext>
                          </a:extLst>
                        </pic:spPr>
                      </pic:pic>
                      <pic:pic xmlns:pic="http://schemas.openxmlformats.org/drawingml/2006/picture">
                        <pic:nvPicPr>
                          <pic:cNvPr id="79937843" name="Imagen 79937843" descr="Logotipo, nombre de la empresa&#10;&#10;Descripción generada automáticamente"/>
                          <pic:cNvPicPr>
                            <a:picLocks noChangeAspect="1"/>
                          </pic:cNvPicPr>
                        </pic:nvPicPr>
                        <pic:blipFill rotWithShape="1">
                          <a:blip r:embed="rId12">
                            <a:extLst>
                              <a:ext uri="{28A0092B-C50C-407E-A947-70E740481C1C}">
                                <a14:useLocalDpi xmlns:a14="http://schemas.microsoft.com/office/drawing/2010/main" val="0"/>
                              </a:ext>
                            </a:extLst>
                          </a:blip>
                          <a:srcRect l="8584" t="37159" r="16040" b="36265"/>
                          <a:stretch/>
                        </pic:blipFill>
                        <pic:spPr bwMode="auto">
                          <a:xfrm>
                            <a:off x="4921250" y="82550"/>
                            <a:ext cx="1416050" cy="4991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B34A3B0" id="Grupo 2" o:spid="_x0000_s1026" style="position:absolute;margin-left:-128.35pt;margin-top:18.45pt;width:489.5pt;height:42.1pt;z-index:251658240;mso-width-relative:margin;mso-height-relative:margin" coordsize="63373,5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style="position:absolute;width:48895;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">
                  <v:imagedata r:id="rId13" o:title="" cropright="15158f"/>
                </v:shape>
                <v:shape id="Imagen 79937843" o:spid="_x0000_s1028" type="#_x0000_t75" alt="Logotipo, nombre de la empresa&#10;&#10;Descripción generada automáticamente" style="position:absolute;left:49212;top:825;width:14161;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">
                  <v:imagedata r:id="rId14" o:title="Logotipo, nombre de la empresa&#10;&#10;Descripción generada automáticamente" croptop="24353f" cropbottom="23767f" cropleft="5626f" cropright="10512f"/>
                </v:shape>
              </v:group>
            </w:pict>
          </mc:Fallback>
        </mc:AlternateContent>
      </w:r>
      <w:r w:rsidR="009F0BA0">
        <w:rPr>
          <w:rFonts w:ascii="Verdana" w:hAnsi="Verdana"/>
          <w:b/>
          <w:caps/>
          <w:color w:val="525252"/>
          <w:bdr w:val="none" w:sz="0" w:space="0" w:color="auto" w:frame="1"/>
          <w:lang w:val="es-CR"/>
        </w:rPr>
        <w:t>ENTIDAD COMERCIALIZADORA:</w:t>
      </w:r>
      <w:bookmarkEnd w:id="0"/>
    </w:p>
    <w:bookmarkEnd w:id="1"/>
    <w:p w14:paraId="5937A835" w14:textId="63B80A6E" w:rsidR="00435150" w:rsidRPr="000B6221" w:rsidRDefault="00435150" w:rsidP="00435150">
      <w:pPr>
        <w:tabs>
          <w:tab w:val="left" w:pos="8910"/>
        </w:tabs>
        <w:jc w:val="both"/>
        <w:rPr>
          <w:rFonts w:ascii="Arial" w:hAnsi="Arial" w:cs="Arial"/>
          <w:sz w:val="22"/>
          <w:szCs w:val="22"/>
        </w:rPr>
      </w:pPr>
    </w:p>
    <w:p w14:paraId="473CD4B4" w14:textId="77777777" w:rsidR="00435150" w:rsidRPr="000B6221" w:rsidRDefault="00435150" w:rsidP="00435150">
      <w:pPr>
        <w:tabs>
          <w:tab w:val="left" w:pos="8910"/>
        </w:tabs>
        <w:jc w:val="both"/>
        <w:rPr>
          <w:rFonts w:ascii="Arial" w:hAnsi="Arial" w:cs="Arial"/>
          <w:sz w:val="22"/>
          <w:szCs w:val="22"/>
        </w:rPr>
      </w:pPr>
    </w:p>
    <w:p w14:paraId="03B8DEA7" w14:textId="77777777" w:rsidR="00435150" w:rsidRPr="000B6221" w:rsidRDefault="00435150" w:rsidP="00435150">
      <w:pPr>
        <w:tabs>
          <w:tab w:val="left" w:pos="8910"/>
        </w:tabs>
        <w:jc w:val="both"/>
        <w:rPr>
          <w:rFonts w:ascii="Arial" w:hAnsi="Arial" w:cs="Arial"/>
          <w:sz w:val="22"/>
          <w:szCs w:val="22"/>
        </w:rPr>
      </w:pPr>
    </w:p>
    <w:p w14:paraId="6642574D" w14:textId="77777777" w:rsidR="00435150" w:rsidRDefault="00435150" w:rsidP="00435150">
      <w:pPr>
        <w:tabs>
          <w:tab w:val="left" w:pos="8910"/>
        </w:tabs>
        <w:jc w:val="both"/>
        <w:rPr>
          <w:rFonts w:ascii="Arial" w:hAnsi="Arial" w:cs="Arial"/>
          <w:sz w:val="22"/>
          <w:szCs w:val="22"/>
        </w:rPr>
      </w:pPr>
    </w:p>
    <w:p w14:paraId="5A227D4D" w14:textId="77777777" w:rsidR="0010211B" w:rsidRDefault="0010211B" w:rsidP="00435150">
      <w:pPr>
        <w:tabs>
          <w:tab w:val="left" w:pos="8910"/>
        </w:tabs>
        <w:jc w:val="both"/>
        <w:rPr>
          <w:rFonts w:ascii="Arial" w:hAnsi="Arial" w:cs="Arial"/>
          <w:sz w:val="22"/>
          <w:szCs w:val="22"/>
        </w:rPr>
      </w:pPr>
    </w:p>
    <w:p w14:paraId="6AF09AB8" w14:textId="4135033A" w:rsidR="0010211B" w:rsidRPr="00313897" w:rsidRDefault="0010211B" w:rsidP="0010211B">
      <w:pPr>
        <w:tabs>
          <w:tab w:val="left" w:pos="432"/>
          <w:tab w:val="right" w:pos="4032"/>
        </w:tabs>
        <w:spacing w:line="360" w:lineRule="atLeast"/>
        <w:ind w:left="-851"/>
        <w:jc w:val="center"/>
        <w:rPr>
          <w:rFonts w:ascii="Verdana" w:hAnsi="Verdana" w:cs="Arial"/>
          <w:color w:val="595959" w:themeColor="text1" w:themeTint="A6"/>
          <w:sz w:val="22"/>
          <w:szCs w:val="18"/>
        </w:rPr>
      </w:pPr>
      <w:r w:rsidRPr="00313897">
        <w:rPr>
          <w:rFonts w:ascii="Verdana" w:hAnsi="Verdana" w:cs="Arial"/>
          <w:color w:val="595959" w:themeColor="text1" w:themeTint="A6"/>
          <w:sz w:val="22"/>
          <w:szCs w:val="18"/>
        </w:rPr>
        <w:t>San José,</w:t>
      </w:r>
      <w:r>
        <w:rPr>
          <w:rFonts w:ascii="Verdana" w:hAnsi="Verdana" w:cs="Arial"/>
          <w:color w:val="595959" w:themeColor="text1" w:themeTint="A6"/>
          <w:sz w:val="22"/>
          <w:szCs w:val="18"/>
        </w:rPr>
        <w:t xml:space="preserve"> </w:t>
      </w:r>
      <w:r w:rsidR="00AE233D">
        <w:rPr>
          <w:rFonts w:ascii="Verdana" w:hAnsi="Verdana" w:cs="Arial"/>
          <w:color w:val="595959" w:themeColor="text1" w:themeTint="A6"/>
          <w:sz w:val="22"/>
          <w:szCs w:val="18"/>
        </w:rPr>
        <w:t xml:space="preserve">Marzo </w:t>
      </w:r>
      <w:r>
        <w:rPr>
          <w:rFonts w:ascii="Verdana" w:hAnsi="Verdana" w:cs="Arial"/>
          <w:color w:val="595959" w:themeColor="text1" w:themeTint="A6"/>
          <w:sz w:val="22"/>
          <w:szCs w:val="18"/>
        </w:rPr>
        <w:t>202</w:t>
      </w:r>
      <w:r w:rsidR="0039390B">
        <w:rPr>
          <w:rFonts w:ascii="Verdana" w:hAnsi="Verdana" w:cs="Arial"/>
          <w:color w:val="595959" w:themeColor="text1" w:themeTint="A6"/>
          <w:sz w:val="22"/>
          <w:szCs w:val="18"/>
        </w:rPr>
        <w:t>6</w:t>
      </w:r>
      <w:r>
        <w:rPr>
          <w:rFonts w:ascii="Verdana" w:hAnsi="Verdana" w:cs="Arial"/>
          <w:color w:val="595959" w:themeColor="text1" w:themeTint="A6"/>
          <w:sz w:val="22"/>
          <w:szCs w:val="18"/>
        </w:rPr>
        <w:t>.</w:t>
      </w:r>
    </w:p>
    <w:p w14:paraId="10A6D2C5" w14:textId="77777777" w:rsidR="0010211B" w:rsidRPr="000B6221" w:rsidRDefault="0010211B" w:rsidP="00435150">
      <w:pPr>
        <w:tabs>
          <w:tab w:val="left" w:pos="8910"/>
        </w:tabs>
        <w:jc w:val="both"/>
        <w:rPr>
          <w:rFonts w:ascii="Arial" w:hAnsi="Arial" w:cs="Arial"/>
          <w:sz w:val="22"/>
          <w:szCs w:val="22"/>
        </w:rPr>
      </w:pPr>
    </w:p>
    <w:p w14:paraId="1A1C0C60" w14:textId="77777777" w:rsidR="00435150" w:rsidRPr="000B6221" w:rsidRDefault="00435150" w:rsidP="00435150">
      <w:pPr>
        <w:tabs>
          <w:tab w:val="left" w:pos="8910"/>
        </w:tabs>
        <w:jc w:val="both"/>
        <w:rPr>
          <w:rFonts w:ascii="Arial" w:hAnsi="Arial" w:cs="Arial"/>
          <w:sz w:val="22"/>
          <w:szCs w:val="22"/>
        </w:rPr>
      </w:pPr>
    </w:p>
    <w:p w14:paraId="41138BD4" w14:textId="77777777" w:rsidR="007B334D" w:rsidRPr="007A4732" w:rsidRDefault="00505351" w:rsidP="00435150">
      <w:pPr>
        <w:tabs>
          <w:tab w:val="left" w:pos="8910"/>
        </w:tabs>
        <w:jc w:val="both"/>
        <w:rPr>
          <w:rFonts w:ascii="Arial" w:hAnsi="Arial" w:cs="Arial"/>
          <w:sz w:val="16"/>
          <w:szCs w:val="16"/>
        </w:rPr>
      </w:pPr>
      <w:r w:rsidRPr="00505351">
        <w:rPr>
          <w:rFonts w:ascii="Arial" w:hAnsi="Arial" w:cs="Arial"/>
          <w:sz w:val="16"/>
          <w:szCs w:val="16"/>
        </w:rPr>
        <w:t>“El representante legal de Multifondos de Costa Rica Sociedad de Fondos de Inversión, Sociedad Anónima, asume la responsabilidad del contenido de este Prospecto, para lo cual ha emitido una declaración en donde se indica que con base en la información disponible al momento de preparar el prospecto, la información contenida es exacta, veraz, verificable y suficiente, con la intención de que el lector pueda ejercer sus juicios de valoración en forma razonable, y que no existe ninguna omisión de información relevante o adición de información que haga engañoso su contenido para la valoración del inversionista.  Esta declaración fue entregada a la Superintendencia General de Valores como parte del trámite de autorización y puede ser consultada en sus oficinas.”</w:t>
      </w:r>
    </w:p>
    <w:p w14:paraId="25E80C66" w14:textId="77777777" w:rsidR="007B334D" w:rsidRPr="007A4732" w:rsidRDefault="007B334D" w:rsidP="007B334D">
      <w:pPr>
        <w:tabs>
          <w:tab w:val="left" w:pos="8910"/>
        </w:tabs>
        <w:jc w:val="both"/>
        <w:rPr>
          <w:rFonts w:ascii="Arial" w:hAnsi="Arial" w:cs="Arial"/>
          <w:sz w:val="16"/>
          <w:szCs w:val="16"/>
        </w:rPr>
      </w:pPr>
    </w:p>
    <w:p w14:paraId="0131B4E9" w14:textId="183BA73C" w:rsidR="00DD493D" w:rsidRDefault="007B334D" w:rsidP="00753FD7">
      <w:pPr>
        <w:tabs>
          <w:tab w:val="left" w:pos="8910"/>
        </w:tabs>
        <w:jc w:val="both"/>
        <w:rPr>
          <w:rFonts w:ascii="Arial" w:hAnsi="Arial" w:cs="Arial"/>
          <w:sz w:val="16"/>
          <w:szCs w:val="16"/>
        </w:rPr>
      </w:pPr>
      <w:r w:rsidRPr="007A4732">
        <w:rPr>
          <w:rFonts w:ascii="Arial" w:hAnsi="Arial" w:cs="Arial"/>
          <w:sz w:val="16"/>
          <w:szCs w:val="16"/>
        </w:rPr>
        <w:t xml:space="preserve">“Señor Inversionista: Antes de invertir consulte e investigue sobre el producto en el cual desea participar.  Este prospecto contiene información sobre las características fundamentales y riesgos del fondo de inversión, por lo que se requiere su lectura.  La información que contiene puede ser modificada en el futuro, para lo cual </w:t>
      </w:r>
      <w:r>
        <w:rPr>
          <w:rFonts w:ascii="Arial" w:hAnsi="Arial" w:cs="Arial"/>
          <w:sz w:val="16"/>
          <w:szCs w:val="16"/>
        </w:rPr>
        <w:t>Multifondos</w:t>
      </w:r>
      <w:r w:rsidRPr="007A4732">
        <w:rPr>
          <w:rFonts w:ascii="Arial" w:hAnsi="Arial" w:cs="Arial"/>
          <w:sz w:val="16"/>
          <w:szCs w:val="16"/>
        </w:rPr>
        <w:t xml:space="preserve"> le comunicará de acuerdo a los lineamientos establecidos por la normativa”. “</w:t>
      </w:r>
      <w:r>
        <w:rPr>
          <w:rFonts w:ascii="Arial" w:hAnsi="Arial" w:cs="Arial"/>
          <w:sz w:val="16"/>
          <w:szCs w:val="16"/>
        </w:rPr>
        <w:t>Multifondos</w:t>
      </w:r>
      <w:r w:rsidRPr="007A4732">
        <w:rPr>
          <w:rFonts w:ascii="Arial" w:hAnsi="Arial" w:cs="Arial"/>
          <w:sz w:val="16"/>
          <w:szCs w:val="16"/>
        </w:rPr>
        <w:t xml:space="preserve"> asume la responsabilidad del contenido de este Prospecto y declara que</w:t>
      </w:r>
      <w:r w:rsidR="00EE1D76">
        <w:rPr>
          <w:rFonts w:ascii="Arial" w:hAnsi="Arial" w:cs="Arial"/>
          <w:sz w:val="16"/>
          <w:szCs w:val="16"/>
        </w:rPr>
        <w:t>,</w:t>
      </w:r>
      <w:r w:rsidRPr="007A4732">
        <w:rPr>
          <w:rFonts w:ascii="Arial" w:hAnsi="Arial" w:cs="Arial"/>
          <w:sz w:val="16"/>
          <w:szCs w:val="16"/>
        </w:rPr>
        <w:t xml:space="preserve"> a su juicio, los datos contenidos en el mismo son conformes a la realidad y que no se omite ningún hecho susceptible de alterar su alcance.” “La Superintendencia General de Valores (SUGEVAL) no emite criterio sobre la veracidad, exactitud o suficiencia de la información contenida en este prospecto y no asume responsabilidad por la situación financiera del fondo de inversión. La autorización para realizar oferta pública no implica una recomendación de inversión sobre el fondo o su sociedad administradora. La gestión financiera y el riesgo de invertir en este fondo de </w:t>
      </w:r>
      <w:r w:rsidR="001713CD" w:rsidRPr="007A4732">
        <w:rPr>
          <w:rFonts w:ascii="Arial" w:hAnsi="Arial" w:cs="Arial"/>
          <w:sz w:val="16"/>
          <w:szCs w:val="16"/>
        </w:rPr>
        <w:t>inversión</w:t>
      </w:r>
      <w:r w:rsidRPr="007A4732">
        <w:rPr>
          <w:rFonts w:ascii="Arial" w:hAnsi="Arial" w:cs="Arial"/>
          <w:sz w:val="16"/>
          <w:szCs w:val="16"/>
        </w:rPr>
        <w:t xml:space="preserve"> no tienen relación con las entidades bancarias o financieras de su grupo económico, pues su patrimonio es independiente.”</w:t>
      </w:r>
      <w:r w:rsidR="00C57AB0" w:rsidRPr="00CE0E6C">
        <w:rPr>
          <w:rFonts w:ascii="Arial" w:hAnsi="Arial" w:cs="Arial"/>
          <w:sz w:val="16"/>
          <w:szCs w:val="16"/>
        </w:rPr>
        <w:t xml:space="preserve">  “La SUGEVAL le advierte que este fondo de inversión puede tener características especiales en cuanto a la estructura de la propiedad de los activos inmobiliarios objeto de inversión, así como sobre los riesgos asociados, por lo cual se le recomienda revisar con destalle el prospecto y asesorarse antes de tomar su decisión de inversión.”</w:t>
      </w:r>
    </w:p>
    <w:p w14:paraId="697D5E01" w14:textId="77777777" w:rsidR="00CC6647" w:rsidRDefault="00CC6647" w:rsidP="00753FD7">
      <w:pPr>
        <w:tabs>
          <w:tab w:val="left" w:pos="8910"/>
        </w:tabs>
        <w:jc w:val="both"/>
        <w:rPr>
          <w:rFonts w:ascii="Arial" w:hAnsi="Arial" w:cs="Arial"/>
          <w:sz w:val="16"/>
          <w:szCs w:val="16"/>
        </w:rPr>
      </w:pPr>
    </w:p>
    <w:p w14:paraId="4754DB39" w14:textId="03F96CDC" w:rsidR="00580521" w:rsidRPr="005776D2" w:rsidRDefault="00580521" w:rsidP="00753FD7">
      <w:pPr>
        <w:tabs>
          <w:tab w:val="left" w:pos="8910"/>
        </w:tabs>
        <w:jc w:val="both"/>
        <w:rPr>
          <w:b/>
          <w:bCs/>
          <w:color w:val="EE0000"/>
        </w:rPr>
      </w:pPr>
      <w:r w:rsidRPr="005776D2">
        <w:rPr>
          <w:rFonts w:ascii="Arial" w:hAnsi="Arial" w:cs="Arial"/>
          <w:b/>
          <w:bCs/>
          <w:color w:val="EE0000"/>
          <w:sz w:val="16"/>
          <w:szCs w:val="16"/>
        </w:rPr>
        <w:t>“</w:t>
      </w:r>
      <w:r w:rsidR="003F23A3" w:rsidRPr="005776D2">
        <w:rPr>
          <w:rFonts w:ascii="Arial" w:hAnsi="Arial" w:cs="Arial"/>
          <w:b/>
          <w:bCs/>
          <w:color w:val="EE0000"/>
          <w:sz w:val="16"/>
          <w:szCs w:val="16"/>
        </w:rPr>
        <w:t xml:space="preserve">Este fondo podrá recibir hasta un </w:t>
      </w:r>
      <w:r w:rsidR="003F23A3">
        <w:rPr>
          <w:rFonts w:ascii="Arial" w:hAnsi="Arial" w:cs="Arial"/>
          <w:b/>
          <w:bCs/>
          <w:color w:val="EE0000"/>
          <w:sz w:val="16"/>
          <w:szCs w:val="16"/>
        </w:rPr>
        <w:t>25%</w:t>
      </w:r>
      <w:r w:rsidR="003F23A3" w:rsidRPr="005776D2">
        <w:rPr>
          <w:rFonts w:ascii="Arial" w:hAnsi="Arial" w:cs="Arial"/>
          <w:b/>
          <w:bCs/>
          <w:color w:val="EE0000"/>
          <w:sz w:val="16"/>
          <w:szCs w:val="16"/>
        </w:rPr>
        <w:t xml:space="preserve"> del total de sus ingresos mensuales</w:t>
      </w:r>
      <w:r w:rsidR="00962027">
        <w:rPr>
          <w:rFonts w:ascii="Arial" w:hAnsi="Arial" w:cs="Arial"/>
          <w:b/>
          <w:bCs/>
          <w:color w:val="EE0000"/>
          <w:sz w:val="16"/>
          <w:szCs w:val="16"/>
        </w:rPr>
        <w:t xml:space="preserve"> </w:t>
      </w:r>
      <w:r w:rsidR="00962027" w:rsidRPr="00962027">
        <w:rPr>
          <w:rFonts w:ascii="Arial" w:hAnsi="Arial" w:cs="Arial"/>
          <w:b/>
          <w:bCs/>
          <w:color w:val="EE0000"/>
          <w:sz w:val="16"/>
          <w:szCs w:val="16"/>
        </w:rPr>
        <w:t>por arrendamiento</w:t>
      </w:r>
      <w:r w:rsidR="003F23A3" w:rsidRPr="005776D2">
        <w:rPr>
          <w:rFonts w:ascii="Arial" w:hAnsi="Arial" w:cs="Arial"/>
          <w:b/>
          <w:bCs/>
          <w:color w:val="EE0000"/>
          <w:sz w:val="16"/>
          <w:szCs w:val="16"/>
        </w:rPr>
        <w:t xml:space="preserve"> provenientes de una misma persona física o jurídica o de personas pertenecientes a un mismo grupo financiero o económico lo que implica un riesgo por concentración de ingresos”</w:t>
      </w:r>
    </w:p>
    <w:p w14:paraId="7B770886" w14:textId="5999FEEA" w:rsidR="00DD493D" w:rsidRDefault="00DD493D" w:rsidP="007A4732">
      <w:pPr>
        <w:pStyle w:val="CNV"/>
        <w:widowControl w:val="0"/>
        <w:tabs>
          <w:tab w:val="left" w:pos="8910"/>
        </w:tabs>
        <w:ind w:right="-1"/>
        <w:jc w:val="center"/>
        <w:rPr>
          <w:rFonts w:ascii="Arial" w:hAnsi="Arial" w:cs="Arial"/>
          <w:sz w:val="16"/>
          <w:szCs w:val="16"/>
          <w:lang w:val="es-ES"/>
        </w:rPr>
      </w:pPr>
    </w:p>
    <w:p w14:paraId="59E02247" w14:textId="77777777" w:rsidR="00CC6647" w:rsidRDefault="00CC6647" w:rsidP="007A4732">
      <w:pPr>
        <w:pStyle w:val="CNV"/>
        <w:widowControl w:val="0"/>
        <w:tabs>
          <w:tab w:val="left" w:pos="8910"/>
        </w:tabs>
        <w:ind w:right="-1"/>
        <w:jc w:val="center"/>
        <w:rPr>
          <w:rFonts w:ascii="Arial" w:hAnsi="Arial" w:cs="Arial"/>
          <w:sz w:val="16"/>
          <w:szCs w:val="16"/>
          <w:lang w:val="es-ES"/>
        </w:rPr>
      </w:pPr>
    </w:p>
    <w:p w14:paraId="2A4E676B" w14:textId="5F0236D5" w:rsidR="00DD493D" w:rsidRDefault="00DD493D" w:rsidP="007A4732">
      <w:pPr>
        <w:pStyle w:val="CNV"/>
        <w:widowControl w:val="0"/>
        <w:tabs>
          <w:tab w:val="left" w:pos="8910"/>
        </w:tabs>
        <w:ind w:right="-1"/>
        <w:jc w:val="center"/>
        <w:rPr>
          <w:rFonts w:ascii="Arial" w:hAnsi="Arial" w:cs="Arial"/>
          <w:sz w:val="16"/>
          <w:szCs w:val="16"/>
          <w:lang w:val="es-ES"/>
        </w:rPr>
      </w:pPr>
    </w:p>
    <w:p w14:paraId="266D4C4D" w14:textId="208F08B9" w:rsidR="007A4732" w:rsidRPr="00DD493D" w:rsidRDefault="004F2C67" w:rsidP="007A4732">
      <w:pPr>
        <w:pStyle w:val="CNV"/>
        <w:widowControl w:val="0"/>
        <w:tabs>
          <w:tab w:val="left" w:pos="8910"/>
        </w:tabs>
        <w:ind w:right="-1"/>
        <w:jc w:val="center"/>
        <w:rPr>
          <w:rFonts w:ascii="Arial" w:hAnsi="Arial" w:cs="Arial"/>
          <w:b/>
          <w:sz w:val="21"/>
          <w:szCs w:val="21"/>
        </w:rPr>
      </w:pPr>
      <w:r w:rsidRPr="00DD493D">
        <w:rPr>
          <w:rFonts w:ascii="Arial" w:hAnsi="Arial" w:cs="Arial"/>
          <w:b/>
          <w:sz w:val="21"/>
          <w:szCs w:val="21"/>
        </w:rPr>
        <w:lastRenderedPageBreak/>
        <w:t>Índice</w:t>
      </w:r>
      <w:r w:rsidR="004D4ABE" w:rsidRPr="00DD493D">
        <w:rPr>
          <w:rFonts w:ascii="Arial" w:hAnsi="Arial" w:cs="Arial"/>
          <w:b/>
          <w:sz w:val="21"/>
          <w:szCs w:val="21"/>
        </w:rPr>
        <w:t xml:space="preserve"> de contenido</w:t>
      </w:r>
    </w:p>
    <w:p w14:paraId="4A14E9A2" w14:textId="77777777" w:rsidR="007A4732" w:rsidRPr="0057467E" w:rsidRDefault="007A4732" w:rsidP="007A4732">
      <w:pPr>
        <w:jc w:val="center"/>
        <w:rPr>
          <w:rFonts w:ascii="Arial" w:hAnsi="Arial" w:cs="Arial"/>
          <w:bCs/>
          <w:sz w:val="21"/>
          <w:szCs w:val="21"/>
        </w:rPr>
      </w:pPr>
    </w:p>
    <w:p w14:paraId="5D338ACB" w14:textId="105238E8" w:rsidR="00E712BB" w:rsidRDefault="00006E20">
      <w:pPr>
        <w:pStyle w:val="TDC1"/>
        <w:rPr>
          <w:rFonts w:asciiTheme="minorHAnsi" w:eastAsiaTheme="minorEastAsia" w:hAnsiTheme="minorHAnsi" w:cstheme="minorBidi"/>
          <w:b w:val="0"/>
          <w:sz w:val="22"/>
          <w:szCs w:val="22"/>
          <w:lang w:val="es-CR" w:eastAsia="es-CR"/>
        </w:rPr>
      </w:pPr>
      <w:r w:rsidRPr="0057467E">
        <w:rPr>
          <w:b w:val="0"/>
          <w:bCs/>
        </w:rPr>
        <w:fldChar w:fldCharType="begin"/>
      </w:r>
      <w:r w:rsidR="007A4732" w:rsidRPr="0057467E">
        <w:rPr>
          <w:b w:val="0"/>
          <w:bCs/>
        </w:rPr>
        <w:instrText xml:space="preserve"> TOC \o "1-3" \h \z \u </w:instrText>
      </w:r>
      <w:r w:rsidRPr="0057467E">
        <w:rPr>
          <w:b w:val="0"/>
          <w:bCs/>
        </w:rPr>
        <w:fldChar w:fldCharType="separate"/>
      </w:r>
      <w:hyperlink w:anchor="_Toc34228942" w:history="1">
        <w:r w:rsidR="00E712BB" w:rsidRPr="006514F9">
          <w:rPr>
            <w:rStyle w:val="Hipervnculo"/>
          </w:rPr>
          <w:t>Prospecto Fondo de Inversión Inmobiliario Multifondos</w:t>
        </w:r>
        <w:r w:rsidR="00E712BB">
          <w:rPr>
            <w:webHidden/>
          </w:rPr>
          <w:tab/>
        </w:r>
        <w:r w:rsidR="00E712BB">
          <w:rPr>
            <w:webHidden/>
          </w:rPr>
          <w:fldChar w:fldCharType="begin"/>
        </w:r>
        <w:r w:rsidR="00E712BB">
          <w:rPr>
            <w:webHidden/>
          </w:rPr>
          <w:instrText xml:space="preserve"> PAGEREF _Toc34228942 \h </w:instrText>
        </w:r>
        <w:r w:rsidR="00E712BB">
          <w:rPr>
            <w:webHidden/>
          </w:rPr>
        </w:r>
        <w:r w:rsidR="00E712BB">
          <w:rPr>
            <w:webHidden/>
          </w:rPr>
          <w:fldChar w:fldCharType="separate"/>
        </w:r>
        <w:r w:rsidR="0063263A">
          <w:rPr>
            <w:webHidden/>
          </w:rPr>
          <w:t>3</w:t>
        </w:r>
        <w:r w:rsidR="00E712BB">
          <w:rPr>
            <w:webHidden/>
          </w:rPr>
          <w:fldChar w:fldCharType="end"/>
        </w:r>
      </w:hyperlink>
    </w:p>
    <w:p w14:paraId="1D60656A" w14:textId="0E90E3DB" w:rsidR="00E712BB" w:rsidRPr="00E712BB" w:rsidRDefault="00E712BB">
      <w:pPr>
        <w:pStyle w:val="TDC1"/>
        <w:tabs>
          <w:tab w:val="left" w:pos="440"/>
        </w:tabs>
        <w:rPr>
          <w:rFonts w:asciiTheme="minorHAnsi" w:eastAsiaTheme="minorEastAsia" w:hAnsiTheme="minorHAnsi" w:cstheme="minorBidi"/>
          <w:b w:val="0"/>
          <w:bCs/>
          <w:sz w:val="22"/>
          <w:szCs w:val="22"/>
          <w:lang w:val="es-CR" w:eastAsia="es-CR"/>
        </w:rPr>
      </w:pPr>
      <w:hyperlink w:anchor="_Toc34228943" w:history="1">
        <w:r w:rsidRPr="00E712BB">
          <w:rPr>
            <w:rStyle w:val="Hipervnculo"/>
            <w:b w:val="0"/>
            <w:bCs/>
          </w:rPr>
          <w:t>1.</w:t>
        </w:r>
        <w:r w:rsidRPr="00E712BB">
          <w:rPr>
            <w:rFonts w:asciiTheme="minorHAnsi" w:eastAsiaTheme="minorEastAsia" w:hAnsiTheme="minorHAnsi" w:cstheme="minorBidi"/>
            <w:b w:val="0"/>
            <w:bCs/>
            <w:sz w:val="22"/>
            <w:szCs w:val="22"/>
            <w:lang w:val="es-CR" w:eastAsia="es-CR"/>
          </w:rPr>
          <w:tab/>
        </w:r>
        <w:r w:rsidRPr="00E712BB">
          <w:rPr>
            <w:rStyle w:val="Hipervnculo"/>
            <w:b w:val="0"/>
            <w:bCs/>
          </w:rPr>
          <w:t>Descripción del fondo</w:t>
        </w:r>
        <w:r w:rsidRPr="00E712BB">
          <w:rPr>
            <w:b w:val="0"/>
            <w:bCs/>
            <w:webHidden/>
          </w:rPr>
          <w:tab/>
        </w:r>
        <w:r w:rsidRPr="00E712BB">
          <w:rPr>
            <w:b w:val="0"/>
            <w:bCs/>
            <w:webHidden/>
          </w:rPr>
          <w:fldChar w:fldCharType="begin"/>
        </w:r>
        <w:r w:rsidRPr="00E712BB">
          <w:rPr>
            <w:b w:val="0"/>
            <w:bCs/>
            <w:webHidden/>
          </w:rPr>
          <w:instrText xml:space="preserve"> PAGEREF _Toc34228943 \h </w:instrText>
        </w:r>
        <w:r w:rsidRPr="00E712BB">
          <w:rPr>
            <w:b w:val="0"/>
            <w:bCs/>
            <w:webHidden/>
          </w:rPr>
        </w:r>
        <w:r w:rsidRPr="00E712BB">
          <w:rPr>
            <w:b w:val="0"/>
            <w:bCs/>
            <w:webHidden/>
          </w:rPr>
          <w:fldChar w:fldCharType="separate"/>
        </w:r>
        <w:r w:rsidR="0063263A">
          <w:rPr>
            <w:b w:val="0"/>
            <w:bCs/>
            <w:webHidden/>
          </w:rPr>
          <w:t>3</w:t>
        </w:r>
        <w:r w:rsidRPr="00E712BB">
          <w:rPr>
            <w:b w:val="0"/>
            <w:bCs/>
            <w:webHidden/>
          </w:rPr>
          <w:fldChar w:fldCharType="end"/>
        </w:r>
      </w:hyperlink>
    </w:p>
    <w:p w14:paraId="161F5AEB" w14:textId="70CEEC2D" w:rsidR="00E712BB" w:rsidRPr="00E712BB" w:rsidRDefault="00E712BB">
      <w:pPr>
        <w:pStyle w:val="TDC1"/>
        <w:tabs>
          <w:tab w:val="left" w:pos="440"/>
        </w:tabs>
        <w:rPr>
          <w:rFonts w:asciiTheme="minorHAnsi" w:eastAsiaTheme="minorEastAsia" w:hAnsiTheme="minorHAnsi" w:cstheme="minorBidi"/>
          <w:b w:val="0"/>
          <w:bCs/>
          <w:sz w:val="22"/>
          <w:szCs w:val="22"/>
          <w:lang w:val="es-CR" w:eastAsia="es-CR"/>
        </w:rPr>
      </w:pPr>
      <w:hyperlink w:anchor="_Toc34228944" w:history="1">
        <w:r w:rsidRPr="00E712BB">
          <w:rPr>
            <w:rStyle w:val="Hipervnculo"/>
            <w:b w:val="0"/>
            <w:bCs/>
          </w:rPr>
          <w:t>2.</w:t>
        </w:r>
        <w:r w:rsidRPr="00E712BB">
          <w:rPr>
            <w:rFonts w:asciiTheme="minorHAnsi" w:eastAsiaTheme="minorEastAsia" w:hAnsiTheme="minorHAnsi" w:cstheme="minorBidi"/>
            <w:b w:val="0"/>
            <w:bCs/>
            <w:sz w:val="22"/>
            <w:szCs w:val="22"/>
            <w:lang w:val="es-CR" w:eastAsia="es-CR"/>
          </w:rPr>
          <w:tab/>
        </w:r>
        <w:r w:rsidRPr="00E712BB">
          <w:rPr>
            <w:rStyle w:val="Hipervnculo"/>
            <w:b w:val="0"/>
            <w:bCs/>
          </w:rPr>
          <w:t>Política de Inversión</w:t>
        </w:r>
        <w:r w:rsidRPr="00E712BB">
          <w:rPr>
            <w:b w:val="0"/>
            <w:bCs/>
            <w:webHidden/>
          </w:rPr>
          <w:tab/>
        </w:r>
        <w:r w:rsidRPr="00E712BB">
          <w:rPr>
            <w:b w:val="0"/>
            <w:bCs/>
            <w:webHidden/>
          </w:rPr>
          <w:fldChar w:fldCharType="begin"/>
        </w:r>
        <w:r w:rsidRPr="00E712BB">
          <w:rPr>
            <w:b w:val="0"/>
            <w:bCs/>
            <w:webHidden/>
          </w:rPr>
          <w:instrText xml:space="preserve"> PAGEREF _Toc34228944 \h </w:instrText>
        </w:r>
        <w:r w:rsidRPr="00E712BB">
          <w:rPr>
            <w:b w:val="0"/>
            <w:bCs/>
            <w:webHidden/>
          </w:rPr>
        </w:r>
        <w:r w:rsidRPr="00E712BB">
          <w:rPr>
            <w:b w:val="0"/>
            <w:bCs/>
            <w:webHidden/>
          </w:rPr>
          <w:fldChar w:fldCharType="separate"/>
        </w:r>
        <w:r w:rsidR="0063263A">
          <w:rPr>
            <w:b w:val="0"/>
            <w:bCs/>
            <w:webHidden/>
          </w:rPr>
          <w:t>5</w:t>
        </w:r>
        <w:r w:rsidRPr="00E712BB">
          <w:rPr>
            <w:b w:val="0"/>
            <w:bCs/>
            <w:webHidden/>
          </w:rPr>
          <w:fldChar w:fldCharType="end"/>
        </w:r>
      </w:hyperlink>
    </w:p>
    <w:p w14:paraId="4BEFA0D1" w14:textId="6E46A600" w:rsidR="00E712BB" w:rsidRPr="00E712BB" w:rsidRDefault="00E712BB">
      <w:pPr>
        <w:pStyle w:val="TDC1"/>
        <w:tabs>
          <w:tab w:val="left" w:pos="440"/>
        </w:tabs>
        <w:rPr>
          <w:rFonts w:asciiTheme="minorHAnsi" w:eastAsiaTheme="minorEastAsia" w:hAnsiTheme="minorHAnsi" w:cstheme="minorBidi"/>
          <w:b w:val="0"/>
          <w:bCs/>
          <w:sz w:val="22"/>
          <w:szCs w:val="22"/>
          <w:lang w:val="es-CR" w:eastAsia="es-CR"/>
        </w:rPr>
      </w:pPr>
      <w:hyperlink w:anchor="_Toc34228945" w:history="1">
        <w:r w:rsidRPr="00E712BB">
          <w:rPr>
            <w:rStyle w:val="Hipervnculo"/>
            <w:b w:val="0"/>
            <w:bCs/>
          </w:rPr>
          <w:t>3.</w:t>
        </w:r>
        <w:r w:rsidRPr="00E712BB">
          <w:rPr>
            <w:rFonts w:asciiTheme="minorHAnsi" w:eastAsiaTheme="minorEastAsia" w:hAnsiTheme="minorHAnsi" w:cstheme="minorBidi"/>
            <w:b w:val="0"/>
            <w:bCs/>
            <w:sz w:val="22"/>
            <w:szCs w:val="22"/>
            <w:lang w:val="es-CR" w:eastAsia="es-CR"/>
          </w:rPr>
          <w:tab/>
        </w:r>
        <w:r w:rsidRPr="00E712BB">
          <w:rPr>
            <w:rStyle w:val="Hipervnculo"/>
            <w:b w:val="0"/>
            <w:bCs/>
          </w:rPr>
          <w:t>Disposiciones operativas</w:t>
        </w:r>
        <w:r w:rsidRPr="00E712BB">
          <w:rPr>
            <w:b w:val="0"/>
            <w:bCs/>
            <w:webHidden/>
          </w:rPr>
          <w:tab/>
        </w:r>
        <w:r w:rsidRPr="00E712BB">
          <w:rPr>
            <w:b w:val="0"/>
            <w:bCs/>
            <w:webHidden/>
          </w:rPr>
          <w:fldChar w:fldCharType="begin"/>
        </w:r>
        <w:r w:rsidRPr="00E712BB">
          <w:rPr>
            <w:b w:val="0"/>
            <w:bCs/>
            <w:webHidden/>
          </w:rPr>
          <w:instrText xml:space="preserve"> PAGEREF _Toc34228945 \h </w:instrText>
        </w:r>
        <w:r w:rsidRPr="00E712BB">
          <w:rPr>
            <w:b w:val="0"/>
            <w:bCs/>
            <w:webHidden/>
          </w:rPr>
        </w:r>
        <w:r w:rsidRPr="00E712BB">
          <w:rPr>
            <w:b w:val="0"/>
            <w:bCs/>
            <w:webHidden/>
          </w:rPr>
          <w:fldChar w:fldCharType="separate"/>
        </w:r>
        <w:r w:rsidR="0063263A">
          <w:rPr>
            <w:b w:val="0"/>
            <w:bCs/>
            <w:webHidden/>
          </w:rPr>
          <w:t>8</w:t>
        </w:r>
        <w:r w:rsidRPr="00E712BB">
          <w:rPr>
            <w:b w:val="0"/>
            <w:bCs/>
            <w:webHidden/>
          </w:rPr>
          <w:fldChar w:fldCharType="end"/>
        </w:r>
      </w:hyperlink>
    </w:p>
    <w:p w14:paraId="42F95BA6" w14:textId="357532F2" w:rsidR="00E712BB" w:rsidRPr="00E712BB" w:rsidRDefault="00E712BB">
      <w:pPr>
        <w:pStyle w:val="TDC1"/>
        <w:tabs>
          <w:tab w:val="left" w:pos="440"/>
        </w:tabs>
        <w:rPr>
          <w:rFonts w:asciiTheme="minorHAnsi" w:eastAsiaTheme="minorEastAsia" w:hAnsiTheme="minorHAnsi" w:cstheme="minorBidi"/>
          <w:b w:val="0"/>
          <w:bCs/>
          <w:sz w:val="22"/>
          <w:szCs w:val="22"/>
          <w:lang w:val="es-CR" w:eastAsia="es-CR"/>
        </w:rPr>
      </w:pPr>
      <w:hyperlink w:anchor="_Toc34228946" w:history="1">
        <w:r w:rsidRPr="00E712BB">
          <w:rPr>
            <w:rStyle w:val="Hipervnculo"/>
            <w:b w:val="0"/>
            <w:bCs/>
          </w:rPr>
          <w:t>4.</w:t>
        </w:r>
        <w:r w:rsidRPr="00E712BB">
          <w:rPr>
            <w:rFonts w:asciiTheme="minorHAnsi" w:eastAsiaTheme="minorEastAsia" w:hAnsiTheme="minorHAnsi" w:cstheme="minorBidi"/>
            <w:b w:val="0"/>
            <w:bCs/>
            <w:sz w:val="22"/>
            <w:szCs w:val="22"/>
            <w:lang w:val="es-CR" w:eastAsia="es-CR"/>
          </w:rPr>
          <w:tab/>
        </w:r>
        <w:r w:rsidRPr="00E712BB">
          <w:rPr>
            <w:rStyle w:val="Hipervnculo"/>
            <w:b w:val="0"/>
            <w:bCs/>
          </w:rPr>
          <w:t>Riesgos del Fondo</w:t>
        </w:r>
        <w:r w:rsidRPr="00E712BB">
          <w:rPr>
            <w:b w:val="0"/>
            <w:bCs/>
            <w:webHidden/>
          </w:rPr>
          <w:tab/>
        </w:r>
        <w:r w:rsidRPr="00E712BB">
          <w:rPr>
            <w:b w:val="0"/>
            <w:bCs/>
            <w:webHidden/>
          </w:rPr>
          <w:fldChar w:fldCharType="begin"/>
        </w:r>
        <w:r w:rsidRPr="00E712BB">
          <w:rPr>
            <w:b w:val="0"/>
            <w:bCs/>
            <w:webHidden/>
          </w:rPr>
          <w:instrText xml:space="preserve"> PAGEREF _Toc34228946 \h </w:instrText>
        </w:r>
        <w:r w:rsidRPr="00E712BB">
          <w:rPr>
            <w:b w:val="0"/>
            <w:bCs/>
            <w:webHidden/>
          </w:rPr>
        </w:r>
        <w:r w:rsidRPr="00E712BB">
          <w:rPr>
            <w:b w:val="0"/>
            <w:bCs/>
            <w:webHidden/>
          </w:rPr>
          <w:fldChar w:fldCharType="separate"/>
        </w:r>
        <w:r w:rsidR="0063263A">
          <w:rPr>
            <w:b w:val="0"/>
            <w:bCs/>
            <w:webHidden/>
          </w:rPr>
          <w:t>11</w:t>
        </w:r>
        <w:r w:rsidRPr="00E712BB">
          <w:rPr>
            <w:b w:val="0"/>
            <w:bCs/>
            <w:webHidden/>
          </w:rPr>
          <w:fldChar w:fldCharType="end"/>
        </w:r>
      </w:hyperlink>
    </w:p>
    <w:p w14:paraId="733DD475" w14:textId="2F4C082D" w:rsidR="00E712BB" w:rsidRPr="00E712BB" w:rsidRDefault="00E712BB">
      <w:pPr>
        <w:pStyle w:val="TDC1"/>
        <w:tabs>
          <w:tab w:val="left" w:pos="440"/>
        </w:tabs>
        <w:rPr>
          <w:rFonts w:asciiTheme="minorHAnsi" w:eastAsiaTheme="minorEastAsia" w:hAnsiTheme="minorHAnsi" w:cstheme="minorBidi"/>
          <w:b w:val="0"/>
          <w:bCs/>
          <w:sz w:val="22"/>
          <w:szCs w:val="22"/>
          <w:lang w:val="es-CR" w:eastAsia="es-CR"/>
        </w:rPr>
      </w:pPr>
      <w:hyperlink w:anchor="_Toc34228947" w:history="1">
        <w:r w:rsidRPr="00E712BB">
          <w:rPr>
            <w:rStyle w:val="Hipervnculo"/>
            <w:b w:val="0"/>
            <w:bCs/>
          </w:rPr>
          <w:t>5.</w:t>
        </w:r>
        <w:r w:rsidRPr="00E712BB">
          <w:rPr>
            <w:rFonts w:asciiTheme="minorHAnsi" w:eastAsiaTheme="minorEastAsia" w:hAnsiTheme="minorHAnsi" w:cstheme="minorBidi"/>
            <w:b w:val="0"/>
            <w:bCs/>
            <w:sz w:val="22"/>
            <w:szCs w:val="22"/>
            <w:lang w:val="es-CR" w:eastAsia="es-CR"/>
          </w:rPr>
          <w:tab/>
        </w:r>
        <w:r w:rsidRPr="00E712BB">
          <w:rPr>
            <w:rStyle w:val="Hipervnculo"/>
            <w:b w:val="0"/>
            <w:bCs/>
          </w:rPr>
          <w:t>Títulos de Participación del Fondo</w:t>
        </w:r>
        <w:r w:rsidRPr="00E712BB">
          <w:rPr>
            <w:b w:val="0"/>
            <w:bCs/>
            <w:webHidden/>
          </w:rPr>
          <w:tab/>
        </w:r>
        <w:r w:rsidRPr="00E712BB">
          <w:rPr>
            <w:b w:val="0"/>
            <w:bCs/>
            <w:webHidden/>
          </w:rPr>
          <w:fldChar w:fldCharType="begin"/>
        </w:r>
        <w:r w:rsidRPr="00E712BB">
          <w:rPr>
            <w:b w:val="0"/>
            <w:bCs/>
            <w:webHidden/>
          </w:rPr>
          <w:instrText xml:space="preserve"> PAGEREF _Toc34228947 \h </w:instrText>
        </w:r>
        <w:r w:rsidRPr="00E712BB">
          <w:rPr>
            <w:b w:val="0"/>
            <w:bCs/>
            <w:webHidden/>
          </w:rPr>
        </w:r>
        <w:r w:rsidRPr="00E712BB">
          <w:rPr>
            <w:b w:val="0"/>
            <w:bCs/>
            <w:webHidden/>
          </w:rPr>
          <w:fldChar w:fldCharType="separate"/>
        </w:r>
        <w:r w:rsidR="0063263A">
          <w:rPr>
            <w:b w:val="0"/>
            <w:bCs/>
            <w:webHidden/>
          </w:rPr>
          <w:t>18</w:t>
        </w:r>
        <w:r w:rsidRPr="00E712BB">
          <w:rPr>
            <w:b w:val="0"/>
            <w:bCs/>
            <w:webHidden/>
          </w:rPr>
          <w:fldChar w:fldCharType="end"/>
        </w:r>
      </w:hyperlink>
    </w:p>
    <w:p w14:paraId="260C6E96" w14:textId="313E4B4C" w:rsidR="00E712BB" w:rsidRPr="00E712BB" w:rsidRDefault="00E712BB">
      <w:pPr>
        <w:pStyle w:val="TDC1"/>
        <w:tabs>
          <w:tab w:val="left" w:pos="440"/>
        </w:tabs>
        <w:rPr>
          <w:rFonts w:asciiTheme="minorHAnsi" w:eastAsiaTheme="minorEastAsia" w:hAnsiTheme="minorHAnsi" w:cstheme="minorBidi"/>
          <w:b w:val="0"/>
          <w:bCs/>
          <w:sz w:val="22"/>
          <w:szCs w:val="22"/>
          <w:lang w:val="es-CR" w:eastAsia="es-CR"/>
        </w:rPr>
      </w:pPr>
      <w:hyperlink w:anchor="_Toc34228948" w:history="1">
        <w:r w:rsidRPr="00E712BB">
          <w:rPr>
            <w:rStyle w:val="Hipervnculo"/>
            <w:b w:val="0"/>
            <w:bCs/>
          </w:rPr>
          <w:t>6.</w:t>
        </w:r>
        <w:r w:rsidRPr="00E712BB">
          <w:rPr>
            <w:rFonts w:asciiTheme="minorHAnsi" w:eastAsiaTheme="minorEastAsia" w:hAnsiTheme="minorHAnsi" w:cstheme="minorBidi"/>
            <w:b w:val="0"/>
            <w:bCs/>
            <w:sz w:val="22"/>
            <w:szCs w:val="22"/>
            <w:lang w:val="es-CR" w:eastAsia="es-CR"/>
          </w:rPr>
          <w:tab/>
        </w:r>
        <w:r w:rsidRPr="00E712BB">
          <w:rPr>
            <w:rStyle w:val="Hipervnculo"/>
            <w:b w:val="0"/>
            <w:bCs/>
          </w:rPr>
          <w:t>Reglas para suscripciones y reembolsos de participaciones</w:t>
        </w:r>
        <w:r w:rsidRPr="00E712BB">
          <w:rPr>
            <w:b w:val="0"/>
            <w:bCs/>
            <w:webHidden/>
          </w:rPr>
          <w:tab/>
        </w:r>
        <w:r w:rsidRPr="00E712BB">
          <w:rPr>
            <w:b w:val="0"/>
            <w:bCs/>
            <w:webHidden/>
          </w:rPr>
          <w:fldChar w:fldCharType="begin"/>
        </w:r>
        <w:r w:rsidRPr="00E712BB">
          <w:rPr>
            <w:b w:val="0"/>
            <w:bCs/>
            <w:webHidden/>
          </w:rPr>
          <w:instrText xml:space="preserve"> PAGEREF _Toc34228948 \h </w:instrText>
        </w:r>
        <w:r w:rsidRPr="00E712BB">
          <w:rPr>
            <w:b w:val="0"/>
            <w:bCs/>
            <w:webHidden/>
          </w:rPr>
        </w:r>
        <w:r w:rsidRPr="00E712BB">
          <w:rPr>
            <w:b w:val="0"/>
            <w:bCs/>
            <w:webHidden/>
          </w:rPr>
          <w:fldChar w:fldCharType="separate"/>
        </w:r>
        <w:r w:rsidR="0063263A">
          <w:rPr>
            <w:b w:val="0"/>
            <w:bCs/>
            <w:webHidden/>
          </w:rPr>
          <w:t>21</w:t>
        </w:r>
        <w:r w:rsidRPr="00E712BB">
          <w:rPr>
            <w:b w:val="0"/>
            <w:bCs/>
            <w:webHidden/>
          </w:rPr>
          <w:fldChar w:fldCharType="end"/>
        </w:r>
      </w:hyperlink>
    </w:p>
    <w:p w14:paraId="45FB417D" w14:textId="6DD358C7" w:rsidR="00E712BB" w:rsidRPr="00E712BB" w:rsidRDefault="00E712BB">
      <w:pPr>
        <w:pStyle w:val="TDC1"/>
        <w:tabs>
          <w:tab w:val="left" w:pos="440"/>
        </w:tabs>
        <w:rPr>
          <w:rFonts w:asciiTheme="minorHAnsi" w:eastAsiaTheme="minorEastAsia" w:hAnsiTheme="minorHAnsi" w:cstheme="minorBidi"/>
          <w:b w:val="0"/>
          <w:bCs/>
          <w:sz w:val="22"/>
          <w:szCs w:val="22"/>
          <w:lang w:val="es-CR" w:eastAsia="es-CR"/>
        </w:rPr>
      </w:pPr>
      <w:hyperlink w:anchor="_Toc34228949" w:history="1">
        <w:r w:rsidRPr="00E712BB">
          <w:rPr>
            <w:rStyle w:val="Hipervnculo"/>
            <w:b w:val="0"/>
            <w:bCs/>
          </w:rPr>
          <w:t>7.</w:t>
        </w:r>
        <w:r w:rsidRPr="00E712BB">
          <w:rPr>
            <w:rFonts w:asciiTheme="minorHAnsi" w:eastAsiaTheme="minorEastAsia" w:hAnsiTheme="minorHAnsi" w:cstheme="minorBidi"/>
            <w:b w:val="0"/>
            <w:bCs/>
            <w:sz w:val="22"/>
            <w:szCs w:val="22"/>
            <w:lang w:val="es-CR" w:eastAsia="es-CR"/>
          </w:rPr>
          <w:tab/>
        </w:r>
        <w:r w:rsidRPr="00E712BB">
          <w:rPr>
            <w:rStyle w:val="Hipervnculo"/>
            <w:b w:val="0"/>
            <w:bCs/>
          </w:rPr>
          <w:t>Comisiones y Costos</w:t>
        </w:r>
        <w:r w:rsidRPr="00E712BB">
          <w:rPr>
            <w:b w:val="0"/>
            <w:bCs/>
            <w:webHidden/>
          </w:rPr>
          <w:tab/>
        </w:r>
        <w:r w:rsidRPr="00E712BB">
          <w:rPr>
            <w:b w:val="0"/>
            <w:bCs/>
            <w:webHidden/>
          </w:rPr>
          <w:fldChar w:fldCharType="begin"/>
        </w:r>
        <w:r w:rsidRPr="00E712BB">
          <w:rPr>
            <w:b w:val="0"/>
            <w:bCs/>
            <w:webHidden/>
          </w:rPr>
          <w:instrText xml:space="preserve"> PAGEREF _Toc34228949 \h </w:instrText>
        </w:r>
        <w:r w:rsidRPr="00E712BB">
          <w:rPr>
            <w:b w:val="0"/>
            <w:bCs/>
            <w:webHidden/>
          </w:rPr>
        </w:r>
        <w:r w:rsidRPr="00E712BB">
          <w:rPr>
            <w:b w:val="0"/>
            <w:bCs/>
            <w:webHidden/>
          </w:rPr>
          <w:fldChar w:fldCharType="separate"/>
        </w:r>
        <w:r w:rsidR="0063263A">
          <w:rPr>
            <w:b w:val="0"/>
            <w:bCs/>
            <w:webHidden/>
          </w:rPr>
          <w:t>23</w:t>
        </w:r>
        <w:r w:rsidRPr="00E712BB">
          <w:rPr>
            <w:b w:val="0"/>
            <w:bCs/>
            <w:webHidden/>
          </w:rPr>
          <w:fldChar w:fldCharType="end"/>
        </w:r>
      </w:hyperlink>
    </w:p>
    <w:p w14:paraId="530C3FCF" w14:textId="6A4371AA" w:rsidR="00E712BB" w:rsidRPr="00E712BB" w:rsidRDefault="00E712BB">
      <w:pPr>
        <w:pStyle w:val="TDC1"/>
        <w:tabs>
          <w:tab w:val="left" w:pos="440"/>
        </w:tabs>
        <w:rPr>
          <w:rFonts w:asciiTheme="minorHAnsi" w:eastAsiaTheme="minorEastAsia" w:hAnsiTheme="minorHAnsi" w:cstheme="minorBidi"/>
          <w:b w:val="0"/>
          <w:bCs/>
          <w:sz w:val="22"/>
          <w:szCs w:val="22"/>
          <w:lang w:val="es-CR" w:eastAsia="es-CR"/>
        </w:rPr>
      </w:pPr>
      <w:hyperlink w:anchor="_Toc34228950" w:history="1">
        <w:r w:rsidRPr="00E712BB">
          <w:rPr>
            <w:rStyle w:val="Hipervnculo"/>
            <w:b w:val="0"/>
            <w:bCs/>
          </w:rPr>
          <w:t>8.</w:t>
        </w:r>
        <w:r w:rsidRPr="00E712BB">
          <w:rPr>
            <w:rFonts w:asciiTheme="minorHAnsi" w:eastAsiaTheme="minorEastAsia" w:hAnsiTheme="minorHAnsi" w:cstheme="minorBidi"/>
            <w:b w:val="0"/>
            <w:bCs/>
            <w:sz w:val="22"/>
            <w:szCs w:val="22"/>
            <w:lang w:val="es-CR" w:eastAsia="es-CR"/>
          </w:rPr>
          <w:tab/>
        </w:r>
        <w:r w:rsidRPr="00E712BB">
          <w:rPr>
            <w:rStyle w:val="Hipervnculo"/>
            <w:b w:val="0"/>
            <w:bCs/>
          </w:rPr>
          <w:t>Información a los Inversionistas</w:t>
        </w:r>
        <w:r w:rsidRPr="00E712BB">
          <w:rPr>
            <w:b w:val="0"/>
            <w:bCs/>
            <w:webHidden/>
          </w:rPr>
          <w:tab/>
        </w:r>
        <w:r w:rsidRPr="00E712BB">
          <w:rPr>
            <w:b w:val="0"/>
            <w:bCs/>
            <w:webHidden/>
          </w:rPr>
          <w:fldChar w:fldCharType="begin"/>
        </w:r>
        <w:r w:rsidRPr="00E712BB">
          <w:rPr>
            <w:b w:val="0"/>
            <w:bCs/>
            <w:webHidden/>
          </w:rPr>
          <w:instrText xml:space="preserve"> PAGEREF _Toc34228950 \h </w:instrText>
        </w:r>
        <w:r w:rsidRPr="00E712BB">
          <w:rPr>
            <w:b w:val="0"/>
            <w:bCs/>
            <w:webHidden/>
          </w:rPr>
        </w:r>
        <w:r w:rsidRPr="00E712BB">
          <w:rPr>
            <w:b w:val="0"/>
            <w:bCs/>
            <w:webHidden/>
          </w:rPr>
          <w:fldChar w:fldCharType="separate"/>
        </w:r>
        <w:r w:rsidR="0063263A">
          <w:rPr>
            <w:b w:val="0"/>
            <w:bCs/>
            <w:webHidden/>
          </w:rPr>
          <w:t>24</w:t>
        </w:r>
        <w:r w:rsidRPr="00E712BB">
          <w:rPr>
            <w:b w:val="0"/>
            <w:bCs/>
            <w:webHidden/>
          </w:rPr>
          <w:fldChar w:fldCharType="end"/>
        </w:r>
      </w:hyperlink>
    </w:p>
    <w:p w14:paraId="17F8DB84" w14:textId="1174B95C" w:rsidR="00E712BB" w:rsidRDefault="00E712BB">
      <w:pPr>
        <w:pStyle w:val="TDC1"/>
        <w:tabs>
          <w:tab w:val="left" w:pos="440"/>
        </w:tabs>
        <w:rPr>
          <w:rFonts w:asciiTheme="minorHAnsi" w:eastAsiaTheme="minorEastAsia" w:hAnsiTheme="minorHAnsi" w:cstheme="minorBidi"/>
          <w:b w:val="0"/>
          <w:sz w:val="22"/>
          <w:szCs w:val="22"/>
          <w:lang w:val="es-CR" w:eastAsia="es-CR"/>
        </w:rPr>
      </w:pPr>
      <w:hyperlink w:anchor="_Toc34228951" w:history="1">
        <w:r w:rsidRPr="00E712BB">
          <w:rPr>
            <w:rStyle w:val="Hipervnculo"/>
            <w:b w:val="0"/>
            <w:bCs/>
          </w:rPr>
          <w:t>9.</w:t>
        </w:r>
        <w:r w:rsidRPr="00E712BB">
          <w:rPr>
            <w:rFonts w:asciiTheme="minorHAnsi" w:eastAsiaTheme="minorEastAsia" w:hAnsiTheme="minorHAnsi" w:cstheme="minorBidi"/>
            <w:b w:val="0"/>
            <w:bCs/>
            <w:sz w:val="22"/>
            <w:szCs w:val="22"/>
            <w:lang w:val="es-CR" w:eastAsia="es-CR"/>
          </w:rPr>
          <w:tab/>
        </w:r>
        <w:r w:rsidRPr="00E712BB">
          <w:rPr>
            <w:rStyle w:val="Hipervnculo"/>
            <w:b w:val="0"/>
            <w:bCs/>
          </w:rPr>
          <w:t>Información sobre la Sociedad Administradora y su Grupo Financiero</w:t>
        </w:r>
        <w:r w:rsidRPr="00E712BB">
          <w:rPr>
            <w:b w:val="0"/>
            <w:bCs/>
            <w:webHidden/>
          </w:rPr>
          <w:tab/>
        </w:r>
        <w:r w:rsidRPr="00E712BB">
          <w:rPr>
            <w:b w:val="0"/>
            <w:bCs/>
            <w:webHidden/>
          </w:rPr>
          <w:fldChar w:fldCharType="begin"/>
        </w:r>
        <w:r w:rsidRPr="00E712BB">
          <w:rPr>
            <w:b w:val="0"/>
            <w:bCs/>
            <w:webHidden/>
          </w:rPr>
          <w:instrText xml:space="preserve"> PAGEREF _Toc34228951 \h </w:instrText>
        </w:r>
        <w:r w:rsidRPr="00E712BB">
          <w:rPr>
            <w:b w:val="0"/>
            <w:bCs/>
            <w:webHidden/>
          </w:rPr>
        </w:r>
        <w:r w:rsidRPr="00E712BB">
          <w:rPr>
            <w:b w:val="0"/>
            <w:bCs/>
            <w:webHidden/>
          </w:rPr>
          <w:fldChar w:fldCharType="separate"/>
        </w:r>
        <w:r w:rsidR="0063263A">
          <w:rPr>
            <w:b w:val="0"/>
            <w:bCs/>
            <w:webHidden/>
          </w:rPr>
          <w:t>25</w:t>
        </w:r>
        <w:r w:rsidRPr="00E712BB">
          <w:rPr>
            <w:b w:val="0"/>
            <w:bCs/>
            <w:webHidden/>
          </w:rPr>
          <w:fldChar w:fldCharType="end"/>
        </w:r>
      </w:hyperlink>
    </w:p>
    <w:p w14:paraId="4D07F6A8" w14:textId="55594832" w:rsidR="007A4732" w:rsidRPr="00CE0E6C" w:rsidRDefault="00006E20" w:rsidP="004D4ABE">
      <w:pPr>
        <w:rPr>
          <w:rFonts w:ascii="Arial" w:hAnsi="Arial" w:cs="Arial"/>
          <w:sz w:val="20"/>
          <w:szCs w:val="20"/>
        </w:rPr>
      </w:pPr>
      <w:r w:rsidRPr="0057467E">
        <w:rPr>
          <w:rFonts w:ascii="Arial" w:hAnsi="Arial" w:cs="Arial"/>
          <w:bCs/>
          <w:sz w:val="21"/>
          <w:szCs w:val="21"/>
        </w:rPr>
        <w:fldChar w:fldCharType="end"/>
      </w:r>
    </w:p>
    <w:p w14:paraId="458E6459" w14:textId="77777777" w:rsidR="00C57AB0" w:rsidRPr="00CE0E6C" w:rsidRDefault="00C57AB0" w:rsidP="00652328"/>
    <w:p w14:paraId="21D6F9D3" w14:textId="202B21DE" w:rsidR="009417B5" w:rsidRDefault="009417B5" w:rsidP="00652328">
      <w:bookmarkStart w:id="2" w:name="_Toc34228942"/>
    </w:p>
    <w:p w14:paraId="1EE7584A" w14:textId="77777777" w:rsidR="009417B5" w:rsidRDefault="009417B5" w:rsidP="00652328"/>
    <w:p w14:paraId="07610C32" w14:textId="77777777" w:rsidR="00652328" w:rsidRPr="00652328" w:rsidRDefault="00652328" w:rsidP="00652328"/>
    <w:p w14:paraId="455A89A5" w14:textId="77777777" w:rsidR="00652328" w:rsidRDefault="00652328" w:rsidP="00652328">
      <w:pPr>
        <w:rPr>
          <w:sz w:val="28"/>
        </w:rPr>
      </w:pPr>
    </w:p>
    <w:p w14:paraId="67AFC9B6" w14:textId="77777777" w:rsidR="00652328" w:rsidRDefault="00652328" w:rsidP="00652328">
      <w:pPr>
        <w:rPr>
          <w:sz w:val="28"/>
        </w:rPr>
      </w:pPr>
    </w:p>
    <w:p w14:paraId="52F3D92B" w14:textId="77777777" w:rsidR="00652328" w:rsidRDefault="00652328" w:rsidP="00652328">
      <w:pPr>
        <w:rPr>
          <w:sz w:val="28"/>
        </w:rPr>
      </w:pPr>
    </w:p>
    <w:p w14:paraId="6161389D" w14:textId="77777777" w:rsidR="00652328" w:rsidRDefault="00652328" w:rsidP="00652328">
      <w:pPr>
        <w:rPr>
          <w:sz w:val="28"/>
        </w:rPr>
      </w:pPr>
    </w:p>
    <w:p w14:paraId="356CE027" w14:textId="77777777" w:rsidR="00652328" w:rsidRDefault="00652328" w:rsidP="00652328">
      <w:pPr>
        <w:rPr>
          <w:sz w:val="28"/>
        </w:rPr>
      </w:pPr>
    </w:p>
    <w:p w14:paraId="4918099E" w14:textId="77777777" w:rsidR="00652328" w:rsidRDefault="00652328" w:rsidP="00652328">
      <w:pPr>
        <w:rPr>
          <w:sz w:val="28"/>
        </w:rPr>
      </w:pPr>
    </w:p>
    <w:p w14:paraId="0E1D9C1F" w14:textId="77777777" w:rsidR="00652328" w:rsidRDefault="00652328" w:rsidP="00652328">
      <w:pPr>
        <w:rPr>
          <w:sz w:val="28"/>
        </w:rPr>
      </w:pPr>
    </w:p>
    <w:p w14:paraId="44887ED1" w14:textId="77777777" w:rsidR="00652328" w:rsidRDefault="00652328" w:rsidP="00652328">
      <w:pPr>
        <w:rPr>
          <w:sz w:val="28"/>
        </w:rPr>
      </w:pPr>
    </w:p>
    <w:p w14:paraId="0F49F831" w14:textId="77777777" w:rsidR="00652328" w:rsidRDefault="00652328" w:rsidP="00652328">
      <w:pPr>
        <w:rPr>
          <w:sz w:val="28"/>
        </w:rPr>
      </w:pPr>
    </w:p>
    <w:p w14:paraId="1AE9E468" w14:textId="77777777" w:rsidR="00652328" w:rsidRDefault="00652328" w:rsidP="00652328">
      <w:pPr>
        <w:rPr>
          <w:sz w:val="28"/>
        </w:rPr>
      </w:pPr>
    </w:p>
    <w:p w14:paraId="1936EA22" w14:textId="77777777" w:rsidR="00652328" w:rsidRDefault="00652328" w:rsidP="00652328">
      <w:pPr>
        <w:rPr>
          <w:sz w:val="28"/>
        </w:rPr>
      </w:pPr>
    </w:p>
    <w:p w14:paraId="76B4001D" w14:textId="77777777" w:rsidR="00652328" w:rsidRDefault="00652328" w:rsidP="00652328">
      <w:pPr>
        <w:rPr>
          <w:sz w:val="28"/>
        </w:rPr>
      </w:pPr>
    </w:p>
    <w:p w14:paraId="0B968848" w14:textId="77777777" w:rsidR="0030092E" w:rsidRDefault="0030092E" w:rsidP="00652328">
      <w:pPr>
        <w:rPr>
          <w:sz w:val="28"/>
        </w:rPr>
      </w:pPr>
    </w:p>
    <w:p w14:paraId="24A5F493" w14:textId="77777777" w:rsidR="0030092E" w:rsidRDefault="0030092E" w:rsidP="00652328">
      <w:pPr>
        <w:rPr>
          <w:sz w:val="28"/>
        </w:rPr>
      </w:pPr>
    </w:p>
    <w:p w14:paraId="7937089C" w14:textId="77777777" w:rsidR="0030092E" w:rsidRDefault="0030092E" w:rsidP="00652328">
      <w:pPr>
        <w:rPr>
          <w:sz w:val="28"/>
        </w:rPr>
      </w:pPr>
    </w:p>
    <w:p w14:paraId="74BEC1CE" w14:textId="77777777" w:rsidR="00652328" w:rsidRDefault="00652328" w:rsidP="00652328">
      <w:pPr>
        <w:rPr>
          <w:sz w:val="28"/>
        </w:rPr>
      </w:pPr>
    </w:p>
    <w:p w14:paraId="2569F39F" w14:textId="77777777" w:rsidR="00652328" w:rsidRDefault="00652328" w:rsidP="00652328">
      <w:pPr>
        <w:rPr>
          <w:sz w:val="28"/>
        </w:rPr>
      </w:pPr>
    </w:p>
    <w:p w14:paraId="2C8E7DBB" w14:textId="27B911AD" w:rsidR="00EE04B6" w:rsidRPr="00802FB4" w:rsidRDefault="00CD2AC6" w:rsidP="004D4ABE">
      <w:pPr>
        <w:pStyle w:val="Ttulo1"/>
        <w:jc w:val="center"/>
        <w:rPr>
          <w:rFonts w:ascii="Arial" w:hAnsi="Arial" w:cs="Arial"/>
          <w:b w:val="0"/>
          <w:sz w:val="21"/>
          <w:szCs w:val="21"/>
        </w:rPr>
      </w:pPr>
      <w:r w:rsidRPr="00802FB4">
        <w:rPr>
          <w:rFonts w:ascii="Arial" w:hAnsi="Arial" w:cs="Arial"/>
          <w:sz w:val="28"/>
          <w:szCs w:val="21"/>
        </w:rPr>
        <w:lastRenderedPageBreak/>
        <w:t>Prospecto Fondo de Inversión Inmobiliario Multifondos</w:t>
      </w:r>
      <w:bookmarkEnd w:id="2"/>
    </w:p>
    <w:p w14:paraId="7924952C" w14:textId="7E153DB2" w:rsidR="002F482B" w:rsidRPr="00802FB4" w:rsidRDefault="00691324" w:rsidP="004D4ABE">
      <w:pPr>
        <w:pStyle w:val="Ttulo1"/>
        <w:numPr>
          <w:ilvl w:val="0"/>
          <w:numId w:val="1"/>
        </w:numPr>
        <w:ind w:left="142"/>
        <w:rPr>
          <w:rFonts w:ascii="Arial" w:hAnsi="Arial" w:cs="Arial"/>
          <w:sz w:val="24"/>
          <w:szCs w:val="21"/>
        </w:rPr>
      </w:pPr>
      <w:bookmarkStart w:id="3" w:name="_Toc248736727"/>
      <w:bookmarkStart w:id="4" w:name="_Toc255994819"/>
      <w:bookmarkStart w:id="5" w:name="_Toc255996010"/>
      <w:bookmarkStart w:id="6" w:name="_Toc257814504"/>
      <w:bookmarkStart w:id="7" w:name="_Toc13631422"/>
      <w:bookmarkStart w:id="8" w:name="_Toc13632023"/>
      <w:bookmarkStart w:id="9" w:name="_Toc15453461"/>
      <w:bookmarkStart w:id="10" w:name="_Toc39464132"/>
      <w:r w:rsidRPr="00802FB4">
        <w:rPr>
          <w:rFonts w:ascii="Arial" w:hAnsi="Arial" w:cs="Arial"/>
          <w:sz w:val="24"/>
          <w:szCs w:val="21"/>
        </w:rPr>
        <w:t xml:space="preserve"> </w:t>
      </w:r>
      <w:bookmarkStart w:id="11" w:name="_Toc34228943"/>
      <w:r w:rsidR="00DC27F7" w:rsidRPr="00802FB4">
        <w:rPr>
          <w:rFonts w:ascii="Arial" w:hAnsi="Arial" w:cs="Arial"/>
          <w:sz w:val="24"/>
          <w:szCs w:val="21"/>
        </w:rPr>
        <w:t>Descripción del fondo</w:t>
      </w:r>
      <w:bookmarkEnd w:id="3"/>
      <w:bookmarkEnd w:id="4"/>
      <w:bookmarkEnd w:id="5"/>
      <w:bookmarkEnd w:id="6"/>
      <w:bookmarkEnd w:id="7"/>
      <w:bookmarkEnd w:id="8"/>
      <w:bookmarkEnd w:id="9"/>
      <w:bookmarkEnd w:id="10"/>
      <w:bookmarkEnd w:id="11"/>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7"/>
      </w:tblGrid>
      <w:tr w:rsidR="0022067D" w:rsidRPr="00802FB4" w14:paraId="256DAD53" w14:textId="77777777" w:rsidTr="002201CE">
        <w:trPr>
          <w:trHeight w:val="47"/>
          <w:jc w:val="center"/>
        </w:trPr>
        <w:tc>
          <w:tcPr>
            <w:tcW w:w="9147" w:type="dxa"/>
            <w:vAlign w:val="center"/>
          </w:tcPr>
          <w:p w14:paraId="0B7BBF7C" w14:textId="77777777" w:rsidR="0022067D" w:rsidRPr="00802FB4" w:rsidRDefault="0022067D" w:rsidP="00691324">
            <w:pPr>
              <w:tabs>
                <w:tab w:val="num" w:pos="540"/>
              </w:tabs>
              <w:autoSpaceDE w:val="0"/>
              <w:autoSpaceDN w:val="0"/>
              <w:adjustRightInd w:val="0"/>
              <w:spacing w:before="120" w:after="120"/>
              <w:jc w:val="center"/>
              <w:rPr>
                <w:rFonts w:ascii="Arial" w:hAnsi="Arial" w:cs="Arial"/>
                <w:b/>
                <w:sz w:val="21"/>
                <w:szCs w:val="21"/>
              </w:rPr>
            </w:pPr>
            <w:r w:rsidRPr="00802FB4">
              <w:rPr>
                <w:rFonts w:ascii="Arial" w:hAnsi="Arial" w:cs="Arial"/>
                <w:b/>
                <w:sz w:val="21"/>
                <w:szCs w:val="21"/>
              </w:rPr>
              <w:t>Perfil del inversionista</w:t>
            </w:r>
          </w:p>
        </w:tc>
      </w:tr>
      <w:tr w:rsidR="0022067D" w:rsidRPr="00B24078" w14:paraId="437490AC" w14:textId="77777777" w:rsidTr="00753FD7">
        <w:trPr>
          <w:trHeight w:val="4803"/>
          <w:jc w:val="center"/>
        </w:trPr>
        <w:tc>
          <w:tcPr>
            <w:tcW w:w="9147" w:type="dxa"/>
            <w:vAlign w:val="center"/>
          </w:tcPr>
          <w:p w14:paraId="728ABC94" w14:textId="77777777" w:rsidR="00884541" w:rsidRPr="00B24078" w:rsidRDefault="00884541" w:rsidP="00884541">
            <w:pPr>
              <w:pStyle w:val="Prrafodelista"/>
              <w:numPr>
                <w:ilvl w:val="0"/>
                <w:numId w:val="36"/>
              </w:numPr>
              <w:autoSpaceDE w:val="0"/>
              <w:autoSpaceDN w:val="0"/>
              <w:adjustRightInd w:val="0"/>
              <w:ind w:left="447" w:hanging="283"/>
              <w:jc w:val="both"/>
              <w:rPr>
                <w:rFonts w:ascii="Arial" w:hAnsi="Arial" w:cs="Arial"/>
                <w:sz w:val="21"/>
                <w:szCs w:val="21"/>
              </w:rPr>
            </w:pPr>
            <w:r w:rsidRPr="00B24078">
              <w:rPr>
                <w:rFonts w:ascii="Arial" w:hAnsi="Arial" w:cs="Arial"/>
                <w:sz w:val="21"/>
                <w:szCs w:val="21"/>
              </w:rPr>
              <w:t>P</w:t>
            </w:r>
            <w:r w:rsidR="00BC36FF" w:rsidRPr="00B24078">
              <w:rPr>
                <w:rFonts w:ascii="Arial" w:hAnsi="Arial" w:cs="Arial"/>
                <w:sz w:val="21"/>
                <w:szCs w:val="21"/>
              </w:rPr>
              <w:t xml:space="preserve">ersona física </w:t>
            </w:r>
            <w:r w:rsidR="00CE1531" w:rsidRPr="00B24078">
              <w:rPr>
                <w:rFonts w:ascii="Arial" w:hAnsi="Arial" w:cs="Arial"/>
                <w:sz w:val="21"/>
                <w:szCs w:val="21"/>
              </w:rPr>
              <w:t>o</w:t>
            </w:r>
            <w:r w:rsidR="00BC36FF" w:rsidRPr="00B24078">
              <w:rPr>
                <w:rFonts w:ascii="Arial" w:hAnsi="Arial" w:cs="Arial"/>
                <w:sz w:val="21"/>
                <w:szCs w:val="21"/>
              </w:rPr>
              <w:t xml:space="preserve"> jurídica</w:t>
            </w:r>
            <w:r w:rsidR="005538A2" w:rsidRPr="00B24078">
              <w:rPr>
                <w:rFonts w:ascii="Arial" w:hAnsi="Arial" w:cs="Arial"/>
                <w:sz w:val="21"/>
                <w:szCs w:val="21"/>
              </w:rPr>
              <w:t>.</w:t>
            </w:r>
          </w:p>
          <w:p w14:paraId="1E261477" w14:textId="7270F598" w:rsidR="0022067D" w:rsidRPr="00B24078" w:rsidRDefault="0022067D" w:rsidP="00884541">
            <w:pPr>
              <w:pStyle w:val="Prrafodelista"/>
              <w:numPr>
                <w:ilvl w:val="0"/>
                <w:numId w:val="36"/>
              </w:numPr>
              <w:autoSpaceDE w:val="0"/>
              <w:autoSpaceDN w:val="0"/>
              <w:adjustRightInd w:val="0"/>
              <w:ind w:left="447" w:hanging="283"/>
              <w:jc w:val="both"/>
              <w:rPr>
                <w:rFonts w:ascii="Arial" w:hAnsi="Arial" w:cs="Arial"/>
                <w:sz w:val="21"/>
                <w:szCs w:val="21"/>
              </w:rPr>
            </w:pPr>
            <w:r w:rsidRPr="00B24078">
              <w:rPr>
                <w:rFonts w:ascii="Arial" w:hAnsi="Arial" w:cs="Arial"/>
                <w:sz w:val="21"/>
                <w:szCs w:val="21"/>
              </w:rPr>
              <w:t>Con un horizonte de inversión a largo plazo</w:t>
            </w:r>
            <w:r w:rsidR="00EE06E2" w:rsidRPr="00B24078">
              <w:rPr>
                <w:rFonts w:ascii="Arial" w:hAnsi="Arial" w:cs="Arial"/>
                <w:sz w:val="21"/>
                <w:szCs w:val="21"/>
              </w:rPr>
              <w:t>.</w:t>
            </w:r>
          </w:p>
          <w:p w14:paraId="35EBCA29" w14:textId="77777777" w:rsidR="001A7E01" w:rsidRPr="00B24078" w:rsidRDefault="001A7E01" w:rsidP="00884541">
            <w:pPr>
              <w:pStyle w:val="Prrafodelista"/>
              <w:numPr>
                <w:ilvl w:val="0"/>
                <w:numId w:val="36"/>
              </w:numPr>
              <w:autoSpaceDE w:val="0"/>
              <w:autoSpaceDN w:val="0"/>
              <w:adjustRightInd w:val="0"/>
              <w:ind w:left="447" w:hanging="283"/>
              <w:jc w:val="both"/>
              <w:rPr>
                <w:rFonts w:ascii="Arial" w:hAnsi="Arial" w:cs="Arial"/>
                <w:sz w:val="21"/>
                <w:szCs w:val="21"/>
              </w:rPr>
            </w:pPr>
            <w:r w:rsidRPr="00B24078">
              <w:rPr>
                <w:rFonts w:ascii="Arial" w:hAnsi="Arial" w:cs="Arial"/>
                <w:sz w:val="21"/>
                <w:szCs w:val="21"/>
                <w:lang w:val="es-CR"/>
              </w:rPr>
              <w:t>Plazo mínimo recomendado de permanencia un año.</w:t>
            </w:r>
          </w:p>
          <w:p w14:paraId="31B751D3" w14:textId="77777777" w:rsidR="00EE04B6" w:rsidRPr="00B24078" w:rsidRDefault="00EE04B6" w:rsidP="00884541">
            <w:pPr>
              <w:pStyle w:val="Prrafodelista"/>
              <w:numPr>
                <w:ilvl w:val="0"/>
                <w:numId w:val="36"/>
              </w:numPr>
              <w:autoSpaceDE w:val="0"/>
              <w:autoSpaceDN w:val="0"/>
              <w:adjustRightInd w:val="0"/>
              <w:ind w:left="447" w:hanging="283"/>
              <w:jc w:val="both"/>
              <w:rPr>
                <w:rFonts w:ascii="Arial" w:hAnsi="Arial" w:cs="Arial"/>
                <w:sz w:val="21"/>
                <w:szCs w:val="21"/>
              </w:rPr>
            </w:pPr>
            <w:r w:rsidRPr="00B24078">
              <w:rPr>
                <w:rFonts w:ascii="Arial" w:hAnsi="Arial" w:cs="Arial"/>
                <w:sz w:val="21"/>
                <w:szCs w:val="21"/>
              </w:rPr>
              <w:t>Que desee partici</w:t>
            </w:r>
            <w:r w:rsidR="000022A6" w:rsidRPr="00B24078">
              <w:rPr>
                <w:rFonts w:ascii="Arial" w:hAnsi="Arial" w:cs="Arial"/>
                <w:sz w:val="21"/>
                <w:szCs w:val="21"/>
              </w:rPr>
              <w:t xml:space="preserve">par de una cartera inmobiliaria, </w:t>
            </w:r>
            <w:r w:rsidR="00A22D51" w:rsidRPr="00B24078">
              <w:rPr>
                <w:rFonts w:ascii="Arial" w:hAnsi="Arial" w:cs="Arial"/>
                <w:sz w:val="21"/>
                <w:szCs w:val="21"/>
              </w:rPr>
              <w:t>dispuesto a asumir riesgos por su participación indirecta en el mercado inmobiliario y que a su vez pretende obtener una plusvalía por la revalorización de los inmuebles (la cual puede ser positiva, nula o negativa).</w:t>
            </w:r>
          </w:p>
          <w:p w14:paraId="60CAD7B4" w14:textId="77777777" w:rsidR="00A22D51" w:rsidRPr="00B24078" w:rsidRDefault="0022067D" w:rsidP="00884541">
            <w:pPr>
              <w:pStyle w:val="Prrafodelista"/>
              <w:numPr>
                <w:ilvl w:val="0"/>
                <w:numId w:val="36"/>
              </w:numPr>
              <w:autoSpaceDE w:val="0"/>
              <w:autoSpaceDN w:val="0"/>
              <w:adjustRightInd w:val="0"/>
              <w:ind w:left="447" w:hanging="283"/>
              <w:jc w:val="both"/>
              <w:rPr>
                <w:rFonts w:ascii="Arial" w:hAnsi="Arial" w:cs="Arial"/>
                <w:sz w:val="21"/>
                <w:szCs w:val="21"/>
              </w:rPr>
            </w:pPr>
            <w:r w:rsidRPr="00B24078">
              <w:rPr>
                <w:rFonts w:ascii="Arial" w:hAnsi="Arial" w:cs="Arial"/>
                <w:sz w:val="21"/>
                <w:szCs w:val="21"/>
              </w:rPr>
              <w:t>Que posea la capacidad de soportar pérdidas temporales o incluso permanente</w:t>
            </w:r>
            <w:r w:rsidR="00A22D51" w:rsidRPr="00B24078">
              <w:rPr>
                <w:rFonts w:ascii="Arial" w:hAnsi="Arial" w:cs="Arial"/>
                <w:sz w:val="21"/>
                <w:szCs w:val="21"/>
              </w:rPr>
              <w:t xml:space="preserve">s en el valor de sus </w:t>
            </w:r>
            <w:r w:rsidR="004005B6" w:rsidRPr="00B24078">
              <w:rPr>
                <w:rFonts w:ascii="Arial" w:hAnsi="Arial" w:cs="Arial"/>
                <w:sz w:val="21"/>
                <w:szCs w:val="21"/>
              </w:rPr>
              <w:t>inversiones</w:t>
            </w:r>
            <w:r w:rsidR="00A22D51" w:rsidRPr="00B24078">
              <w:rPr>
                <w:rFonts w:ascii="Arial" w:hAnsi="Arial" w:cs="Arial"/>
                <w:sz w:val="21"/>
                <w:szCs w:val="21"/>
              </w:rPr>
              <w:t>.</w:t>
            </w:r>
          </w:p>
          <w:p w14:paraId="60C1FC3D" w14:textId="77777777" w:rsidR="0022067D" w:rsidRPr="00B24078" w:rsidRDefault="0022067D" w:rsidP="00884541">
            <w:pPr>
              <w:pStyle w:val="Prrafodelista"/>
              <w:numPr>
                <w:ilvl w:val="0"/>
                <w:numId w:val="36"/>
              </w:numPr>
              <w:autoSpaceDE w:val="0"/>
              <w:autoSpaceDN w:val="0"/>
              <w:adjustRightInd w:val="0"/>
              <w:ind w:left="447" w:hanging="283"/>
              <w:jc w:val="both"/>
              <w:rPr>
                <w:rFonts w:ascii="Arial" w:hAnsi="Arial" w:cs="Arial"/>
                <w:sz w:val="21"/>
                <w:szCs w:val="21"/>
              </w:rPr>
            </w:pPr>
            <w:r w:rsidRPr="00B24078">
              <w:rPr>
                <w:rFonts w:ascii="Arial" w:hAnsi="Arial" w:cs="Arial"/>
                <w:sz w:val="21"/>
                <w:szCs w:val="21"/>
              </w:rPr>
              <w:t xml:space="preserve">Que </w:t>
            </w:r>
            <w:r w:rsidR="00EE04B6" w:rsidRPr="00B24078">
              <w:rPr>
                <w:rFonts w:ascii="Arial" w:hAnsi="Arial" w:cs="Arial"/>
                <w:sz w:val="21"/>
                <w:szCs w:val="21"/>
              </w:rPr>
              <w:t>no requieren de un ingreso periódico cierto, principalmente, porque dentro de la cartera del fondo pueden existir inmuebles que no generen ingreso por concepto de alquileres o que dicho ingreso puede verse afectado por condiciones de desocupación de los inmuebles</w:t>
            </w:r>
            <w:r w:rsidR="00A22D51" w:rsidRPr="00B24078">
              <w:rPr>
                <w:rFonts w:ascii="Arial" w:hAnsi="Arial" w:cs="Arial"/>
                <w:sz w:val="21"/>
                <w:szCs w:val="21"/>
              </w:rPr>
              <w:t>, incumplimiento por parte de los arrendatarios y procesos legales de desahucio.</w:t>
            </w:r>
            <w:r w:rsidR="00D6191E" w:rsidRPr="00B24078">
              <w:rPr>
                <w:rFonts w:ascii="Arial" w:hAnsi="Arial" w:cs="Arial"/>
                <w:sz w:val="21"/>
                <w:szCs w:val="21"/>
              </w:rPr>
              <w:t xml:space="preserve"> </w:t>
            </w:r>
          </w:p>
          <w:p w14:paraId="0CF6A6ED" w14:textId="77777777" w:rsidR="00EE04B6" w:rsidRPr="00B24078" w:rsidRDefault="0022067D" w:rsidP="00884541">
            <w:pPr>
              <w:pStyle w:val="Prrafodelista"/>
              <w:numPr>
                <w:ilvl w:val="0"/>
                <w:numId w:val="36"/>
              </w:numPr>
              <w:autoSpaceDE w:val="0"/>
              <w:autoSpaceDN w:val="0"/>
              <w:adjustRightInd w:val="0"/>
              <w:ind w:left="447" w:hanging="283"/>
              <w:jc w:val="both"/>
              <w:rPr>
                <w:rFonts w:ascii="Arial" w:hAnsi="Arial" w:cs="Arial"/>
                <w:sz w:val="21"/>
                <w:szCs w:val="21"/>
              </w:rPr>
            </w:pPr>
            <w:r w:rsidRPr="00B24078">
              <w:rPr>
                <w:rFonts w:ascii="Arial" w:hAnsi="Arial" w:cs="Arial"/>
                <w:sz w:val="21"/>
                <w:szCs w:val="21"/>
              </w:rPr>
              <w:t>Con conocimientos y experiencia previa en el mercado</w:t>
            </w:r>
            <w:r w:rsidR="004005B6" w:rsidRPr="00B24078">
              <w:rPr>
                <w:rFonts w:ascii="Arial" w:hAnsi="Arial" w:cs="Arial"/>
                <w:sz w:val="21"/>
                <w:szCs w:val="21"/>
              </w:rPr>
              <w:t xml:space="preserve"> inmobiliario</w:t>
            </w:r>
            <w:r w:rsidRPr="00B24078">
              <w:rPr>
                <w:rFonts w:ascii="Arial" w:hAnsi="Arial" w:cs="Arial"/>
                <w:sz w:val="21"/>
                <w:szCs w:val="21"/>
              </w:rPr>
              <w:t>.</w:t>
            </w:r>
          </w:p>
          <w:p w14:paraId="6D6E81C0" w14:textId="2E166A51" w:rsidR="00D83174" w:rsidRPr="00B24078" w:rsidRDefault="00D83174" w:rsidP="00884541">
            <w:pPr>
              <w:pStyle w:val="Prrafodelista"/>
              <w:numPr>
                <w:ilvl w:val="0"/>
                <w:numId w:val="36"/>
              </w:numPr>
              <w:autoSpaceDE w:val="0"/>
              <w:autoSpaceDN w:val="0"/>
              <w:adjustRightInd w:val="0"/>
              <w:ind w:left="447" w:hanging="283"/>
              <w:jc w:val="both"/>
              <w:rPr>
                <w:rFonts w:ascii="Arial" w:hAnsi="Arial" w:cs="Arial"/>
                <w:sz w:val="21"/>
                <w:szCs w:val="21"/>
              </w:rPr>
            </w:pPr>
            <w:r w:rsidRPr="00B24078">
              <w:rPr>
                <w:rFonts w:ascii="Arial" w:hAnsi="Arial" w:cs="Arial"/>
                <w:sz w:val="21"/>
                <w:szCs w:val="21"/>
              </w:rPr>
              <w:t>Que no requieren liquidez, al ser un fondo cerrado, no recompra las participaciones de los inversionistas. Todos aquellos inversionistas que deseen reembolsar sus participaciones deberán acudir al mercado secundario para vender su participación</w:t>
            </w:r>
            <w:r w:rsidR="004822EB" w:rsidRPr="00B24078">
              <w:rPr>
                <w:rFonts w:ascii="Arial" w:hAnsi="Arial" w:cs="Arial"/>
                <w:sz w:val="21"/>
                <w:szCs w:val="21"/>
              </w:rPr>
              <w:t xml:space="preserve">, </w:t>
            </w:r>
            <w:r w:rsidR="004822EB" w:rsidRPr="00753FD7">
              <w:rPr>
                <w:rFonts w:ascii="Arial" w:hAnsi="Arial" w:cs="Arial"/>
                <w:sz w:val="21"/>
                <w:szCs w:val="21"/>
              </w:rPr>
              <w:t xml:space="preserve">salvo en los casos en que, conforme a la normativa vigente, se establezcan las condiciones de iliquidez de mercado y el procedimiento aplicable para la recompra de participaciones, previa aprobación de la Asamblea de Inversionistas y </w:t>
            </w:r>
            <w:r w:rsidR="009A78AD" w:rsidRPr="00753FD7">
              <w:rPr>
                <w:rFonts w:ascii="Arial" w:hAnsi="Arial" w:cs="Arial"/>
                <w:sz w:val="21"/>
                <w:szCs w:val="21"/>
              </w:rPr>
              <w:t xml:space="preserve">aprobación </w:t>
            </w:r>
            <w:r w:rsidR="006A36E4" w:rsidRPr="00753FD7">
              <w:rPr>
                <w:rFonts w:ascii="Arial" w:hAnsi="Arial" w:cs="Arial"/>
                <w:sz w:val="21"/>
                <w:szCs w:val="21"/>
              </w:rPr>
              <w:t>de la SUGEVAL.</w:t>
            </w:r>
          </w:p>
        </w:tc>
      </w:tr>
    </w:tbl>
    <w:p w14:paraId="69DEDBF1" w14:textId="77777777" w:rsidR="008C5E1B" w:rsidRPr="00B24078" w:rsidRDefault="008C5E1B" w:rsidP="008C5E1B">
      <w:pPr>
        <w:tabs>
          <w:tab w:val="left" w:pos="8910"/>
        </w:tabs>
        <w:jc w:val="both"/>
        <w:rPr>
          <w:rFonts w:ascii="Arial" w:hAnsi="Arial" w:cs="Arial"/>
          <w:sz w:val="21"/>
          <w:szCs w:val="21"/>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817"/>
        <w:gridCol w:w="2986"/>
        <w:gridCol w:w="1695"/>
      </w:tblGrid>
      <w:tr w:rsidR="008C5E1B" w:rsidRPr="00802FB4" w14:paraId="4F6902C8" w14:textId="77777777" w:rsidTr="002201CE">
        <w:trPr>
          <w:trHeight w:val="47"/>
          <w:jc w:val="center"/>
        </w:trPr>
        <w:tc>
          <w:tcPr>
            <w:tcW w:w="9177" w:type="dxa"/>
            <w:gridSpan w:val="4"/>
            <w:vAlign w:val="center"/>
          </w:tcPr>
          <w:p w14:paraId="25A89501" w14:textId="77777777" w:rsidR="008C5E1B" w:rsidRPr="00802FB4" w:rsidRDefault="008C5E1B" w:rsidP="00D83795">
            <w:pPr>
              <w:tabs>
                <w:tab w:val="num" w:pos="540"/>
              </w:tabs>
              <w:autoSpaceDE w:val="0"/>
              <w:autoSpaceDN w:val="0"/>
              <w:adjustRightInd w:val="0"/>
              <w:spacing w:before="120" w:after="120"/>
              <w:jc w:val="center"/>
              <w:rPr>
                <w:rFonts w:ascii="Arial" w:hAnsi="Arial" w:cs="Arial"/>
                <w:b/>
                <w:sz w:val="21"/>
                <w:szCs w:val="21"/>
              </w:rPr>
            </w:pPr>
            <w:r w:rsidRPr="00802FB4">
              <w:rPr>
                <w:rFonts w:ascii="Arial" w:hAnsi="Arial" w:cs="Arial"/>
                <w:b/>
                <w:sz w:val="21"/>
                <w:szCs w:val="21"/>
              </w:rPr>
              <w:t>Tipo de Fondo</w:t>
            </w:r>
          </w:p>
        </w:tc>
      </w:tr>
      <w:tr w:rsidR="008C5E1B" w:rsidRPr="00802FB4" w14:paraId="093BC622" w14:textId="77777777" w:rsidTr="008A5417">
        <w:trPr>
          <w:trHeight w:val="455"/>
          <w:jc w:val="center"/>
        </w:trPr>
        <w:tc>
          <w:tcPr>
            <w:tcW w:w="2679" w:type="dxa"/>
            <w:vAlign w:val="center"/>
          </w:tcPr>
          <w:p w14:paraId="0A9C8E13" w14:textId="77777777" w:rsidR="008C5E1B" w:rsidRPr="00802FB4" w:rsidRDefault="008C5E1B" w:rsidP="002201CE">
            <w:pPr>
              <w:tabs>
                <w:tab w:val="num" w:pos="540"/>
              </w:tabs>
              <w:autoSpaceDE w:val="0"/>
              <w:autoSpaceDN w:val="0"/>
              <w:adjustRightInd w:val="0"/>
              <w:rPr>
                <w:rFonts w:ascii="Arial" w:hAnsi="Arial" w:cs="Arial"/>
                <w:sz w:val="21"/>
                <w:szCs w:val="21"/>
              </w:rPr>
            </w:pPr>
            <w:r w:rsidRPr="00802FB4">
              <w:rPr>
                <w:rFonts w:ascii="Arial" w:hAnsi="Arial" w:cs="Arial"/>
                <w:b/>
                <w:sz w:val="21"/>
                <w:szCs w:val="21"/>
              </w:rPr>
              <w:t>Por su naturaleza</w:t>
            </w:r>
          </w:p>
        </w:tc>
        <w:tc>
          <w:tcPr>
            <w:tcW w:w="1817" w:type="dxa"/>
            <w:vAlign w:val="center"/>
          </w:tcPr>
          <w:p w14:paraId="33031318" w14:textId="77777777" w:rsidR="008C5E1B" w:rsidRPr="00802FB4" w:rsidRDefault="008C5E1B" w:rsidP="002E2EFA">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Cerrado</w:t>
            </w:r>
          </w:p>
        </w:tc>
        <w:tc>
          <w:tcPr>
            <w:tcW w:w="2986" w:type="dxa"/>
            <w:vAlign w:val="center"/>
          </w:tcPr>
          <w:p w14:paraId="18004F4C" w14:textId="77777777" w:rsidR="008C5E1B" w:rsidRPr="00802FB4" w:rsidRDefault="008C5E1B"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Por su objetivo</w:t>
            </w:r>
          </w:p>
        </w:tc>
        <w:tc>
          <w:tcPr>
            <w:tcW w:w="1695" w:type="dxa"/>
            <w:vAlign w:val="center"/>
          </w:tcPr>
          <w:p w14:paraId="5EEEC656" w14:textId="77777777" w:rsidR="008C5E1B" w:rsidRPr="00802FB4" w:rsidRDefault="008C5E1B" w:rsidP="00D83795">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Ingreso</w:t>
            </w:r>
          </w:p>
        </w:tc>
      </w:tr>
      <w:tr w:rsidR="00753FD7" w:rsidRPr="00802FB4" w14:paraId="70B71CAB" w14:textId="77777777" w:rsidTr="00753FD7">
        <w:trPr>
          <w:trHeight w:val="593"/>
          <w:jc w:val="center"/>
        </w:trPr>
        <w:tc>
          <w:tcPr>
            <w:tcW w:w="2679" w:type="dxa"/>
            <w:vAlign w:val="center"/>
          </w:tcPr>
          <w:p w14:paraId="46EC1435" w14:textId="77777777" w:rsidR="00753FD7" w:rsidRPr="00802FB4" w:rsidRDefault="00753FD7"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Por el Mercado en que invierte</w:t>
            </w:r>
          </w:p>
        </w:tc>
        <w:tc>
          <w:tcPr>
            <w:tcW w:w="6498" w:type="dxa"/>
            <w:gridSpan w:val="3"/>
            <w:vAlign w:val="center"/>
          </w:tcPr>
          <w:p w14:paraId="69D0220C" w14:textId="77777777" w:rsidR="00753FD7" w:rsidRPr="00802FB4" w:rsidRDefault="00753FD7" w:rsidP="00A710BA">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 xml:space="preserve">Local </w:t>
            </w:r>
          </w:p>
        </w:tc>
      </w:tr>
      <w:tr w:rsidR="008C5E1B" w:rsidRPr="00802FB4" w14:paraId="5C6C4687" w14:textId="77777777" w:rsidTr="00A16C94">
        <w:trPr>
          <w:trHeight w:val="830"/>
          <w:jc w:val="center"/>
        </w:trPr>
        <w:tc>
          <w:tcPr>
            <w:tcW w:w="2679" w:type="dxa"/>
            <w:vAlign w:val="center"/>
          </w:tcPr>
          <w:p w14:paraId="3BD3C50E" w14:textId="77777777" w:rsidR="00A710BA" w:rsidRPr="00802FB4" w:rsidRDefault="008C5E1B"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Moneda para la suscripción o reembolso de participaciones</w:t>
            </w:r>
          </w:p>
        </w:tc>
        <w:tc>
          <w:tcPr>
            <w:tcW w:w="1817" w:type="dxa"/>
            <w:vAlign w:val="center"/>
          </w:tcPr>
          <w:p w14:paraId="463B8A85" w14:textId="77777777" w:rsidR="008C5E1B" w:rsidRPr="00802FB4" w:rsidRDefault="002E2EFA" w:rsidP="00A710BA">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Dólares</w:t>
            </w:r>
          </w:p>
        </w:tc>
        <w:tc>
          <w:tcPr>
            <w:tcW w:w="2986" w:type="dxa"/>
            <w:tcBorders>
              <w:bottom w:val="single" w:sz="4" w:space="0" w:color="auto"/>
            </w:tcBorders>
            <w:vAlign w:val="center"/>
          </w:tcPr>
          <w:p w14:paraId="753DE163" w14:textId="77777777" w:rsidR="008C5E1B" w:rsidRPr="00802FB4" w:rsidRDefault="008C5E1B"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Por la especialidad de su cartera</w:t>
            </w:r>
          </w:p>
        </w:tc>
        <w:tc>
          <w:tcPr>
            <w:tcW w:w="1695" w:type="dxa"/>
            <w:tcBorders>
              <w:bottom w:val="single" w:sz="4" w:space="0" w:color="auto"/>
            </w:tcBorders>
            <w:vAlign w:val="center"/>
          </w:tcPr>
          <w:p w14:paraId="61FC8155" w14:textId="77777777" w:rsidR="000234CA" w:rsidRPr="00802FB4" w:rsidRDefault="000234CA" w:rsidP="00A710BA">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No financiero</w:t>
            </w:r>
            <w:r w:rsidR="009823D7" w:rsidRPr="00802FB4">
              <w:rPr>
                <w:rFonts w:ascii="Arial" w:hAnsi="Arial" w:cs="Arial"/>
                <w:sz w:val="21"/>
                <w:szCs w:val="21"/>
              </w:rPr>
              <w:t>,</w:t>
            </w:r>
          </w:p>
          <w:p w14:paraId="2EFA8926" w14:textId="77777777" w:rsidR="008C5E1B" w:rsidRPr="00802FB4" w:rsidRDefault="005538A2" w:rsidP="00A710BA">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i</w:t>
            </w:r>
            <w:r w:rsidR="008C5E1B" w:rsidRPr="00802FB4">
              <w:rPr>
                <w:rFonts w:ascii="Arial" w:hAnsi="Arial" w:cs="Arial"/>
                <w:sz w:val="21"/>
                <w:szCs w:val="21"/>
              </w:rPr>
              <w:t>nmobiliario</w:t>
            </w:r>
          </w:p>
        </w:tc>
      </w:tr>
    </w:tbl>
    <w:p w14:paraId="40DA8D13" w14:textId="77777777" w:rsidR="008C5E1B" w:rsidRPr="00802FB4" w:rsidRDefault="008C5E1B" w:rsidP="008C5E1B">
      <w:pPr>
        <w:rPr>
          <w:rFonts w:ascii="Arial" w:hAnsi="Arial" w:cs="Arial"/>
          <w:sz w:val="21"/>
          <w:szCs w:val="21"/>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531"/>
      </w:tblGrid>
      <w:tr w:rsidR="008C5E1B" w:rsidRPr="00802FB4" w14:paraId="3A0C6B73" w14:textId="77777777" w:rsidTr="00800693">
        <w:trPr>
          <w:trHeight w:val="288"/>
          <w:jc w:val="center"/>
        </w:trPr>
        <w:tc>
          <w:tcPr>
            <w:tcW w:w="9245" w:type="dxa"/>
            <w:gridSpan w:val="2"/>
            <w:vAlign w:val="center"/>
          </w:tcPr>
          <w:p w14:paraId="1B62D830" w14:textId="77777777" w:rsidR="008C5E1B" w:rsidRPr="00802FB4" w:rsidRDefault="008C5E1B" w:rsidP="00D83795">
            <w:pPr>
              <w:tabs>
                <w:tab w:val="num" w:pos="540"/>
              </w:tabs>
              <w:autoSpaceDE w:val="0"/>
              <w:autoSpaceDN w:val="0"/>
              <w:adjustRightInd w:val="0"/>
              <w:spacing w:before="120" w:after="120"/>
              <w:jc w:val="center"/>
              <w:rPr>
                <w:rFonts w:ascii="Arial" w:hAnsi="Arial" w:cs="Arial"/>
                <w:b/>
                <w:bCs/>
                <w:iCs/>
                <w:sz w:val="21"/>
                <w:szCs w:val="21"/>
              </w:rPr>
            </w:pPr>
            <w:r w:rsidRPr="00802FB4">
              <w:rPr>
                <w:rFonts w:ascii="Arial" w:hAnsi="Arial" w:cs="Arial"/>
                <w:b/>
                <w:bCs/>
                <w:iCs/>
                <w:sz w:val="21"/>
                <w:szCs w:val="21"/>
              </w:rPr>
              <w:t xml:space="preserve">Gestor del Portafolio, Custodia y Calificación de </w:t>
            </w:r>
            <w:r w:rsidR="0056589C" w:rsidRPr="00802FB4">
              <w:rPr>
                <w:rFonts w:ascii="Arial" w:hAnsi="Arial" w:cs="Arial"/>
                <w:b/>
                <w:bCs/>
                <w:iCs/>
                <w:sz w:val="21"/>
                <w:szCs w:val="21"/>
              </w:rPr>
              <w:t>R</w:t>
            </w:r>
            <w:r w:rsidRPr="00802FB4">
              <w:rPr>
                <w:rFonts w:ascii="Arial" w:hAnsi="Arial" w:cs="Arial"/>
                <w:b/>
                <w:bCs/>
                <w:iCs/>
                <w:sz w:val="21"/>
                <w:szCs w:val="21"/>
              </w:rPr>
              <w:t>iesgo</w:t>
            </w:r>
          </w:p>
        </w:tc>
      </w:tr>
      <w:tr w:rsidR="008C5E1B" w:rsidRPr="00802FB4" w14:paraId="2DB4A382" w14:textId="77777777" w:rsidTr="0052630D">
        <w:trPr>
          <w:trHeight w:val="554"/>
          <w:jc w:val="center"/>
        </w:trPr>
        <w:tc>
          <w:tcPr>
            <w:tcW w:w="2714" w:type="dxa"/>
            <w:vAlign w:val="center"/>
          </w:tcPr>
          <w:p w14:paraId="0982F598" w14:textId="77777777" w:rsidR="008C5E1B" w:rsidRPr="00802FB4" w:rsidRDefault="008C5E1B" w:rsidP="002201CE">
            <w:pPr>
              <w:tabs>
                <w:tab w:val="num" w:pos="540"/>
              </w:tabs>
              <w:autoSpaceDE w:val="0"/>
              <w:autoSpaceDN w:val="0"/>
              <w:adjustRightInd w:val="0"/>
              <w:rPr>
                <w:rFonts w:ascii="Arial" w:hAnsi="Arial" w:cs="Arial"/>
                <w:sz w:val="21"/>
                <w:szCs w:val="21"/>
              </w:rPr>
            </w:pPr>
            <w:r w:rsidRPr="00802FB4">
              <w:rPr>
                <w:rFonts w:ascii="Arial" w:hAnsi="Arial" w:cs="Arial"/>
                <w:b/>
                <w:sz w:val="21"/>
                <w:szCs w:val="21"/>
              </w:rPr>
              <w:t>Nombre del Gestor del fondo</w:t>
            </w:r>
          </w:p>
        </w:tc>
        <w:tc>
          <w:tcPr>
            <w:tcW w:w="6531" w:type="dxa"/>
            <w:vAlign w:val="center"/>
          </w:tcPr>
          <w:p w14:paraId="00148165" w14:textId="11B13394" w:rsidR="008C5E1B" w:rsidRPr="00802FB4" w:rsidRDefault="00B66918" w:rsidP="00A710BA">
            <w:pPr>
              <w:tabs>
                <w:tab w:val="num" w:pos="540"/>
              </w:tabs>
              <w:autoSpaceDE w:val="0"/>
              <w:autoSpaceDN w:val="0"/>
              <w:adjustRightInd w:val="0"/>
              <w:rPr>
                <w:rFonts w:ascii="Arial" w:hAnsi="Arial" w:cs="Arial"/>
                <w:sz w:val="21"/>
                <w:szCs w:val="21"/>
              </w:rPr>
            </w:pPr>
            <w:r w:rsidRPr="00802FB4">
              <w:rPr>
                <w:rFonts w:ascii="Arial" w:hAnsi="Arial" w:cs="Arial"/>
                <w:sz w:val="21"/>
                <w:szCs w:val="21"/>
              </w:rPr>
              <w:t>Ana Lorena Segura Morales</w:t>
            </w:r>
          </w:p>
        </w:tc>
      </w:tr>
      <w:tr w:rsidR="0090327D" w:rsidRPr="00802FB4" w14:paraId="50E944EA" w14:textId="77777777" w:rsidTr="0052630D">
        <w:trPr>
          <w:trHeight w:val="554"/>
          <w:jc w:val="center"/>
        </w:trPr>
        <w:tc>
          <w:tcPr>
            <w:tcW w:w="2714" w:type="dxa"/>
            <w:vAlign w:val="center"/>
          </w:tcPr>
          <w:p w14:paraId="5EBE44C3" w14:textId="4051B059" w:rsidR="0090327D" w:rsidRPr="00802FB4" w:rsidRDefault="0090327D"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Nombre del Gestor Suplente del fondo</w:t>
            </w:r>
          </w:p>
        </w:tc>
        <w:tc>
          <w:tcPr>
            <w:tcW w:w="6531" w:type="dxa"/>
            <w:vAlign w:val="center"/>
          </w:tcPr>
          <w:p w14:paraId="4460CEC5" w14:textId="53821ACB" w:rsidR="0090327D" w:rsidRPr="00802FB4" w:rsidRDefault="00CD2064" w:rsidP="00A710BA">
            <w:pPr>
              <w:tabs>
                <w:tab w:val="num" w:pos="540"/>
              </w:tabs>
              <w:autoSpaceDE w:val="0"/>
              <w:autoSpaceDN w:val="0"/>
              <w:adjustRightInd w:val="0"/>
              <w:rPr>
                <w:rFonts w:ascii="Arial" w:hAnsi="Arial" w:cs="Arial"/>
                <w:sz w:val="21"/>
                <w:szCs w:val="21"/>
              </w:rPr>
            </w:pPr>
            <w:r w:rsidRPr="00802FB4">
              <w:rPr>
                <w:rFonts w:ascii="Arial" w:hAnsi="Arial" w:cs="Arial"/>
                <w:sz w:val="21"/>
                <w:szCs w:val="21"/>
              </w:rPr>
              <w:t>María Isabel Mora Murillo</w:t>
            </w:r>
          </w:p>
        </w:tc>
      </w:tr>
      <w:tr w:rsidR="00A710BA" w:rsidRPr="00802FB4" w14:paraId="67DD0186" w14:textId="77777777" w:rsidTr="0052630D">
        <w:trPr>
          <w:trHeight w:val="593"/>
          <w:jc w:val="center"/>
        </w:trPr>
        <w:tc>
          <w:tcPr>
            <w:tcW w:w="2714" w:type="dxa"/>
            <w:vAlign w:val="center"/>
          </w:tcPr>
          <w:p w14:paraId="05F18554" w14:textId="77777777" w:rsidR="00A710BA" w:rsidRPr="00802FB4" w:rsidRDefault="00A710BA"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Política de retribución al gestor del fondo</w:t>
            </w:r>
          </w:p>
        </w:tc>
        <w:tc>
          <w:tcPr>
            <w:tcW w:w="6531" w:type="dxa"/>
            <w:vAlign w:val="center"/>
          </w:tcPr>
          <w:p w14:paraId="1D949320" w14:textId="77777777" w:rsidR="00A710BA" w:rsidRPr="00802FB4" w:rsidRDefault="003A4323" w:rsidP="00C17E25">
            <w:pPr>
              <w:tabs>
                <w:tab w:val="num" w:pos="540"/>
              </w:tabs>
              <w:autoSpaceDE w:val="0"/>
              <w:autoSpaceDN w:val="0"/>
              <w:adjustRightInd w:val="0"/>
              <w:rPr>
                <w:rFonts w:ascii="Arial" w:hAnsi="Arial" w:cs="Arial"/>
                <w:sz w:val="21"/>
                <w:szCs w:val="21"/>
              </w:rPr>
            </w:pPr>
            <w:r w:rsidRPr="00802FB4">
              <w:rPr>
                <w:rFonts w:ascii="Arial" w:hAnsi="Arial" w:cs="Arial"/>
                <w:sz w:val="21"/>
                <w:szCs w:val="21"/>
                <w:lang w:val="es-CR"/>
              </w:rPr>
              <w:t>No aplica. Este cargo es asumido por la Sociedad Administradora de Fondos de Inversión.</w:t>
            </w:r>
          </w:p>
        </w:tc>
      </w:tr>
      <w:tr w:rsidR="00A710BA" w:rsidRPr="00802FB4" w14:paraId="07CAB453" w14:textId="77777777" w:rsidTr="0052630D">
        <w:trPr>
          <w:trHeight w:val="431"/>
          <w:jc w:val="center"/>
        </w:trPr>
        <w:tc>
          <w:tcPr>
            <w:tcW w:w="2714" w:type="dxa"/>
            <w:vAlign w:val="center"/>
          </w:tcPr>
          <w:p w14:paraId="249055C9" w14:textId="77777777" w:rsidR="00A710BA" w:rsidRPr="00802FB4" w:rsidRDefault="00A710BA"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 xml:space="preserve">Entidad de </w:t>
            </w:r>
            <w:r w:rsidR="008E4FEF" w:rsidRPr="00802FB4">
              <w:rPr>
                <w:rFonts w:ascii="Arial" w:hAnsi="Arial" w:cs="Arial"/>
                <w:b/>
                <w:sz w:val="21"/>
                <w:szCs w:val="21"/>
              </w:rPr>
              <w:t>c</w:t>
            </w:r>
            <w:r w:rsidRPr="00802FB4">
              <w:rPr>
                <w:rFonts w:ascii="Arial" w:hAnsi="Arial" w:cs="Arial"/>
                <w:b/>
                <w:sz w:val="21"/>
                <w:szCs w:val="21"/>
              </w:rPr>
              <w:t>ustodia</w:t>
            </w:r>
          </w:p>
        </w:tc>
        <w:tc>
          <w:tcPr>
            <w:tcW w:w="6531" w:type="dxa"/>
            <w:vAlign w:val="center"/>
          </w:tcPr>
          <w:p w14:paraId="5037CD45" w14:textId="77777777" w:rsidR="00A710BA" w:rsidRPr="00802FB4" w:rsidRDefault="00A710BA" w:rsidP="00D05D7C">
            <w:pPr>
              <w:tabs>
                <w:tab w:val="num" w:pos="540"/>
              </w:tabs>
              <w:autoSpaceDE w:val="0"/>
              <w:autoSpaceDN w:val="0"/>
              <w:adjustRightInd w:val="0"/>
              <w:rPr>
                <w:rFonts w:ascii="Arial" w:hAnsi="Arial" w:cs="Arial"/>
                <w:sz w:val="21"/>
                <w:szCs w:val="21"/>
              </w:rPr>
            </w:pPr>
            <w:r w:rsidRPr="00802FB4">
              <w:rPr>
                <w:rFonts w:ascii="Arial" w:hAnsi="Arial" w:cs="Arial"/>
                <w:sz w:val="21"/>
                <w:szCs w:val="21"/>
              </w:rPr>
              <w:t xml:space="preserve">Mercado de Valores de CR S.A., </w:t>
            </w:r>
            <w:r w:rsidR="00325415" w:rsidRPr="00802FB4">
              <w:rPr>
                <w:rFonts w:ascii="Arial" w:hAnsi="Arial" w:cs="Arial"/>
                <w:sz w:val="21"/>
                <w:szCs w:val="21"/>
              </w:rPr>
              <w:t>P</w:t>
            </w:r>
            <w:r w:rsidRPr="00802FB4">
              <w:rPr>
                <w:rFonts w:ascii="Arial" w:hAnsi="Arial" w:cs="Arial"/>
                <w:sz w:val="21"/>
                <w:szCs w:val="21"/>
              </w:rPr>
              <w:t xml:space="preserve">uesto de </w:t>
            </w:r>
            <w:r w:rsidR="00325415" w:rsidRPr="00802FB4">
              <w:rPr>
                <w:rFonts w:ascii="Arial" w:hAnsi="Arial" w:cs="Arial"/>
                <w:sz w:val="21"/>
                <w:szCs w:val="21"/>
              </w:rPr>
              <w:t>B</w:t>
            </w:r>
            <w:r w:rsidRPr="00802FB4">
              <w:rPr>
                <w:rFonts w:ascii="Arial" w:hAnsi="Arial" w:cs="Arial"/>
                <w:sz w:val="21"/>
                <w:szCs w:val="21"/>
              </w:rPr>
              <w:t>olsa</w:t>
            </w:r>
          </w:p>
        </w:tc>
      </w:tr>
      <w:tr w:rsidR="008C5E1B" w:rsidRPr="00802FB4" w14:paraId="06875952" w14:textId="77777777" w:rsidTr="0052630D">
        <w:trPr>
          <w:trHeight w:val="408"/>
          <w:jc w:val="center"/>
        </w:trPr>
        <w:tc>
          <w:tcPr>
            <w:tcW w:w="2714" w:type="dxa"/>
            <w:vAlign w:val="center"/>
          </w:tcPr>
          <w:p w14:paraId="067488FB" w14:textId="77777777" w:rsidR="008C5E1B" w:rsidRPr="00802FB4" w:rsidRDefault="008C5E1B"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lastRenderedPageBreak/>
              <w:t>Agente de pago</w:t>
            </w:r>
          </w:p>
        </w:tc>
        <w:tc>
          <w:tcPr>
            <w:tcW w:w="6531" w:type="dxa"/>
            <w:vAlign w:val="center"/>
          </w:tcPr>
          <w:p w14:paraId="3FB7BAD5" w14:textId="77777777" w:rsidR="008C5E1B" w:rsidRPr="00802FB4" w:rsidRDefault="00A710BA" w:rsidP="001D5F9C">
            <w:pPr>
              <w:tabs>
                <w:tab w:val="num" w:pos="540"/>
              </w:tabs>
              <w:autoSpaceDE w:val="0"/>
              <w:autoSpaceDN w:val="0"/>
              <w:adjustRightInd w:val="0"/>
              <w:rPr>
                <w:rFonts w:ascii="Arial" w:hAnsi="Arial" w:cs="Arial"/>
                <w:i/>
                <w:sz w:val="21"/>
                <w:szCs w:val="21"/>
              </w:rPr>
            </w:pPr>
            <w:r w:rsidRPr="00802FB4">
              <w:rPr>
                <w:rFonts w:ascii="Arial" w:hAnsi="Arial" w:cs="Arial"/>
                <w:sz w:val="21"/>
                <w:szCs w:val="21"/>
              </w:rPr>
              <w:t xml:space="preserve">Mercado de Valores de CR S.A., </w:t>
            </w:r>
            <w:r w:rsidR="00325415" w:rsidRPr="00802FB4">
              <w:rPr>
                <w:rFonts w:ascii="Arial" w:hAnsi="Arial" w:cs="Arial"/>
                <w:sz w:val="21"/>
                <w:szCs w:val="21"/>
              </w:rPr>
              <w:t>P</w:t>
            </w:r>
            <w:r w:rsidRPr="00802FB4">
              <w:rPr>
                <w:rFonts w:ascii="Arial" w:hAnsi="Arial" w:cs="Arial"/>
                <w:sz w:val="21"/>
                <w:szCs w:val="21"/>
              </w:rPr>
              <w:t xml:space="preserve">uesto de </w:t>
            </w:r>
            <w:r w:rsidR="00325415" w:rsidRPr="00802FB4">
              <w:rPr>
                <w:rFonts w:ascii="Arial" w:hAnsi="Arial" w:cs="Arial"/>
                <w:sz w:val="21"/>
                <w:szCs w:val="21"/>
              </w:rPr>
              <w:t>B</w:t>
            </w:r>
            <w:r w:rsidRPr="00802FB4">
              <w:rPr>
                <w:rFonts w:ascii="Arial" w:hAnsi="Arial" w:cs="Arial"/>
                <w:sz w:val="21"/>
                <w:szCs w:val="21"/>
              </w:rPr>
              <w:t>olsa</w:t>
            </w:r>
          </w:p>
        </w:tc>
      </w:tr>
      <w:tr w:rsidR="008C5E1B" w:rsidRPr="00802FB4" w14:paraId="658199BF" w14:textId="77777777" w:rsidTr="0052630D">
        <w:trPr>
          <w:trHeight w:val="593"/>
          <w:jc w:val="center"/>
        </w:trPr>
        <w:tc>
          <w:tcPr>
            <w:tcW w:w="2714" w:type="dxa"/>
            <w:vAlign w:val="center"/>
          </w:tcPr>
          <w:p w14:paraId="117A4D66" w14:textId="77777777" w:rsidR="008C5E1B" w:rsidRPr="00802FB4" w:rsidRDefault="008C5E1B" w:rsidP="002201CE">
            <w:pPr>
              <w:tabs>
                <w:tab w:val="num" w:pos="540"/>
              </w:tabs>
              <w:autoSpaceDE w:val="0"/>
              <w:autoSpaceDN w:val="0"/>
              <w:adjustRightInd w:val="0"/>
              <w:rPr>
                <w:rFonts w:ascii="Arial" w:hAnsi="Arial" w:cs="Arial"/>
                <w:sz w:val="21"/>
                <w:szCs w:val="21"/>
              </w:rPr>
            </w:pPr>
            <w:r w:rsidRPr="00802FB4">
              <w:rPr>
                <w:rFonts w:ascii="Arial" w:hAnsi="Arial" w:cs="Arial"/>
                <w:b/>
                <w:sz w:val="21"/>
                <w:szCs w:val="21"/>
              </w:rPr>
              <w:t>Calificación de riesgo</w:t>
            </w:r>
          </w:p>
        </w:tc>
        <w:tc>
          <w:tcPr>
            <w:tcW w:w="6531" w:type="dxa"/>
            <w:vAlign w:val="center"/>
          </w:tcPr>
          <w:p w14:paraId="01FEC4CA" w14:textId="706A18AF" w:rsidR="00077B7B" w:rsidRPr="00802FB4" w:rsidRDefault="00141C58" w:rsidP="00141C58">
            <w:pPr>
              <w:autoSpaceDE w:val="0"/>
              <w:autoSpaceDN w:val="0"/>
              <w:adjustRightInd w:val="0"/>
              <w:jc w:val="both"/>
              <w:rPr>
                <w:rFonts w:ascii="Arial" w:hAnsi="Arial" w:cs="Arial"/>
                <w:bCs/>
                <w:sz w:val="21"/>
                <w:szCs w:val="21"/>
              </w:rPr>
            </w:pPr>
            <w:r w:rsidRPr="00802FB4">
              <w:rPr>
                <w:rFonts w:ascii="Arial" w:hAnsi="Arial" w:cs="Arial"/>
                <w:b/>
                <w:sz w:val="21"/>
                <w:szCs w:val="21"/>
              </w:rPr>
              <w:t>AA+.cr</w:t>
            </w:r>
            <w:r w:rsidR="007F08B4" w:rsidRPr="00802FB4">
              <w:rPr>
                <w:rFonts w:ascii="Arial" w:hAnsi="Arial" w:cs="Arial"/>
                <w:b/>
                <w:sz w:val="21"/>
                <w:szCs w:val="21"/>
              </w:rPr>
              <w:t xml:space="preserve"> (EST)</w:t>
            </w:r>
            <w:r w:rsidRPr="00802FB4">
              <w:rPr>
                <w:rFonts w:ascii="Arial" w:hAnsi="Arial" w:cs="Arial"/>
                <w:b/>
                <w:sz w:val="21"/>
                <w:szCs w:val="21"/>
              </w:rPr>
              <w:t xml:space="preserve">. </w:t>
            </w:r>
            <w:r w:rsidRPr="00802FB4">
              <w:rPr>
                <w:rFonts w:ascii="Arial" w:hAnsi="Arial" w:cs="Arial"/>
                <w:bCs/>
                <w:sz w:val="21"/>
                <w:szCs w:val="21"/>
              </w:rPr>
              <w:t xml:space="preserve">Emisores o emisiones calificados en </w:t>
            </w:r>
            <w:r w:rsidRPr="00802FB4">
              <w:rPr>
                <w:rFonts w:ascii="Arial" w:hAnsi="Arial" w:cs="Arial"/>
                <w:b/>
                <w:sz w:val="21"/>
                <w:szCs w:val="21"/>
              </w:rPr>
              <w:t>aa.cr</w:t>
            </w:r>
            <w:r w:rsidRPr="00802FB4">
              <w:rPr>
                <w:rFonts w:ascii="Arial" w:hAnsi="Arial" w:cs="Arial"/>
                <w:bCs/>
                <w:sz w:val="21"/>
                <w:szCs w:val="21"/>
              </w:rPr>
              <w:t xml:space="preserve"> con una calidad crediticia muy fuerte en comparación con otras entidades y transacciones locales. El modificador “+” indica que la obligación se ubica en el extremo superior de su categoría de calificación genérica. </w:t>
            </w:r>
          </w:p>
          <w:p w14:paraId="798DE8E0" w14:textId="77777777" w:rsidR="00077B7B" w:rsidRPr="00802FB4" w:rsidRDefault="00077B7B" w:rsidP="00141C58">
            <w:pPr>
              <w:autoSpaceDE w:val="0"/>
              <w:autoSpaceDN w:val="0"/>
              <w:adjustRightInd w:val="0"/>
              <w:jc w:val="both"/>
              <w:rPr>
                <w:rFonts w:ascii="Arial" w:hAnsi="Arial" w:cs="Arial"/>
                <w:bCs/>
                <w:sz w:val="21"/>
                <w:szCs w:val="21"/>
              </w:rPr>
            </w:pPr>
          </w:p>
          <w:p w14:paraId="2A93012C" w14:textId="4D20ACB1" w:rsidR="00141C58" w:rsidRPr="00802FB4" w:rsidRDefault="00141C58" w:rsidP="00141C58">
            <w:pPr>
              <w:autoSpaceDE w:val="0"/>
              <w:autoSpaceDN w:val="0"/>
              <w:adjustRightInd w:val="0"/>
              <w:jc w:val="both"/>
              <w:rPr>
                <w:rFonts w:ascii="Arial" w:hAnsi="Arial" w:cs="Arial"/>
                <w:bCs/>
                <w:sz w:val="21"/>
                <w:szCs w:val="21"/>
              </w:rPr>
            </w:pPr>
            <w:r w:rsidRPr="00802FB4">
              <w:rPr>
                <w:rFonts w:ascii="Arial" w:hAnsi="Arial" w:cs="Arial"/>
                <w:bCs/>
                <w:sz w:val="21"/>
                <w:szCs w:val="21"/>
              </w:rPr>
              <w:t>Una perspectiva estable indica una baja probabilidad de cambio de la calificación en el mediano plazo.</w:t>
            </w:r>
          </w:p>
          <w:p w14:paraId="693A5D69" w14:textId="77777777" w:rsidR="00141C58" w:rsidRPr="00802FB4" w:rsidRDefault="00141C58" w:rsidP="00141C58">
            <w:pPr>
              <w:autoSpaceDE w:val="0"/>
              <w:autoSpaceDN w:val="0"/>
              <w:adjustRightInd w:val="0"/>
              <w:jc w:val="both"/>
              <w:rPr>
                <w:rFonts w:ascii="Arial" w:hAnsi="Arial" w:cs="Arial"/>
                <w:bCs/>
                <w:sz w:val="21"/>
                <w:szCs w:val="21"/>
              </w:rPr>
            </w:pPr>
          </w:p>
          <w:p w14:paraId="64A0B99E" w14:textId="77777777" w:rsidR="00141C58" w:rsidRPr="00802FB4" w:rsidRDefault="00141C58" w:rsidP="00141C58">
            <w:pPr>
              <w:autoSpaceDE w:val="0"/>
              <w:autoSpaceDN w:val="0"/>
              <w:adjustRightInd w:val="0"/>
              <w:jc w:val="both"/>
              <w:rPr>
                <w:rFonts w:ascii="Arial" w:hAnsi="Arial" w:cs="Arial"/>
                <w:b/>
                <w:sz w:val="21"/>
                <w:szCs w:val="21"/>
              </w:rPr>
            </w:pPr>
            <w:r w:rsidRPr="00802FB4">
              <w:rPr>
                <w:rFonts w:ascii="Arial" w:hAnsi="Arial" w:cs="Arial"/>
                <w:bCs/>
                <w:sz w:val="21"/>
                <w:szCs w:val="21"/>
              </w:rPr>
              <w:t xml:space="preserve">Evaluación de riesgo de mercado: </w:t>
            </w:r>
            <w:r w:rsidRPr="00802FB4">
              <w:rPr>
                <w:rFonts w:ascii="Arial" w:hAnsi="Arial" w:cs="Arial"/>
                <w:b/>
                <w:sz w:val="21"/>
                <w:szCs w:val="21"/>
              </w:rPr>
              <w:t>MRA3.cr</w:t>
            </w:r>
          </w:p>
          <w:p w14:paraId="414BD4AF" w14:textId="77777777" w:rsidR="00077B7B" w:rsidRPr="00802FB4" w:rsidRDefault="00077B7B" w:rsidP="00141C58">
            <w:pPr>
              <w:autoSpaceDE w:val="0"/>
              <w:autoSpaceDN w:val="0"/>
              <w:adjustRightInd w:val="0"/>
              <w:jc w:val="both"/>
              <w:rPr>
                <w:rFonts w:ascii="Arial" w:hAnsi="Arial" w:cs="Arial"/>
                <w:b/>
                <w:bCs/>
                <w:sz w:val="21"/>
                <w:szCs w:val="21"/>
              </w:rPr>
            </w:pPr>
          </w:p>
          <w:p w14:paraId="465997DE" w14:textId="2FC993D2" w:rsidR="00077B7B" w:rsidRPr="00802FB4" w:rsidRDefault="006E73C8" w:rsidP="00141C58">
            <w:pPr>
              <w:autoSpaceDE w:val="0"/>
              <w:autoSpaceDN w:val="0"/>
              <w:adjustRightInd w:val="0"/>
              <w:jc w:val="both"/>
              <w:rPr>
                <w:rFonts w:ascii="Arial" w:hAnsi="Arial" w:cs="Arial"/>
                <w:bCs/>
                <w:sz w:val="21"/>
                <w:szCs w:val="21"/>
              </w:rPr>
            </w:pPr>
            <w:r w:rsidRPr="00802FB4">
              <w:rPr>
                <w:rFonts w:ascii="Arial" w:hAnsi="Arial" w:cs="Arial"/>
                <w:bCs/>
                <w:sz w:val="21"/>
                <w:szCs w:val="21"/>
              </w:rPr>
              <w:t xml:space="preserve">Los fondos evaluados en </w:t>
            </w:r>
            <w:r w:rsidRPr="00802FB4">
              <w:rPr>
                <w:rFonts w:ascii="Arial" w:hAnsi="Arial" w:cs="Arial"/>
                <w:b/>
                <w:sz w:val="21"/>
                <w:szCs w:val="21"/>
              </w:rPr>
              <w:t>MRA3.cr</w:t>
            </w:r>
            <w:r w:rsidRPr="00802FB4">
              <w:rPr>
                <w:rFonts w:ascii="Arial" w:hAnsi="Arial" w:cs="Arial"/>
                <w:bCs/>
                <w:sz w:val="21"/>
                <w:szCs w:val="21"/>
              </w:rPr>
              <w:t xml:space="preserve"> tienen una sensibilidad moderada a los cambios en las tasas de interés y otras condiciones del mercado.</w:t>
            </w:r>
          </w:p>
          <w:p w14:paraId="0876931B" w14:textId="77777777" w:rsidR="00141C58" w:rsidRPr="00802FB4" w:rsidRDefault="00141C58" w:rsidP="00141C58">
            <w:pPr>
              <w:autoSpaceDE w:val="0"/>
              <w:autoSpaceDN w:val="0"/>
              <w:adjustRightInd w:val="0"/>
              <w:jc w:val="both"/>
              <w:rPr>
                <w:rFonts w:ascii="Arial" w:hAnsi="Arial" w:cs="Arial"/>
                <w:bCs/>
                <w:sz w:val="21"/>
                <w:szCs w:val="21"/>
              </w:rPr>
            </w:pPr>
          </w:p>
          <w:p w14:paraId="2B71A2DB" w14:textId="4B361683" w:rsidR="00141C58" w:rsidRPr="00802FB4" w:rsidRDefault="00141C58" w:rsidP="00141C58">
            <w:pPr>
              <w:autoSpaceDE w:val="0"/>
              <w:autoSpaceDN w:val="0"/>
              <w:adjustRightInd w:val="0"/>
              <w:jc w:val="both"/>
              <w:rPr>
                <w:rFonts w:ascii="Arial" w:hAnsi="Arial" w:cs="Arial"/>
                <w:bCs/>
                <w:sz w:val="21"/>
                <w:szCs w:val="21"/>
              </w:rPr>
            </w:pPr>
            <w:r w:rsidRPr="00802FB4">
              <w:rPr>
                <w:rFonts w:ascii="Arial" w:hAnsi="Arial" w:cs="Arial"/>
                <w:bCs/>
                <w:sz w:val="21"/>
                <w:szCs w:val="21"/>
              </w:rPr>
              <w:t>Calificación otorgada por Moodys Local CR Calificadora de Riesgo, Sociedad Anónima.</w:t>
            </w:r>
          </w:p>
          <w:p w14:paraId="12767560" w14:textId="1C81B25A" w:rsidR="008C5E1B" w:rsidRPr="00802FB4" w:rsidRDefault="00141C58" w:rsidP="00EF629B">
            <w:pPr>
              <w:autoSpaceDE w:val="0"/>
              <w:autoSpaceDN w:val="0"/>
              <w:adjustRightInd w:val="0"/>
              <w:spacing w:before="240"/>
              <w:jc w:val="both"/>
              <w:rPr>
                <w:rFonts w:ascii="Arial" w:hAnsi="Arial" w:cs="Arial"/>
                <w:sz w:val="21"/>
                <w:szCs w:val="21"/>
              </w:rPr>
            </w:pPr>
            <w:r w:rsidRPr="00802FB4">
              <w:rPr>
                <w:rFonts w:ascii="Arial" w:hAnsi="Arial" w:cs="Arial"/>
                <w:bCs/>
                <w:sz w:val="21"/>
                <w:szCs w:val="21"/>
              </w:rPr>
              <w:t xml:space="preserve">La periodicidad de actualización de la calificación es semestral, la puede consultar en las siguientes páginas web www.mvalores.fi.cr y www.sugeval.fi.cr. </w:t>
            </w:r>
          </w:p>
        </w:tc>
      </w:tr>
      <w:tr w:rsidR="00CA276E" w:rsidRPr="00802FB4" w14:paraId="70AB86D8" w14:textId="77777777" w:rsidTr="00800693">
        <w:trPr>
          <w:trHeight w:val="284"/>
          <w:jc w:val="center"/>
        </w:trPr>
        <w:tc>
          <w:tcPr>
            <w:tcW w:w="2714" w:type="dxa"/>
          </w:tcPr>
          <w:p w14:paraId="37F4253B" w14:textId="77777777" w:rsidR="00CA276E" w:rsidRPr="00802FB4" w:rsidRDefault="00CA276E" w:rsidP="002201CE">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Número de cédula como contribuyente</w:t>
            </w:r>
          </w:p>
        </w:tc>
        <w:tc>
          <w:tcPr>
            <w:tcW w:w="6531" w:type="dxa"/>
            <w:vAlign w:val="center"/>
          </w:tcPr>
          <w:p w14:paraId="2C45110A" w14:textId="77777777" w:rsidR="00CA276E" w:rsidRPr="00802FB4" w:rsidRDefault="00CA276E" w:rsidP="00225E37">
            <w:pPr>
              <w:autoSpaceDE w:val="0"/>
              <w:autoSpaceDN w:val="0"/>
              <w:adjustRightInd w:val="0"/>
              <w:jc w:val="both"/>
              <w:rPr>
                <w:rFonts w:ascii="Arial" w:hAnsi="Arial" w:cs="Arial"/>
                <w:sz w:val="21"/>
                <w:szCs w:val="21"/>
              </w:rPr>
            </w:pPr>
            <w:r w:rsidRPr="00802FB4">
              <w:rPr>
                <w:rFonts w:ascii="Arial" w:hAnsi="Arial" w:cs="Arial"/>
                <w:sz w:val="21"/>
                <w:szCs w:val="21"/>
              </w:rPr>
              <w:t>3-110-337304</w:t>
            </w:r>
          </w:p>
        </w:tc>
      </w:tr>
    </w:tbl>
    <w:p w14:paraId="7F6100FB" w14:textId="7E98F792" w:rsidR="00AA194C" w:rsidRPr="00802FB4" w:rsidRDefault="00AA194C" w:rsidP="008C5E1B">
      <w:pPr>
        <w:ind w:left="180"/>
        <w:jc w:val="both"/>
        <w:rPr>
          <w:rFonts w:ascii="Arial" w:hAnsi="Arial" w:cs="Arial"/>
          <w:sz w:val="21"/>
          <w:szCs w:val="21"/>
        </w:rPr>
      </w:pPr>
    </w:p>
    <w:p w14:paraId="4D5E8D8E" w14:textId="3F69619E" w:rsidR="006E5DBE" w:rsidRPr="00802FB4" w:rsidRDefault="006E5DBE" w:rsidP="008C5E1B">
      <w:pPr>
        <w:ind w:left="180"/>
        <w:jc w:val="both"/>
        <w:rPr>
          <w:rFonts w:ascii="Arial" w:hAnsi="Arial" w:cs="Arial"/>
          <w:sz w:val="21"/>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6900"/>
      </w:tblGrid>
      <w:tr w:rsidR="006E5DBE" w:rsidRPr="00802FB4" w14:paraId="254D7CE4" w14:textId="77777777" w:rsidTr="0057467E">
        <w:trPr>
          <w:trHeight w:val="288"/>
          <w:jc w:val="center"/>
        </w:trPr>
        <w:tc>
          <w:tcPr>
            <w:tcW w:w="9214" w:type="dxa"/>
            <w:gridSpan w:val="2"/>
            <w:vAlign w:val="center"/>
          </w:tcPr>
          <w:p w14:paraId="38BC27BE" w14:textId="77777777" w:rsidR="006E5DBE" w:rsidRPr="00802FB4" w:rsidRDefault="006E5DBE" w:rsidP="009A72FE">
            <w:pPr>
              <w:tabs>
                <w:tab w:val="num" w:pos="540"/>
              </w:tabs>
              <w:autoSpaceDE w:val="0"/>
              <w:autoSpaceDN w:val="0"/>
              <w:adjustRightInd w:val="0"/>
              <w:spacing w:before="120" w:after="120"/>
              <w:jc w:val="center"/>
              <w:rPr>
                <w:rFonts w:ascii="Arial" w:hAnsi="Arial" w:cs="Arial"/>
                <w:b/>
                <w:bCs/>
                <w:iCs/>
                <w:sz w:val="21"/>
                <w:szCs w:val="21"/>
                <w:lang w:val="es-CR"/>
              </w:rPr>
            </w:pPr>
            <w:r w:rsidRPr="00802FB4">
              <w:rPr>
                <w:rFonts w:ascii="Arial" w:hAnsi="Arial" w:cs="Arial"/>
                <w:b/>
                <w:bCs/>
                <w:iCs/>
                <w:sz w:val="21"/>
                <w:szCs w:val="21"/>
                <w:lang w:val="es-CR"/>
              </w:rPr>
              <w:t>Modelo de Negocio del Fondo de Inversión</w:t>
            </w:r>
          </w:p>
        </w:tc>
      </w:tr>
      <w:tr w:rsidR="006E5DBE" w:rsidRPr="00802FB4" w14:paraId="44CE3F96" w14:textId="77777777" w:rsidTr="0057467E">
        <w:trPr>
          <w:trHeight w:val="647"/>
          <w:jc w:val="center"/>
        </w:trPr>
        <w:tc>
          <w:tcPr>
            <w:tcW w:w="2314" w:type="dxa"/>
          </w:tcPr>
          <w:p w14:paraId="28BCFAA4" w14:textId="77777777" w:rsidR="006E5DBE" w:rsidRPr="00802FB4" w:rsidRDefault="006E5DBE" w:rsidP="009A72FE">
            <w:pPr>
              <w:tabs>
                <w:tab w:val="num" w:pos="540"/>
              </w:tabs>
              <w:autoSpaceDE w:val="0"/>
              <w:autoSpaceDN w:val="0"/>
              <w:adjustRightInd w:val="0"/>
              <w:rPr>
                <w:rFonts w:ascii="Arial" w:hAnsi="Arial" w:cs="Arial"/>
                <w:sz w:val="21"/>
                <w:szCs w:val="21"/>
                <w:lang w:val="es-CR"/>
              </w:rPr>
            </w:pPr>
            <w:r w:rsidRPr="00802FB4">
              <w:rPr>
                <w:rFonts w:ascii="Arial" w:hAnsi="Arial" w:cs="Arial"/>
                <w:b/>
                <w:sz w:val="21"/>
                <w:szCs w:val="21"/>
                <w:lang w:val="es-CR"/>
              </w:rPr>
              <w:t>Descripción del Modelo de Negocio</w:t>
            </w:r>
          </w:p>
        </w:tc>
        <w:tc>
          <w:tcPr>
            <w:tcW w:w="6900" w:type="dxa"/>
            <w:vAlign w:val="center"/>
          </w:tcPr>
          <w:p w14:paraId="16835686" w14:textId="1DB70767" w:rsidR="006E5DBE" w:rsidRPr="00802FB4" w:rsidRDefault="006E5DBE" w:rsidP="006E5DBE">
            <w:pPr>
              <w:jc w:val="both"/>
              <w:rPr>
                <w:rFonts w:ascii="Arial" w:hAnsi="Arial" w:cs="Arial"/>
                <w:sz w:val="21"/>
                <w:szCs w:val="21"/>
              </w:rPr>
            </w:pPr>
            <w:r w:rsidRPr="00802FB4">
              <w:rPr>
                <w:rFonts w:ascii="Arial" w:hAnsi="Arial" w:cs="Arial"/>
                <w:sz w:val="21"/>
                <w:szCs w:val="21"/>
              </w:rPr>
              <w:t xml:space="preserve">El fondo de inversión gestiona los activos financieros con el objetivo de procurar preservar y apreciar el capital, obtener una renta periódica por medio de la participación en carteras inmobiliarias, dentro de un perfil de rentabilidad de mediano y largo plazo.   </w:t>
            </w:r>
          </w:p>
          <w:p w14:paraId="479B17B0" w14:textId="77777777" w:rsidR="006E5DBE" w:rsidRPr="00802FB4" w:rsidRDefault="006E5DBE" w:rsidP="006E5DBE">
            <w:pPr>
              <w:jc w:val="both"/>
              <w:rPr>
                <w:rFonts w:ascii="Arial" w:hAnsi="Arial" w:cs="Arial"/>
                <w:sz w:val="21"/>
                <w:szCs w:val="21"/>
              </w:rPr>
            </w:pPr>
          </w:p>
          <w:p w14:paraId="23E89FF1" w14:textId="404681D2" w:rsidR="006E5DBE" w:rsidRPr="00802FB4" w:rsidRDefault="006E5DBE" w:rsidP="006E5DBE">
            <w:pPr>
              <w:jc w:val="both"/>
              <w:rPr>
                <w:rFonts w:ascii="Arial" w:hAnsi="Arial" w:cs="Arial"/>
                <w:sz w:val="21"/>
                <w:szCs w:val="21"/>
              </w:rPr>
            </w:pPr>
            <w:r w:rsidRPr="00802FB4">
              <w:rPr>
                <w:rFonts w:ascii="Arial" w:hAnsi="Arial" w:cs="Arial"/>
                <w:sz w:val="21"/>
                <w:szCs w:val="21"/>
              </w:rPr>
              <w:t xml:space="preserve">De acuerdo </w:t>
            </w:r>
            <w:r w:rsidR="00A91702" w:rsidRPr="00802FB4">
              <w:rPr>
                <w:rFonts w:ascii="Arial" w:hAnsi="Arial" w:cs="Arial"/>
                <w:sz w:val="21"/>
                <w:szCs w:val="21"/>
              </w:rPr>
              <w:t>con e</w:t>
            </w:r>
            <w:r w:rsidRPr="00802FB4">
              <w:rPr>
                <w:rFonts w:ascii="Arial" w:hAnsi="Arial" w:cs="Arial"/>
                <w:sz w:val="21"/>
                <w:szCs w:val="21"/>
              </w:rPr>
              <w:t xml:space="preserve">l modelo de negocio se clasifican los activos financieros del fondo según su objetivo dentro de la cartera: </w:t>
            </w:r>
          </w:p>
          <w:p w14:paraId="2E4CB4B2" w14:textId="77777777" w:rsidR="006E5DBE" w:rsidRPr="00802FB4" w:rsidRDefault="006E5DBE" w:rsidP="006E5DBE">
            <w:pPr>
              <w:jc w:val="both"/>
              <w:rPr>
                <w:rFonts w:ascii="Arial" w:hAnsi="Arial" w:cs="Arial"/>
                <w:sz w:val="21"/>
                <w:szCs w:val="21"/>
              </w:rPr>
            </w:pPr>
          </w:p>
          <w:p w14:paraId="4FBCE9D4" w14:textId="77777777" w:rsidR="006E5DBE" w:rsidRPr="00802FB4" w:rsidRDefault="006E5DBE" w:rsidP="006E5DBE">
            <w:pPr>
              <w:jc w:val="both"/>
              <w:rPr>
                <w:rFonts w:ascii="Arial" w:hAnsi="Arial" w:cs="Arial"/>
                <w:sz w:val="21"/>
                <w:szCs w:val="21"/>
              </w:rPr>
            </w:pPr>
            <w:r w:rsidRPr="00802FB4">
              <w:rPr>
                <w:rFonts w:ascii="Arial" w:hAnsi="Arial" w:cs="Arial"/>
                <w:b/>
                <w:bCs/>
                <w:sz w:val="21"/>
                <w:szCs w:val="21"/>
              </w:rPr>
              <w:t xml:space="preserve">Mantener los activos para obtener flujos de efectivo contractuales y venderlos. </w:t>
            </w:r>
            <w:r w:rsidRPr="00802FB4">
              <w:rPr>
                <w:rFonts w:ascii="Arial" w:hAnsi="Arial" w:cs="Arial"/>
                <w:sz w:val="21"/>
                <w:szCs w:val="21"/>
              </w:rPr>
              <w:t xml:space="preserve">Los activos financieros cuyo objetivo es mantenerlos para generar los flujos contractuales de pago de intereses y principal, y tenerlos disponibles para la venta. Estos activos se clasifican bajo la categoría de valor razonable con cambios en otros resultados integrales (ORI).  </w:t>
            </w:r>
          </w:p>
          <w:p w14:paraId="1D6349B4" w14:textId="77777777" w:rsidR="006E5DBE" w:rsidRPr="00802FB4" w:rsidRDefault="006E5DBE" w:rsidP="006E5DBE">
            <w:pPr>
              <w:jc w:val="both"/>
              <w:rPr>
                <w:rFonts w:ascii="Arial" w:hAnsi="Arial" w:cs="Arial"/>
                <w:sz w:val="21"/>
                <w:szCs w:val="21"/>
              </w:rPr>
            </w:pPr>
          </w:p>
          <w:p w14:paraId="050F3026" w14:textId="5DDE5961" w:rsidR="006E5DBE" w:rsidRPr="00802FB4" w:rsidRDefault="006E5DBE" w:rsidP="006E5DBE">
            <w:pPr>
              <w:jc w:val="both"/>
              <w:rPr>
                <w:rFonts w:ascii="Arial" w:hAnsi="Arial" w:cs="Arial"/>
                <w:sz w:val="21"/>
                <w:szCs w:val="21"/>
              </w:rPr>
            </w:pPr>
            <w:r w:rsidRPr="00802FB4">
              <w:rPr>
                <w:rFonts w:ascii="Arial" w:hAnsi="Arial" w:cs="Arial"/>
                <w:b/>
                <w:bCs/>
                <w:sz w:val="21"/>
                <w:szCs w:val="21"/>
              </w:rPr>
              <w:t xml:space="preserve">Mantener los activos para obtener los flujos de efectivo contractuales: </w:t>
            </w:r>
            <w:r w:rsidRPr="00802FB4">
              <w:rPr>
                <w:rFonts w:ascii="Arial" w:hAnsi="Arial" w:cs="Arial"/>
                <w:sz w:val="21"/>
                <w:szCs w:val="21"/>
              </w:rPr>
              <w:t xml:space="preserve">Los activos financieros cuyo objetivo es mantenerlos hasta su vencimiento y generar los flujos contractuales de pago de intereses y principal, se clasifican   bajo la categoría de valorización de costo amortizado.    Según la norma contable, la clasificación de instrumentos en costo amortizado no excluye la posibilidad de que el activo financiero pueda ser reclasificado y ser vendido, como, por </w:t>
            </w:r>
            <w:r w:rsidRPr="00802FB4">
              <w:rPr>
                <w:rFonts w:ascii="Arial" w:hAnsi="Arial" w:cs="Arial"/>
                <w:sz w:val="21"/>
                <w:szCs w:val="21"/>
              </w:rPr>
              <w:lastRenderedPageBreak/>
              <w:t xml:space="preserve">ejemplo, por cambios radicales en las condiciones de liquidez del fondo, aumento en el riesgo de crédito del emisor, cambios abruptos en el entorno macroeconómico, o la generación de rendimientos, entre otros. Debe existir evidencia de la necesidad de reclasificación. </w:t>
            </w:r>
          </w:p>
          <w:p w14:paraId="32B6C64C" w14:textId="77777777" w:rsidR="006E5DBE" w:rsidRPr="00802FB4" w:rsidRDefault="006E5DBE" w:rsidP="006E5DBE">
            <w:pPr>
              <w:jc w:val="both"/>
              <w:rPr>
                <w:rFonts w:ascii="Arial" w:hAnsi="Arial" w:cs="Arial"/>
                <w:sz w:val="21"/>
                <w:szCs w:val="21"/>
              </w:rPr>
            </w:pPr>
          </w:p>
          <w:p w14:paraId="28E216B2" w14:textId="77777777" w:rsidR="006E5DBE" w:rsidRPr="00802FB4" w:rsidRDefault="006E5DBE" w:rsidP="006E5DBE">
            <w:pPr>
              <w:jc w:val="both"/>
              <w:rPr>
                <w:rFonts w:ascii="Arial" w:hAnsi="Arial" w:cs="Arial"/>
                <w:sz w:val="21"/>
                <w:szCs w:val="21"/>
              </w:rPr>
            </w:pPr>
            <w:r w:rsidRPr="00802FB4">
              <w:rPr>
                <w:rFonts w:ascii="Arial" w:hAnsi="Arial" w:cs="Arial"/>
                <w:b/>
                <w:bCs/>
                <w:sz w:val="21"/>
                <w:szCs w:val="21"/>
              </w:rPr>
              <w:t xml:space="preserve">Mantener los activos para obtener los flujos de efectivo por la venta: </w:t>
            </w:r>
            <w:r w:rsidRPr="00802FB4">
              <w:rPr>
                <w:rFonts w:ascii="Arial" w:hAnsi="Arial" w:cs="Arial"/>
                <w:sz w:val="21"/>
                <w:szCs w:val="21"/>
              </w:rPr>
              <w:t xml:space="preserve">Los activos financieros se mantienen con el objetivo de cobrar flujos de efectivo a través de la venta de los activos. Estos activos se clasifican bajo la categoría de valor razonable con cambios en resultados. </w:t>
            </w:r>
          </w:p>
          <w:p w14:paraId="048D7047" w14:textId="77777777" w:rsidR="006E5DBE" w:rsidRPr="00802FB4" w:rsidRDefault="006E5DBE" w:rsidP="006E5DBE">
            <w:pPr>
              <w:tabs>
                <w:tab w:val="left" w:pos="9214"/>
              </w:tabs>
              <w:ind w:right="48"/>
              <w:jc w:val="both"/>
              <w:rPr>
                <w:rFonts w:ascii="Arial" w:hAnsi="Arial" w:cs="Arial"/>
                <w:sz w:val="21"/>
                <w:szCs w:val="21"/>
              </w:rPr>
            </w:pPr>
          </w:p>
          <w:p w14:paraId="4118FD74" w14:textId="77777777" w:rsidR="006E5DBE" w:rsidRPr="00802FB4" w:rsidRDefault="006E5DBE" w:rsidP="006E5DBE">
            <w:pPr>
              <w:tabs>
                <w:tab w:val="left" w:pos="9214"/>
              </w:tabs>
              <w:ind w:right="48"/>
              <w:jc w:val="both"/>
              <w:rPr>
                <w:rFonts w:ascii="Arial" w:hAnsi="Arial" w:cs="Arial"/>
                <w:sz w:val="21"/>
                <w:szCs w:val="21"/>
              </w:rPr>
            </w:pPr>
            <w:r w:rsidRPr="00802FB4">
              <w:rPr>
                <w:rFonts w:ascii="Arial" w:hAnsi="Arial" w:cs="Arial"/>
                <w:sz w:val="21"/>
                <w:szCs w:val="21"/>
              </w:rPr>
              <w:t xml:space="preserve">La norma contable incorpora el reconocimiento de pérdidas por incobrabilidad de activos financieros, conforme a la cual no es necesario que una pérdida sea realizada para ser reconocida. El fondo de inversión debe aplicar un modelo de deterioro basado en pérdidas crediticias esperadas (PCE) para los activos financieros clasificados como costo amortizado o al valor razonable con cambios en otro resultado integral (ORI). </w:t>
            </w:r>
          </w:p>
          <w:p w14:paraId="76C024AD" w14:textId="77777777" w:rsidR="006E5DBE" w:rsidRPr="00802FB4" w:rsidRDefault="006E5DBE" w:rsidP="006E5DBE">
            <w:pPr>
              <w:tabs>
                <w:tab w:val="left" w:pos="9214"/>
              </w:tabs>
              <w:ind w:right="48"/>
              <w:jc w:val="both"/>
              <w:rPr>
                <w:rFonts w:ascii="Arial" w:hAnsi="Arial" w:cs="Arial"/>
                <w:sz w:val="21"/>
                <w:szCs w:val="21"/>
              </w:rPr>
            </w:pPr>
          </w:p>
          <w:p w14:paraId="444C035F" w14:textId="77777777" w:rsidR="006E5DBE" w:rsidRPr="00802FB4" w:rsidRDefault="006E5DBE" w:rsidP="006E5DBE">
            <w:pPr>
              <w:tabs>
                <w:tab w:val="left" w:pos="1480"/>
                <w:tab w:val="left" w:pos="9214"/>
              </w:tabs>
              <w:ind w:right="48"/>
              <w:jc w:val="both"/>
              <w:rPr>
                <w:rFonts w:ascii="Arial" w:hAnsi="Arial" w:cs="Arial"/>
                <w:sz w:val="21"/>
                <w:szCs w:val="21"/>
              </w:rPr>
            </w:pPr>
            <w:r w:rsidRPr="00802FB4">
              <w:rPr>
                <w:rFonts w:ascii="Arial" w:hAnsi="Arial" w:cs="Arial"/>
                <w:sz w:val="21"/>
                <w:szCs w:val="21"/>
              </w:rPr>
              <w:t xml:space="preserve">Para los activos de la cartera clasificados a valor razonable con cambios en otros resultados integrales (ORI) o a valor razonable con cambios en resultados, el valor de los activos financieros se verá afectado por cambios en los precios de mercado de los mismos, por ende, dichas variaciones se verán reflejadas en aumentos o disminuciones en el valor total de la participación del fondo. </w:t>
            </w:r>
          </w:p>
          <w:p w14:paraId="332A3D89" w14:textId="77777777" w:rsidR="006E5DBE" w:rsidRPr="00802FB4" w:rsidRDefault="006E5DBE" w:rsidP="006E5DBE">
            <w:pPr>
              <w:tabs>
                <w:tab w:val="left" w:pos="9214"/>
              </w:tabs>
              <w:ind w:right="48"/>
              <w:jc w:val="both"/>
              <w:rPr>
                <w:rFonts w:ascii="Arial" w:hAnsi="Arial" w:cs="Arial"/>
                <w:sz w:val="21"/>
                <w:szCs w:val="21"/>
              </w:rPr>
            </w:pPr>
          </w:p>
          <w:p w14:paraId="0F6DED24" w14:textId="414CB70F" w:rsidR="006E5DBE" w:rsidRPr="00802FB4" w:rsidRDefault="006E5DBE" w:rsidP="0057467E">
            <w:pPr>
              <w:tabs>
                <w:tab w:val="num" w:pos="540"/>
              </w:tabs>
              <w:autoSpaceDE w:val="0"/>
              <w:autoSpaceDN w:val="0"/>
              <w:adjustRightInd w:val="0"/>
              <w:jc w:val="both"/>
              <w:rPr>
                <w:rFonts w:ascii="Arial" w:hAnsi="Arial" w:cs="Arial"/>
                <w:sz w:val="21"/>
                <w:szCs w:val="21"/>
              </w:rPr>
            </w:pPr>
            <w:r w:rsidRPr="00802FB4">
              <w:rPr>
                <w:rFonts w:ascii="Arial" w:hAnsi="Arial" w:cs="Arial"/>
                <w:sz w:val="21"/>
                <w:szCs w:val="21"/>
              </w:rPr>
              <w:t xml:space="preserve">Para los activos de la cartera clasificados a costo amortizado, a nivel contable, el valor de los activos financieros no se verá afectado por las variaciones en los precios de mercado </w:t>
            </w:r>
            <w:r w:rsidR="00EC02C8" w:rsidRPr="00802FB4">
              <w:rPr>
                <w:rFonts w:ascii="Arial" w:hAnsi="Arial" w:cs="Arial"/>
                <w:sz w:val="21"/>
                <w:szCs w:val="21"/>
              </w:rPr>
              <w:t>y,</w:t>
            </w:r>
            <w:r w:rsidRPr="00802FB4">
              <w:rPr>
                <w:rFonts w:ascii="Arial" w:hAnsi="Arial" w:cs="Arial"/>
                <w:sz w:val="21"/>
                <w:szCs w:val="21"/>
              </w:rPr>
              <w:t xml:space="preserve"> por ende, dichas variaciones no se reflejarán en el valor de la participación del fondo.  Bajo este método, el registro de las pérdidas esperadas crediticias (PCE), el aumento del riesgo de crédito de la cartera podría afectar a la baja el valor total de la participación; así mismo, una mejora en el riesgo de crédito de la cartera reduciría la estimación de pérdidas esperadas </w:t>
            </w:r>
            <w:r w:rsidR="00EC02C8" w:rsidRPr="00802FB4">
              <w:rPr>
                <w:rFonts w:ascii="Arial" w:hAnsi="Arial" w:cs="Arial"/>
                <w:sz w:val="21"/>
                <w:szCs w:val="21"/>
              </w:rPr>
              <w:t>y,</w:t>
            </w:r>
            <w:r w:rsidRPr="00802FB4">
              <w:rPr>
                <w:rFonts w:ascii="Arial" w:hAnsi="Arial" w:cs="Arial"/>
                <w:sz w:val="21"/>
                <w:szCs w:val="21"/>
              </w:rPr>
              <w:t xml:space="preserve"> por ende, podría aumentar el valor total de la participación.    </w:t>
            </w:r>
          </w:p>
          <w:p w14:paraId="5CFC30A9" w14:textId="77777777" w:rsidR="00A11560" w:rsidRPr="00802FB4" w:rsidRDefault="00A11560" w:rsidP="0057467E">
            <w:pPr>
              <w:tabs>
                <w:tab w:val="num" w:pos="540"/>
              </w:tabs>
              <w:autoSpaceDE w:val="0"/>
              <w:autoSpaceDN w:val="0"/>
              <w:adjustRightInd w:val="0"/>
              <w:jc w:val="both"/>
              <w:rPr>
                <w:rFonts w:ascii="Arial" w:hAnsi="Arial" w:cs="Arial"/>
                <w:sz w:val="21"/>
                <w:szCs w:val="21"/>
              </w:rPr>
            </w:pPr>
          </w:p>
          <w:p w14:paraId="71A0E717" w14:textId="583D4A74" w:rsidR="00A11560" w:rsidRPr="00802FB4" w:rsidRDefault="00A11560" w:rsidP="0057467E">
            <w:pPr>
              <w:tabs>
                <w:tab w:val="num" w:pos="540"/>
              </w:tabs>
              <w:autoSpaceDE w:val="0"/>
              <w:autoSpaceDN w:val="0"/>
              <w:adjustRightInd w:val="0"/>
              <w:jc w:val="both"/>
              <w:rPr>
                <w:rFonts w:ascii="Arial" w:hAnsi="Arial" w:cs="Arial"/>
                <w:sz w:val="21"/>
                <w:szCs w:val="21"/>
                <w:lang w:val="es-CR"/>
              </w:rPr>
            </w:pPr>
            <w:r w:rsidRPr="00802FB4">
              <w:rPr>
                <w:rFonts w:ascii="Arial" w:hAnsi="Arial" w:cs="Arial"/>
                <w:sz w:val="21"/>
                <w:szCs w:val="21"/>
              </w:rPr>
              <w:t>Las inversiones en operaciones de reporto se registran a costo amortizado.</w:t>
            </w:r>
          </w:p>
        </w:tc>
      </w:tr>
    </w:tbl>
    <w:p w14:paraId="48D2CCDB" w14:textId="5A09BAF5" w:rsidR="006E5DBE" w:rsidRPr="00802FB4" w:rsidRDefault="006E5DBE" w:rsidP="008C5E1B">
      <w:pPr>
        <w:ind w:left="180"/>
        <w:jc w:val="both"/>
        <w:rPr>
          <w:rFonts w:ascii="Arial" w:hAnsi="Arial" w:cs="Arial"/>
          <w:sz w:val="21"/>
          <w:szCs w:val="21"/>
        </w:rPr>
      </w:pPr>
    </w:p>
    <w:p w14:paraId="42563B32" w14:textId="77777777" w:rsidR="006E5DBE" w:rsidRPr="00802FB4" w:rsidRDefault="006E5DBE" w:rsidP="008C5E1B">
      <w:pPr>
        <w:ind w:left="180"/>
        <w:jc w:val="both"/>
        <w:rPr>
          <w:rFonts w:ascii="Arial" w:hAnsi="Arial" w:cs="Arial"/>
          <w:sz w:val="21"/>
          <w:szCs w:val="21"/>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2272"/>
        <w:gridCol w:w="1701"/>
        <w:gridCol w:w="2503"/>
      </w:tblGrid>
      <w:tr w:rsidR="00784373" w:rsidRPr="00802FB4" w14:paraId="1CD0D4ED" w14:textId="77777777" w:rsidTr="009823D7">
        <w:trPr>
          <w:trHeight w:val="110"/>
          <w:jc w:val="center"/>
        </w:trPr>
        <w:tc>
          <w:tcPr>
            <w:tcW w:w="9302" w:type="dxa"/>
            <w:gridSpan w:val="4"/>
            <w:vAlign w:val="center"/>
          </w:tcPr>
          <w:p w14:paraId="476F8868" w14:textId="77777777" w:rsidR="00784373" w:rsidRPr="00802FB4" w:rsidRDefault="006058BD" w:rsidP="009823D7">
            <w:pPr>
              <w:tabs>
                <w:tab w:val="num" w:pos="540"/>
              </w:tabs>
              <w:autoSpaceDE w:val="0"/>
              <w:autoSpaceDN w:val="0"/>
              <w:adjustRightInd w:val="0"/>
              <w:spacing w:before="120" w:after="120"/>
              <w:jc w:val="center"/>
              <w:rPr>
                <w:rFonts w:ascii="Arial" w:hAnsi="Arial" w:cs="Arial"/>
                <w:i/>
                <w:sz w:val="21"/>
                <w:szCs w:val="21"/>
              </w:rPr>
            </w:pPr>
            <w:r w:rsidRPr="00802FB4">
              <w:rPr>
                <w:rFonts w:ascii="Arial" w:hAnsi="Arial" w:cs="Arial"/>
                <w:b/>
                <w:sz w:val="21"/>
                <w:szCs w:val="21"/>
              </w:rPr>
              <w:t>Monto autorizado</w:t>
            </w:r>
          </w:p>
        </w:tc>
      </w:tr>
      <w:tr w:rsidR="00784373" w:rsidRPr="00802FB4" w14:paraId="27BCEE93" w14:textId="77777777" w:rsidTr="00D41332">
        <w:trPr>
          <w:trHeight w:val="349"/>
          <w:jc w:val="center"/>
        </w:trPr>
        <w:tc>
          <w:tcPr>
            <w:tcW w:w="2826" w:type="dxa"/>
            <w:vAlign w:val="center"/>
          </w:tcPr>
          <w:p w14:paraId="12854518" w14:textId="77777777" w:rsidR="00784373" w:rsidRPr="00802FB4" w:rsidRDefault="00784373" w:rsidP="00784373">
            <w:pPr>
              <w:tabs>
                <w:tab w:val="num" w:pos="540"/>
              </w:tabs>
              <w:autoSpaceDE w:val="0"/>
              <w:autoSpaceDN w:val="0"/>
              <w:adjustRightInd w:val="0"/>
              <w:rPr>
                <w:rFonts w:ascii="Arial" w:hAnsi="Arial" w:cs="Arial"/>
                <w:sz w:val="21"/>
                <w:szCs w:val="21"/>
              </w:rPr>
            </w:pPr>
            <w:r w:rsidRPr="00802FB4">
              <w:rPr>
                <w:rFonts w:ascii="Arial" w:hAnsi="Arial" w:cs="Arial"/>
                <w:b/>
                <w:bCs/>
                <w:sz w:val="21"/>
                <w:szCs w:val="21"/>
              </w:rPr>
              <w:t>Monto de la emisión</w:t>
            </w:r>
          </w:p>
        </w:tc>
        <w:tc>
          <w:tcPr>
            <w:tcW w:w="2272" w:type="dxa"/>
            <w:vAlign w:val="center"/>
          </w:tcPr>
          <w:p w14:paraId="1DB857A7" w14:textId="77777777" w:rsidR="00784373" w:rsidRPr="00802FB4" w:rsidRDefault="00784373" w:rsidP="00D962A8">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US $</w:t>
            </w:r>
            <w:r w:rsidR="00D962A8" w:rsidRPr="00802FB4">
              <w:rPr>
                <w:rFonts w:ascii="Arial" w:hAnsi="Arial" w:cs="Arial"/>
                <w:sz w:val="21"/>
                <w:szCs w:val="21"/>
              </w:rPr>
              <w:t>400</w:t>
            </w:r>
            <w:r w:rsidRPr="00802FB4">
              <w:rPr>
                <w:rFonts w:ascii="Arial" w:hAnsi="Arial" w:cs="Arial"/>
                <w:sz w:val="21"/>
                <w:szCs w:val="21"/>
              </w:rPr>
              <w:t>,000.000,00</w:t>
            </w:r>
          </w:p>
        </w:tc>
        <w:tc>
          <w:tcPr>
            <w:tcW w:w="1701" w:type="dxa"/>
            <w:vAlign w:val="center"/>
          </w:tcPr>
          <w:p w14:paraId="44076268" w14:textId="77777777" w:rsidR="00784373" w:rsidRPr="00802FB4" w:rsidRDefault="00784373" w:rsidP="00784373">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 xml:space="preserve">Plazo máximo para la colocación </w:t>
            </w:r>
          </w:p>
        </w:tc>
        <w:tc>
          <w:tcPr>
            <w:tcW w:w="2503" w:type="dxa"/>
            <w:vAlign w:val="center"/>
          </w:tcPr>
          <w:p w14:paraId="6A570738" w14:textId="675F4BF4" w:rsidR="00784373" w:rsidRPr="00802FB4" w:rsidRDefault="006058BD" w:rsidP="006058BD">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2</w:t>
            </w:r>
            <w:r w:rsidR="00465F97" w:rsidRPr="00802FB4">
              <w:rPr>
                <w:rFonts w:ascii="Arial" w:hAnsi="Arial" w:cs="Arial"/>
                <w:sz w:val="21"/>
                <w:szCs w:val="21"/>
              </w:rPr>
              <w:t>9 de septiembre de 2033</w:t>
            </w:r>
          </w:p>
        </w:tc>
      </w:tr>
      <w:tr w:rsidR="00784373" w:rsidRPr="00802FB4" w14:paraId="172723D5" w14:textId="77777777" w:rsidTr="00D41332">
        <w:trPr>
          <w:trHeight w:val="593"/>
          <w:jc w:val="center"/>
        </w:trPr>
        <w:tc>
          <w:tcPr>
            <w:tcW w:w="2826" w:type="dxa"/>
            <w:vAlign w:val="center"/>
          </w:tcPr>
          <w:p w14:paraId="16194137" w14:textId="77777777" w:rsidR="00784373" w:rsidRPr="00802FB4" w:rsidRDefault="00784373" w:rsidP="00784373">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Valor nominal de la participación</w:t>
            </w:r>
          </w:p>
        </w:tc>
        <w:tc>
          <w:tcPr>
            <w:tcW w:w="2272" w:type="dxa"/>
            <w:vAlign w:val="center"/>
          </w:tcPr>
          <w:p w14:paraId="61E79D37" w14:textId="77777777" w:rsidR="00784373" w:rsidRPr="00802FB4" w:rsidRDefault="00784373" w:rsidP="00784373">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US $5.000,00</w:t>
            </w:r>
          </w:p>
        </w:tc>
        <w:tc>
          <w:tcPr>
            <w:tcW w:w="1701" w:type="dxa"/>
            <w:tcBorders>
              <w:bottom w:val="single" w:sz="4" w:space="0" w:color="auto"/>
            </w:tcBorders>
            <w:vAlign w:val="center"/>
          </w:tcPr>
          <w:p w14:paraId="0D8736B4" w14:textId="77777777" w:rsidR="00784373" w:rsidRPr="00802FB4" w:rsidRDefault="00784373" w:rsidP="00784373">
            <w:pPr>
              <w:tabs>
                <w:tab w:val="num" w:pos="540"/>
              </w:tabs>
              <w:autoSpaceDE w:val="0"/>
              <w:autoSpaceDN w:val="0"/>
              <w:adjustRightInd w:val="0"/>
              <w:rPr>
                <w:rFonts w:ascii="Arial" w:hAnsi="Arial" w:cs="Arial"/>
                <w:sz w:val="21"/>
                <w:szCs w:val="21"/>
              </w:rPr>
            </w:pPr>
            <w:r w:rsidRPr="00802FB4">
              <w:rPr>
                <w:rFonts w:ascii="Arial" w:hAnsi="Arial" w:cs="Arial"/>
                <w:b/>
                <w:sz w:val="21"/>
                <w:szCs w:val="21"/>
              </w:rPr>
              <w:t>Vencimiento del fondo</w:t>
            </w:r>
          </w:p>
        </w:tc>
        <w:tc>
          <w:tcPr>
            <w:tcW w:w="2503" w:type="dxa"/>
            <w:tcBorders>
              <w:bottom w:val="single" w:sz="4" w:space="0" w:color="auto"/>
            </w:tcBorders>
            <w:vAlign w:val="center"/>
          </w:tcPr>
          <w:p w14:paraId="174A4433" w14:textId="77777777" w:rsidR="00784373" w:rsidRPr="00802FB4" w:rsidRDefault="00784373" w:rsidP="00784373">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No tiene un vencimiento</w:t>
            </w:r>
          </w:p>
        </w:tc>
      </w:tr>
      <w:tr w:rsidR="00784373" w:rsidRPr="00802FB4" w14:paraId="14AFB577" w14:textId="77777777" w:rsidTr="00D41332">
        <w:trPr>
          <w:trHeight w:val="593"/>
          <w:jc w:val="center"/>
        </w:trPr>
        <w:tc>
          <w:tcPr>
            <w:tcW w:w="2826" w:type="dxa"/>
            <w:vAlign w:val="center"/>
          </w:tcPr>
          <w:p w14:paraId="53966AE9" w14:textId="77777777" w:rsidR="00784373" w:rsidRPr="00802FB4" w:rsidRDefault="00784373" w:rsidP="00784373">
            <w:pPr>
              <w:autoSpaceDE w:val="0"/>
              <w:autoSpaceDN w:val="0"/>
              <w:rPr>
                <w:rFonts w:ascii="Arial" w:eastAsia="Calibri" w:hAnsi="Arial" w:cs="Arial"/>
                <w:b/>
                <w:bCs/>
                <w:sz w:val="21"/>
                <w:szCs w:val="21"/>
              </w:rPr>
            </w:pPr>
            <w:r w:rsidRPr="00802FB4">
              <w:rPr>
                <w:rFonts w:ascii="Arial" w:hAnsi="Arial" w:cs="Arial"/>
                <w:b/>
                <w:bCs/>
                <w:sz w:val="21"/>
                <w:szCs w:val="21"/>
              </w:rPr>
              <w:t>Número de participaciones</w:t>
            </w:r>
          </w:p>
          <w:p w14:paraId="4C903FE4" w14:textId="5FD829D8" w:rsidR="00784373" w:rsidRPr="00802FB4" w:rsidRDefault="00045450" w:rsidP="00784373">
            <w:pPr>
              <w:tabs>
                <w:tab w:val="num" w:pos="540"/>
              </w:tabs>
              <w:autoSpaceDE w:val="0"/>
              <w:autoSpaceDN w:val="0"/>
              <w:adjustRightInd w:val="0"/>
              <w:rPr>
                <w:rFonts w:ascii="Arial" w:hAnsi="Arial" w:cs="Arial"/>
                <w:b/>
                <w:sz w:val="21"/>
                <w:szCs w:val="21"/>
              </w:rPr>
            </w:pPr>
            <w:r w:rsidRPr="00802FB4">
              <w:rPr>
                <w:rFonts w:ascii="Arial" w:hAnsi="Arial" w:cs="Arial"/>
                <w:b/>
                <w:bCs/>
                <w:sz w:val="21"/>
                <w:szCs w:val="21"/>
              </w:rPr>
              <w:t>A</w:t>
            </w:r>
            <w:r w:rsidR="00784373" w:rsidRPr="00802FB4">
              <w:rPr>
                <w:rFonts w:ascii="Arial" w:hAnsi="Arial" w:cs="Arial"/>
                <w:b/>
                <w:bCs/>
                <w:sz w:val="21"/>
                <w:szCs w:val="21"/>
              </w:rPr>
              <w:t>utorizadas</w:t>
            </w:r>
          </w:p>
        </w:tc>
        <w:tc>
          <w:tcPr>
            <w:tcW w:w="2272" w:type="dxa"/>
            <w:vAlign w:val="center"/>
          </w:tcPr>
          <w:p w14:paraId="54EFE019" w14:textId="77777777" w:rsidR="00784373" w:rsidRPr="00802FB4" w:rsidRDefault="00D962A8" w:rsidP="00784373">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80</w:t>
            </w:r>
            <w:r w:rsidR="00784373" w:rsidRPr="00802FB4">
              <w:rPr>
                <w:rFonts w:ascii="Arial" w:hAnsi="Arial" w:cs="Arial"/>
                <w:sz w:val="21"/>
                <w:szCs w:val="21"/>
              </w:rPr>
              <w:t>.000</w:t>
            </w:r>
          </w:p>
        </w:tc>
        <w:tc>
          <w:tcPr>
            <w:tcW w:w="1701" w:type="dxa"/>
            <w:vAlign w:val="center"/>
          </w:tcPr>
          <w:p w14:paraId="117509DC" w14:textId="77777777" w:rsidR="00784373" w:rsidRPr="00802FB4" w:rsidRDefault="00784373" w:rsidP="00784373">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t>Código ISIN</w:t>
            </w:r>
          </w:p>
        </w:tc>
        <w:tc>
          <w:tcPr>
            <w:tcW w:w="2503" w:type="dxa"/>
            <w:vAlign w:val="center"/>
          </w:tcPr>
          <w:p w14:paraId="5207EA2E" w14:textId="77777777" w:rsidR="00784373" w:rsidRPr="00802FB4" w:rsidRDefault="00784373" w:rsidP="00784373">
            <w:pPr>
              <w:tabs>
                <w:tab w:val="num" w:pos="540"/>
              </w:tabs>
              <w:autoSpaceDE w:val="0"/>
              <w:autoSpaceDN w:val="0"/>
              <w:adjustRightInd w:val="0"/>
              <w:jc w:val="center"/>
              <w:rPr>
                <w:rFonts w:ascii="Arial" w:hAnsi="Arial" w:cs="Arial"/>
                <w:sz w:val="21"/>
                <w:szCs w:val="21"/>
              </w:rPr>
            </w:pPr>
            <w:r w:rsidRPr="00802FB4">
              <w:rPr>
                <w:rFonts w:ascii="Arial" w:hAnsi="Arial" w:cs="Arial"/>
                <w:bCs/>
                <w:sz w:val="21"/>
                <w:szCs w:val="21"/>
              </w:rPr>
              <w:t>CRMULTIL0018</w:t>
            </w:r>
          </w:p>
        </w:tc>
      </w:tr>
      <w:tr w:rsidR="00784373" w:rsidRPr="00802FB4" w14:paraId="7422C857" w14:textId="77777777" w:rsidTr="006B3134">
        <w:trPr>
          <w:trHeight w:val="593"/>
          <w:jc w:val="center"/>
        </w:trPr>
        <w:tc>
          <w:tcPr>
            <w:tcW w:w="6799" w:type="dxa"/>
            <w:gridSpan w:val="3"/>
            <w:vAlign w:val="center"/>
          </w:tcPr>
          <w:p w14:paraId="33D14609" w14:textId="77777777" w:rsidR="00784373" w:rsidRPr="00802FB4" w:rsidRDefault="00784373" w:rsidP="00784373">
            <w:pPr>
              <w:tabs>
                <w:tab w:val="num" w:pos="540"/>
              </w:tabs>
              <w:autoSpaceDE w:val="0"/>
              <w:autoSpaceDN w:val="0"/>
              <w:adjustRightInd w:val="0"/>
              <w:rPr>
                <w:rFonts w:ascii="Arial" w:hAnsi="Arial" w:cs="Arial"/>
                <w:b/>
                <w:sz w:val="21"/>
                <w:szCs w:val="21"/>
              </w:rPr>
            </w:pPr>
            <w:r w:rsidRPr="00802FB4">
              <w:rPr>
                <w:rFonts w:ascii="Arial" w:hAnsi="Arial" w:cs="Arial"/>
                <w:b/>
                <w:sz w:val="21"/>
                <w:szCs w:val="21"/>
              </w:rPr>
              <w:lastRenderedPageBreak/>
              <w:t>Monto mínimo de participaciones para lograr la política de inversión y cubrir los costos de operación del fondo</w:t>
            </w:r>
          </w:p>
        </w:tc>
        <w:tc>
          <w:tcPr>
            <w:tcW w:w="2503" w:type="dxa"/>
            <w:tcBorders>
              <w:bottom w:val="single" w:sz="4" w:space="0" w:color="auto"/>
            </w:tcBorders>
            <w:vAlign w:val="center"/>
          </w:tcPr>
          <w:p w14:paraId="7E789CC2" w14:textId="0AE0A7BB" w:rsidR="00784373" w:rsidRPr="00802FB4" w:rsidRDefault="006058BD" w:rsidP="006058BD">
            <w:pPr>
              <w:tabs>
                <w:tab w:val="num" w:pos="540"/>
              </w:tabs>
              <w:autoSpaceDE w:val="0"/>
              <w:autoSpaceDN w:val="0"/>
              <w:adjustRightInd w:val="0"/>
              <w:jc w:val="center"/>
              <w:rPr>
                <w:rFonts w:ascii="Arial" w:hAnsi="Arial" w:cs="Arial"/>
                <w:sz w:val="21"/>
                <w:szCs w:val="21"/>
              </w:rPr>
            </w:pPr>
            <w:r w:rsidRPr="00802FB4">
              <w:rPr>
                <w:rFonts w:ascii="Arial" w:hAnsi="Arial" w:cs="Arial"/>
                <w:sz w:val="21"/>
                <w:szCs w:val="21"/>
              </w:rPr>
              <w:t>3.000</w:t>
            </w:r>
          </w:p>
        </w:tc>
      </w:tr>
    </w:tbl>
    <w:p w14:paraId="2163DAE7" w14:textId="77777777" w:rsidR="0030092E" w:rsidRDefault="0030092E" w:rsidP="0030092E">
      <w:pPr>
        <w:pStyle w:val="Ttulo1"/>
        <w:ind w:left="142"/>
        <w:rPr>
          <w:rFonts w:ascii="Arial" w:hAnsi="Arial" w:cs="Arial"/>
          <w:sz w:val="24"/>
          <w:szCs w:val="21"/>
        </w:rPr>
      </w:pPr>
      <w:bookmarkStart w:id="12" w:name="_Toc34228944"/>
    </w:p>
    <w:p w14:paraId="3AB42F1A" w14:textId="4F523FBB" w:rsidR="008C5E1B" w:rsidRPr="00802FB4" w:rsidRDefault="00DC27F7" w:rsidP="004D4ABE">
      <w:pPr>
        <w:pStyle w:val="Ttulo1"/>
        <w:numPr>
          <w:ilvl w:val="0"/>
          <w:numId w:val="1"/>
        </w:numPr>
        <w:ind w:left="142"/>
        <w:rPr>
          <w:rFonts w:ascii="Arial" w:hAnsi="Arial" w:cs="Arial"/>
          <w:sz w:val="24"/>
          <w:szCs w:val="21"/>
        </w:rPr>
      </w:pPr>
      <w:r w:rsidRPr="00802FB4">
        <w:rPr>
          <w:rFonts w:ascii="Arial" w:hAnsi="Arial" w:cs="Arial"/>
          <w:sz w:val="24"/>
          <w:szCs w:val="21"/>
        </w:rPr>
        <w:t>Política de Inversión</w:t>
      </w:r>
      <w:bookmarkEnd w:id="12"/>
      <w:r w:rsidR="00473043" w:rsidRPr="00802FB4">
        <w:rPr>
          <w:rFonts w:ascii="Arial" w:hAnsi="Arial" w:cs="Arial"/>
          <w:sz w:val="24"/>
          <w:szCs w:val="21"/>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63"/>
        <w:gridCol w:w="2819"/>
        <w:gridCol w:w="6"/>
        <w:gridCol w:w="1687"/>
        <w:gridCol w:w="593"/>
        <w:gridCol w:w="1841"/>
      </w:tblGrid>
      <w:tr w:rsidR="005F1E2E" w:rsidRPr="00802FB4" w14:paraId="1AECB51E" w14:textId="308BD7DC" w:rsidTr="005776D2">
        <w:trPr>
          <w:jc w:val="center"/>
        </w:trPr>
        <w:tc>
          <w:tcPr>
            <w:tcW w:w="9209" w:type="dxa"/>
            <w:gridSpan w:val="6"/>
            <w:vAlign w:val="center"/>
          </w:tcPr>
          <w:p w14:paraId="7FE4D66E" w14:textId="78E16E04" w:rsidR="005F1E2E" w:rsidRPr="00802FB4" w:rsidRDefault="005F1E2E" w:rsidP="00F47C91">
            <w:pPr>
              <w:pStyle w:val="CNV"/>
              <w:widowControl w:val="0"/>
              <w:tabs>
                <w:tab w:val="left" w:pos="8910"/>
              </w:tabs>
              <w:spacing w:before="120" w:after="120"/>
              <w:jc w:val="center"/>
              <w:rPr>
                <w:rFonts w:ascii="Arial" w:hAnsi="Arial" w:cs="Arial"/>
                <w:b/>
                <w:sz w:val="21"/>
                <w:szCs w:val="21"/>
                <w:lang w:val="es-ES"/>
              </w:rPr>
            </w:pPr>
            <w:r w:rsidRPr="00802FB4">
              <w:rPr>
                <w:rFonts w:ascii="Arial" w:hAnsi="Arial" w:cs="Arial"/>
                <w:b/>
                <w:sz w:val="21"/>
                <w:szCs w:val="21"/>
                <w:lang w:val="es-ES"/>
              </w:rPr>
              <w:t>Política de Inversión de activos financieros</w:t>
            </w:r>
          </w:p>
        </w:tc>
      </w:tr>
      <w:tr w:rsidR="00F62F6E" w:rsidRPr="00802FB4" w14:paraId="6043DACF" w14:textId="77777777" w:rsidTr="008159BA">
        <w:trPr>
          <w:trHeight w:val="608"/>
          <w:jc w:val="center"/>
        </w:trPr>
        <w:tc>
          <w:tcPr>
            <w:tcW w:w="2263" w:type="dxa"/>
            <w:vAlign w:val="center"/>
          </w:tcPr>
          <w:p w14:paraId="6638B195" w14:textId="15FA90C4" w:rsidR="00F62F6E" w:rsidRPr="00802FB4" w:rsidRDefault="00240FD3" w:rsidP="005776D2">
            <w:pPr>
              <w:pStyle w:val="CNV"/>
              <w:widowControl w:val="0"/>
              <w:tabs>
                <w:tab w:val="left" w:pos="8910"/>
              </w:tabs>
              <w:jc w:val="center"/>
              <w:rPr>
                <w:rFonts w:ascii="Arial" w:hAnsi="Arial" w:cs="Arial"/>
                <w:b/>
                <w:sz w:val="21"/>
                <w:szCs w:val="21"/>
                <w:lang w:val="es-ES"/>
              </w:rPr>
            </w:pPr>
            <w:r>
              <w:rPr>
                <w:rFonts w:ascii="Arial" w:hAnsi="Arial" w:cs="Arial"/>
                <w:b/>
                <w:sz w:val="21"/>
                <w:szCs w:val="21"/>
                <w:lang w:val="es-ES"/>
              </w:rPr>
              <w:t>Tipo</w:t>
            </w:r>
          </w:p>
        </w:tc>
        <w:tc>
          <w:tcPr>
            <w:tcW w:w="2825" w:type="dxa"/>
            <w:gridSpan w:val="2"/>
            <w:vAlign w:val="center"/>
          </w:tcPr>
          <w:p w14:paraId="14050CAB" w14:textId="7D68A42A" w:rsidR="00F62F6E" w:rsidRPr="00802FB4" w:rsidDel="005F1E2E" w:rsidRDefault="00F62F6E" w:rsidP="00753FD7">
            <w:pPr>
              <w:pStyle w:val="CNV"/>
              <w:widowControl w:val="0"/>
              <w:tabs>
                <w:tab w:val="left" w:pos="8910"/>
              </w:tabs>
              <w:jc w:val="center"/>
              <w:rPr>
                <w:rFonts w:ascii="Arial" w:hAnsi="Arial" w:cs="Arial"/>
                <w:i/>
                <w:sz w:val="21"/>
                <w:szCs w:val="21"/>
                <w:lang w:val="es-ES"/>
              </w:rPr>
            </w:pPr>
            <w:r w:rsidRPr="00753FD7">
              <w:rPr>
                <w:rFonts w:ascii="Arial" w:hAnsi="Arial" w:cs="Arial"/>
                <w:b/>
                <w:bCs/>
                <w:sz w:val="21"/>
                <w:szCs w:val="21"/>
                <w:lang w:val="es-ES"/>
              </w:rPr>
              <w:t>Detalle</w:t>
            </w:r>
          </w:p>
        </w:tc>
        <w:tc>
          <w:tcPr>
            <w:tcW w:w="2280" w:type="dxa"/>
            <w:gridSpan w:val="2"/>
            <w:vAlign w:val="center"/>
          </w:tcPr>
          <w:p w14:paraId="2C8DA557" w14:textId="326EEB4D" w:rsidR="00F62F6E" w:rsidRPr="00802FB4" w:rsidRDefault="00F62F6E" w:rsidP="005427FB">
            <w:pPr>
              <w:pStyle w:val="CNV"/>
              <w:widowControl w:val="0"/>
              <w:tabs>
                <w:tab w:val="left" w:pos="8910"/>
              </w:tabs>
              <w:jc w:val="center"/>
              <w:rPr>
                <w:rFonts w:ascii="Arial" w:hAnsi="Arial" w:cs="Arial"/>
                <w:b/>
                <w:sz w:val="21"/>
                <w:szCs w:val="21"/>
                <w:lang w:val="es-ES"/>
              </w:rPr>
            </w:pPr>
            <w:r w:rsidRPr="00802FB4">
              <w:rPr>
                <w:rFonts w:ascii="Arial" w:hAnsi="Arial" w:cs="Arial"/>
                <w:b/>
                <w:sz w:val="21"/>
                <w:szCs w:val="21"/>
                <w:lang w:val="es-ES"/>
              </w:rPr>
              <w:t>Porcentaje m</w:t>
            </w:r>
            <w:r w:rsidR="0057071B">
              <w:rPr>
                <w:rFonts w:ascii="Arial" w:hAnsi="Arial" w:cs="Arial"/>
                <w:b/>
                <w:sz w:val="21"/>
                <w:szCs w:val="21"/>
                <w:lang w:val="es-ES"/>
              </w:rPr>
              <w:t>ínimo</w:t>
            </w:r>
          </w:p>
          <w:p w14:paraId="113D5137" w14:textId="510CD126" w:rsidR="00F62F6E" w:rsidRPr="00802FB4" w:rsidDel="005F1E2E" w:rsidRDefault="00F62F6E" w:rsidP="00753FD7">
            <w:pPr>
              <w:pStyle w:val="CNV"/>
              <w:widowControl w:val="0"/>
              <w:tabs>
                <w:tab w:val="left" w:pos="8910"/>
              </w:tabs>
              <w:jc w:val="center"/>
              <w:rPr>
                <w:rFonts w:ascii="Arial" w:hAnsi="Arial" w:cs="Arial"/>
                <w:i/>
                <w:sz w:val="21"/>
                <w:szCs w:val="21"/>
                <w:lang w:val="es-ES"/>
              </w:rPr>
            </w:pPr>
            <w:r w:rsidRPr="00802FB4">
              <w:rPr>
                <w:rFonts w:ascii="Arial" w:hAnsi="Arial" w:cs="Arial"/>
                <w:b/>
                <w:sz w:val="21"/>
                <w:szCs w:val="21"/>
                <w:lang w:val="es-ES"/>
              </w:rPr>
              <w:t>de inversión</w:t>
            </w:r>
          </w:p>
        </w:tc>
        <w:tc>
          <w:tcPr>
            <w:tcW w:w="1841" w:type="dxa"/>
            <w:vAlign w:val="center"/>
          </w:tcPr>
          <w:p w14:paraId="1CC1D0A4" w14:textId="6445AF2E" w:rsidR="00F62F6E" w:rsidRPr="00802FB4" w:rsidRDefault="00F62F6E" w:rsidP="005427FB">
            <w:pPr>
              <w:pStyle w:val="CNV"/>
              <w:widowControl w:val="0"/>
              <w:tabs>
                <w:tab w:val="left" w:pos="8910"/>
              </w:tabs>
              <w:jc w:val="center"/>
              <w:rPr>
                <w:rFonts w:ascii="Arial" w:hAnsi="Arial" w:cs="Arial"/>
                <w:b/>
                <w:sz w:val="21"/>
                <w:szCs w:val="21"/>
                <w:lang w:val="es-ES"/>
              </w:rPr>
            </w:pPr>
            <w:r w:rsidRPr="00802FB4">
              <w:rPr>
                <w:rFonts w:ascii="Arial" w:hAnsi="Arial" w:cs="Arial"/>
                <w:b/>
                <w:sz w:val="21"/>
                <w:szCs w:val="21"/>
                <w:lang w:val="es-ES"/>
              </w:rPr>
              <w:t>Porcentaje m</w:t>
            </w:r>
            <w:r w:rsidR="0057071B">
              <w:rPr>
                <w:rFonts w:ascii="Arial" w:hAnsi="Arial" w:cs="Arial"/>
                <w:b/>
                <w:sz w:val="21"/>
                <w:szCs w:val="21"/>
                <w:lang w:val="es-ES"/>
              </w:rPr>
              <w:t>áximo</w:t>
            </w:r>
          </w:p>
          <w:p w14:paraId="2801987E" w14:textId="526DEC2F" w:rsidR="00F62F6E" w:rsidRPr="00802FB4" w:rsidRDefault="00F62F6E" w:rsidP="005427FB">
            <w:pPr>
              <w:pStyle w:val="CNV"/>
              <w:widowControl w:val="0"/>
              <w:tabs>
                <w:tab w:val="left" w:pos="8910"/>
              </w:tabs>
              <w:jc w:val="center"/>
              <w:rPr>
                <w:rFonts w:ascii="Arial" w:hAnsi="Arial" w:cs="Arial"/>
                <w:sz w:val="21"/>
                <w:szCs w:val="21"/>
                <w:lang w:val="es-ES"/>
              </w:rPr>
            </w:pPr>
            <w:r w:rsidRPr="00802FB4">
              <w:rPr>
                <w:rFonts w:ascii="Arial" w:hAnsi="Arial" w:cs="Arial"/>
                <w:b/>
                <w:sz w:val="21"/>
                <w:szCs w:val="21"/>
                <w:lang w:val="es-ES"/>
              </w:rPr>
              <w:t>de inversión</w:t>
            </w:r>
          </w:p>
        </w:tc>
      </w:tr>
      <w:tr w:rsidR="00F62F6E" w:rsidRPr="00802FB4" w14:paraId="58ADDD10" w14:textId="77777777" w:rsidTr="008159BA">
        <w:trPr>
          <w:trHeight w:val="607"/>
          <w:jc w:val="center"/>
        </w:trPr>
        <w:tc>
          <w:tcPr>
            <w:tcW w:w="2263" w:type="dxa"/>
            <w:vAlign w:val="center"/>
          </w:tcPr>
          <w:p w14:paraId="06BB6787" w14:textId="36E8DD0D" w:rsidR="00F62F6E" w:rsidRPr="00802FB4" w:rsidRDefault="00240FD3"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Moneda de los valores en que está invertido el fondo</w:t>
            </w:r>
          </w:p>
        </w:tc>
        <w:tc>
          <w:tcPr>
            <w:tcW w:w="2825" w:type="dxa"/>
            <w:gridSpan w:val="2"/>
            <w:vAlign w:val="center"/>
          </w:tcPr>
          <w:p w14:paraId="75B4D246" w14:textId="2833FB54" w:rsidR="00F62F6E" w:rsidRPr="00802FB4" w:rsidRDefault="00F62F6E" w:rsidP="00753FD7">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Dólares estadounidenses</w:t>
            </w:r>
          </w:p>
        </w:tc>
        <w:tc>
          <w:tcPr>
            <w:tcW w:w="2280" w:type="dxa"/>
            <w:gridSpan w:val="2"/>
            <w:vAlign w:val="center"/>
          </w:tcPr>
          <w:p w14:paraId="77944DFC" w14:textId="129A361B" w:rsidR="00F62F6E" w:rsidRPr="00802FB4" w:rsidRDefault="00F62F6E" w:rsidP="005427FB">
            <w:pPr>
              <w:pStyle w:val="CNV"/>
              <w:widowControl w:val="0"/>
              <w:tabs>
                <w:tab w:val="left" w:pos="8910"/>
              </w:tabs>
              <w:jc w:val="center"/>
              <w:rPr>
                <w:rFonts w:ascii="Arial" w:hAnsi="Arial" w:cs="Arial"/>
                <w:sz w:val="21"/>
                <w:szCs w:val="21"/>
                <w:lang w:val="es-ES"/>
              </w:rPr>
            </w:pPr>
            <w:r w:rsidRPr="00802FB4">
              <w:rPr>
                <w:rFonts w:ascii="Arial" w:hAnsi="Arial" w:cs="Arial"/>
                <w:sz w:val="21"/>
                <w:szCs w:val="21"/>
                <w:lang w:val="es-ES"/>
              </w:rPr>
              <w:t>100%</w:t>
            </w:r>
          </w:p>
        </w:tc>
        <w:tc>
          <w:tcPr>
            <w:tcW w:w="1841" w:type="dxa"/>
            <w:vAlign w:val="center"/>
          </w:tcPr>
          <w:p w14:paraId="5E7F6761" w14:textId="58BB636A" w:rsidR="00F62F6E" w:rsidRPr="00802FB4" w:rsidRDefault="00367AAB" w:rsidP="005427FB">
            <w:pPr>
              <w:pStyle w:val="CNV"/>
              <w:widowControl w:val="0"/>
              <w:tabs>
                <w:tab w:val="left" w:pos="8910"/>
              </w:tabs>
              <w:jc w:val="center"/>
              <w:rPr>
                <w:rFonts w:ascii="Arial" w:hAnsi="Arial" w:cs="Arial"/>
                <w:sz w:val="21"/>
                <w:szCs w:val="21"/>
                <w:lang w:val="es-ES"/>
              </w:rPr>
            </w:pPr>
            <w:r w:rsidRPr="00753FD7">
              <w:rPr>
                <w:rFonts w:ascii="Arial" w:hAnsi="Arial" w:cs="Arial"/>
                <w:sz w:val="21"/>
                <w:szCs w:val="21"/>
                <w:lang w:val="es-ES"/>
              </w:rPr>
              <w:t>100%</w:t>
            </w:r>
          </w:p>
        </w:tc>
      </w:tr>
      <w:tr w:rsidR="00B82DA6" w:rsidRPr="00802FB4" w14:paraId="796F58D8" w14:textId="77777777" w:rsidTr="008159BA">
        <w:trPr>
          <w:trHeight w:val="607"/>
          <w:jc w:val="center"/>
        </w:trPr>
        <w:tc>
          <w:tcPr>
            <w:tcW w:w="2263" w:type="dxa"/>
            <w:tcBorders>
              <w:bottom w:val="single" w:sz="6" w:space="0" w:color="auto"/>
            </w:tcBorders>
            <w:vAlign w:val="center"/>
          </w:tcPr>
          <w:p w14:paraId="78456779" w14:textId="6FB2CDE4" w:rsidR="00B82DA6" w:rsidRPr="00802FB4" w:rsidRDefault="00B82DA6" w:rsidP="00B82DA6">
            <w:pPr>
              <w:pStyle w:val="CNV"/>
              <w:widowControl w:val="0"/>
              <w:tabs>
                <w:tab w:val="left" w:pos="8910"/>
              </w:tabs>
              <w:jc w:val="left"/>
              <w:rPr>
                <w:rFonts w:ascii="Arial" w:hAnsi="Arial" w:cs="Arial"/>
                <w:b/>
                <w:sz w:val="21"/>
                <w:szCs w:val="21"/>
                <w:lang w:val="es-ES"/>
              </w:rPr>
            </w:pPr>
            <w:r>
              <w:rPr>
                <w:rFonts w:ascii="Arial" w:hAnsi="Arial" w:cs="Arial"/>
                <w:b/>
                <w:sz w:val="21"/>
                <w:szCs w:val="21"/>
                <w:lang w:val="es-CR"/>
              </w:rPr>
              <w:t>G</w:t>
            </w:r>
            <w:r w:rsidRPr="008C2AF2">
              <w:rPr>
                <w:rFonts w:ascii="Arial" w:hAnsi="Arial" w:cs="Arial"/>
                <w:b/>
                <w:sz w:val="21"/>
                <w:szCs w:val="21"/>
                <w:lang w:val="es-CR"/>
              </w:rPr>
              <w:t>estión de inversiones sostenibles o responsables</w:t>
            </w:r>
          </w:p>
        </w:tc>
        <w:tc>
          <w:tcPr>
            <w:tcW w:w="6946" w:type="dxa"/>
            <w:gridSpan w:val="5"/>
            <w:vAlign w:val="center"/>
          </w:tcPr>
          <w:p w14:paraId="3095AF35" w14:textId="010987D5" w:rsidR="00B82DA6" w:rsidRPr="00753FD7" w:rsidRDefault="00B82DA6" w:rsidP="00B82DA6">
            <w:pPr>
              <w:pStyle w:val="CNV"/>
              <w:widowControl w:val="0"/>
              <w:tabs>
                <w:tab w:val="left" w:pos="8910"/>
              </w:tabs>
              <w:jc w:val="center"/>
              <w:rPr>
                <w:rFonts w:ascii="Arial" w:hAnsi="Arial" w:cs="Arial"/>
                <w:sz w:val="21"/>
                <w:szCs w:val="21"/>
                <w:lang w:val="es-ES"/>
              </w:rPr>
            </w:pPr>
            <w:r w:rsidRPr="000C41BB">
              <w:rPr>
                <w:rFonts w:ascii="Arial" w:hAnsi="Arial" w:cs="Arial"/>
                <w:iCs/>
                <w:sz w:val="21"/>
                <w:szCs w:val="21"/>
                <w:lang w:val="es-CR"/>
              </w:rPr>
              <w:t>No hay políticas ni lineamientos sobre la</w:t>
            </w:r>
            <w:r>
              <w:rPr>
                <w:rFonts w:ascii="Arial" w:hAnsi="Arial" w:cs="Arial"/>
                <w:iCs/>
                <w:sz w:val="21"/>
                <w:szCs w:val="21"/>
                <w:lang w:val="es-CR"/>
              </w:rPr>
              <w:t xml:space="preserve"> </w:t>
            </w:r>
            <w:r w:rsidRPr="000C41BB">
              <w:rPr>
                <w:rFonts w:ascii="Arial" w:hAnsi="Arial" w:cs="Arial"/>
                <w:iCs/>
                <w:sz w:val="21"/>
                <w:szCs w:val="21"/>
                <w:lang w:val="es-CR"/>
              </w:rPr>
              <w:t>gestión de inversiones sostenibles o responsables</w:t>
            </w:r>
          </w:p>
        </w:tc>
      </w:tr>
      <w:tr w:rsidR="00B82DA6" w:rsidRPr="00802FB4" w14:paraId="2E49EC42" w14:textId="3EC05F15" w:rsidTr="008159BA">
        <w:trPr>
          <w:trHeight w:val="214"/>
          <w:jc w:val="center"/>
        </w:trPr>
        <w:tc>
          <w:tcPr>
            <w:tcW w:w="2263" w:type="dxa"/>
            <w:vMerge w:val="restart"/>
            <w:vAlign w:val="center"/>
          </w:tcPr>
          <w:p w14:paraId="4E2D3631" w14:textId="77777777" w:rsidR="00B82DA6" w:rsidRPr="00802FB4" w:rsidRDefault="00B82DA6" w:rsidP="00B82DA6">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Tipos de valores</w:t>
            </w:r>
          </w:p>
        </w:tc>
        <w:tc>
          <w:tcPr>
            <w:tcW w:w="2825" w:type="dxa"/>
            <w:gridSpan w:val="2"/>
            <w:vAlign w:val="center"/>
          </w:tcPr>
          <w:p w14:paraId="3784D676" w14:textId="6DC98F13" w:rsidR="00B82DA6" w:rsidRPr="00802FB4" w:rsidRDefault="00B82DA6" w:rsidP="00B82DA6">
            <w:pPr>
              <w:pStyle w:val="CNV"/>
              <w:widowControl w:val="0"/>
              <w:tabs>
                <w:tab w:val="left" w:pos="8910"/>
              </w:tabs>
              <w:jc w:val="left"/>
              <w:rPr>
                <w:rFonts w:ascii="Arial" w:hAnsi="Arial" w:cs="Arial"/>
                <w:b/>
                <w:sz w:val="21"/>
                <w:szCs w:val="21"/>
                <w:lang w:val="es-ES"/>
              </w:rPr>
            </w:pPr>
            <w:r w:rsidRPr="00802FB4">
              <w:rPr>
                <w:rFonts w:ascii="Arial" w:hAnsi="Arial" w:cs="Arial"/>
                <w:sz w:val="21"/>
                <w:szCs w:val="21"/>
                <w:lang w:val="es-ES"/>
              </w:rPr>
              <w:t>Efectivo</w:t>
            </w:r>
          </w:p>
        </w:tc>
        <w:tc>
          <w:tcPr>
            <w:tcW w:w="2280" w:type="dxa"/>
            <w:gridSpan w:val="2"/>
            <w:vAlign w:val="center"/>
          </w:tcPr>
          <w:p w14:paraId="4CCB4CB0" w14:textId="7601C036" w:rsidR="00B82DA6" w:rsidRPr="00802FB4" w:rsidRDefault="00B82DA6" w:rsidP="00B82DA6">
            <w:pPr>
              <w:pStyle w:val="CNV"/>
              <w:widowControl w:val="0"/>
              <w:tabs>
                <w:tab w:val="left" w:pos="8910"/>
              </w:tabs>
              <w:jc w:val="center"/>
              <w:rPr>
                <w:rFonts w:ascii="Arial" w:hAnsi="Arial" w:cs="Arial"/>
                <w:b/>
                <w:sz w:val="21"/>
                <w:szCs w:val="21"/>
                <w:lang w:val="es-ES"/>
              </w:rPr>
            </w:pPr>
            <w:r>
              <w:rPr>
                <w:rFonts w:ascii="Arial" w:hAnsi="Arial" w:cs="Arial"/>
                <w:sz w:val="21"/>
                <w:szCs w:val="21"/>
                <w:lang w:val="es-ES"/>
              </w:rPr>
              <w:t>0%</w:t>
            </w:r>
          </w:p>
        </w:tc>
        <w:tc>
          <w:tcPr>
            <w:tcW w:w="1841" w:type="dxa"/>
            <w:vAlign w:val="center"/>
          </w:tcPr>
          <w:p w14:paraId="750C8516" w14:textId="28230729" w:rsidR="00B82DA6" w:rsidRPr="00802FB4" w:rsidRDefault="00B82DA6" w:rsidP="00B82DA6">
            <w:pPr>
              <w:pStyle w:val="CNV"/>
              <w:widowControl w:val="0"/>
              <w:tabs>
                <w:tab w:val="left" w:pos="8910"/>
              </w:tabs>
              <w:jc w:val="center"/>
              <w:rPr>
                <w:rFonts w:ascii="Arial" w:hAnsi="Arial" w:cs="Arial"/>
                <w:b/>
                <w:sz w:val="21"/>
                <w:szCs w:val="21"/>
                <w:lang w:val="es-ES"/>
              </w:rPr>
            </w:pPr>
            <w:r w:rsidRPr="00753FD7">
              <w:rPr>
                <w:rFonts w:ascii="Arial" w:hAnsi="Arial" w:cs="Arial"/>
                <w:sz w:val="21"/>
                <w:szCs w:val="21"/>
                <w:lang w:val="es-ES"/>
              </w:rPr>
              <w:t>20% del activo total</w:t>
            </w:r>
          </w:p>
        </w:tc>
      </w:tr>
      <w:tr w:rsidR="00B82DA6" w:rsidRPr="00802FB4" w14:paraId="4EE669ED" w14:textId="59D82021" w:rsidTr="008159BA">
        <w:trPr>
          <w:jc w:val="center"/>
        </w:trPr>
        <w:tc>
          <w:tcPr>
            <w:tcW w:w="2263" w:type="dxa"/>
            <w:vMerge/>
            <w:vAlign w:val="center"/>
          </w:tcPr>
          <w:p w14:paraId="1CCD6A2B" w14:textId="77777777" w:rsidR="00B82DA6" w:rsidRPr="00802FB4" w:rsidRDefault="00B82DA6" w:rsidP="00B82DA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0F6EC705" w14:textId="77777777" w:rsidR="00B82DA6" w:rsidRPr="00802FB4" w:rsidRDefault="00B82DA6" w:rsidP="00B82DA6">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 xml:space="preserve">Valores de deuda </w:t>
            </w:r>
          </w:p>
        </w:tc>
        <w:tc>
          <w:tcPr>
            <w:tcW w:w="2280" w:type="dxa"/>
            <w:gridSpan w:val="2"/>
            <w:vAlign w:val="center"/>
          </w:tcPr>
          <w:p w14:paraId="27D5C4AA" w14:textId="7EE0B3C4"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c>
          <w:tcPr>
            <w:tcW w:w="1841" w:type="dxa"/>
          </w:tcPr>
          <w:p w14:paraId="53557C50" w14:textId="0D5D5493" w:rsidR="00B82DA6" w:rsidRPr="00211A07" w:rsidRDefault="00B82DA6" w:rsidP="00B82DA6">
            <w:pPr>
              <w:pStyle w:val="CNV"/>
              <w:widowControl w:val="0"/>
              <w:tabs>
                <w:tab w:val="left" w:pos="8910"/>
              </w:tabs>
              <w:jc w:val="center"/>
              <w:rPr>
                <w:rFonts w:ascii="Arial" w:hAnsi="Arial" w:cs="Arial"/>
                <w:sz w:val="21"/>
                <w:szCs w:val="21"/>
                <w:lang w:val="es-ES"/>
              </w:rPr>
            </w:pPr>
            <w:r w:rsidRPr="00753FD7">
              <w:rPr>
                <w:rFonts w:ascii="Arial" w:hAnsi="Arial" w:cs="Arial"/>
                <w:sz w:val="21"/>
                <w:szCs w:val="21"/>
                <w:lang w:val="es-ES"/>
              </w:rPr>
              <w:t>20% del activo total</w:t>
            </w:r>
          </w:p>
        </w:tc>
      </w:tr>
      <w:tr w:rsidR="00B82DA6" w:rsidRPr="00802FB4" w14:paraId="21ED4B5C" w14:textId="5866E359" w:rsidTr="008159BA">
        <w:trPr>
          <w:jc w:val="center"/>
        </w:trPr>
        <w:tc>
          <w:tcPr>
            <w:tcW w:w="2263" w:type="dxa"/>
            <w:vMerge/>
            <w:vAlign w:val="center"/>
          </w:tcPr>
          <w:p w14:paraId="787A7D77" w14:textId="77777777" w:rsidR="00B82DA6" w:rsidRPr="00802FB4" w:rsidRDefault="00B82DA6" w:rsidP="00B82DA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0E2C2C4E" w14:textId="77777777" w:rsidR="00B82DA6" w:rsidRPr="00802FB4" w:rsidRDefault="00B82DA6" w:rsidP="00B82DA6">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Valores accionarios</w:t>
            </w:r>
          </w:p>
        </w:tc>
        <w:tc>
          <w:tcPr>
            <w:tcW w:w="2280" w:type="dxa"/>
            <w:gridSpan w:val="2"/>
            <w:vAlign w:val="center"/>
          </w:tcPr>
          <w:p w14:paraId="4FAC595E" w14:textId="5082544F"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n/a</w:t>
            </w:r>
          </w:p>
        </w:tc>
        <w:tc>
          <w:tcPr>
            <w:tcW w:w="1841" w:type="dxa"/>
            <w:vAlign w:val="center"/>
          </w:tcPr>
          <w:p w14:paraId="7E2CB7F4" w14:textId="32E92A6D"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r>
      <w:tr w:rsidR="00B82DA6" w:rsidRPr="00802FB4" w14:paraId="5352EE9D" w14:textId="6BB6CC9E" w:rsidTr="008159BA">
        <w:trPr>
          <w:jc w:val="center"/>
        </w:trPr>
        <w:tc>
          <w:tcPr>
            <w:tcW w:w="2263" w:type="dxa"/>
            <w:vMerge/>
            <w:vAlign w:val="center"/>
          </w:tcPr>
          <w:p w14:paraId="2770C497" w14:textId="77777777" w:rsidR="00B82DA6" w:rsidRPr="00802FB4" w:rsidRDefault="00B82DA6" w:rsidP="00B82DA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2C32A93A" w14:textId="77777777" w:rsidR="00B82DA6" w:rsidRPr="00802FB4" w:rsidRDefault="00B82DA6" w:rsidP="00B82DA6">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Participaciones de fondos de inversión</w:t>
            </w:r>
          </w:p>
        </w:tc>
        <w:tc>
          <w:tcPr>
            <w:tcW w:w="2280" w:type="dxa"/>
            <w:gridSpan w:val="2"/>
            <w:vAlign w:val="center"/>
          </w:tcPr>
          <w:p w14:paraId="2E92DDC7" w14:textId="360D5544"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n/a</w:t>
            </w:r>
          </w:p>
        </w:tc>
        <w:tc>
          <w:tcPr>
            <w:tcW w:w="1841" w:type="dxa"/>
            <w:vAlign w:val="center"/>
          </w:tcPr>
          <w:p w14:paraId="5ED4C434" w14:textId="388CD7FD"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r>
      <w:tr w:rsidR="00B82DA6" w:rsidRPr="00802FB4" w14:paraId="2C45EC5B" w14:textId="509356E6" w:rsidTr="008159BA">
        <w:trPr>
          <w:jc w:val="center"/>
        </w:trPr>
        <w:tc>
          <w:tcPr>
            <w:tcW w:w="2263" w:type="dxa"/>
            <w:vMerge/>
            <w:vAlign w:val="center"/>
          </w:tcPr>
          <w:p w14:paraId="2F98D647" w14:textId="77777777" w:rsidR="00B82DA6" w:rsidRPr="00802FB4" w:rsidRDefault="00B82DA6" w:rsidP="00B82DA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15612216" w14:textId="77777777" w:rsidR="00B82DA6" w:rsidRPr="00802FB4" w:rsidRDefault="00B82DA6" w:rsidP="00B82DA6">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Productos estructurados</w:t>
            </w:r>
          </w:p>
        </w:tc>
        <w:tc>
          <w:tcPr>
            <w:tcW w:w="2280" w:type="dxa"/>
            <w:gridSpan w:val="2"/>
            <w:vAlign w:val="center"/>
          </w:tcPr>
          <w:p w14:paraId="4A6553A0" w14:textId="0E46C6ED"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n/a</w:t>
            </w:r>
          </w:p>
        </w:tc>
        <w:tc>
          <w:tcPr>
            <w:tcW w:w="1841" w:type="dxa"/>
            <w:vAlign w:val="center"/>
          </w:tcPr>
          <w:p w14:paraId="3F79990F" w14:textId="4C4A268C"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r>
      <w:tr w:rsidR="00B82DA6" w:rsidRPr="00802FB4" w14:paraId="634B8665" w14:textId="21475ABB" w:rsidTr="008159BA">
        <w:trPr>
          <w:jc w:val="center"/>
        </w:trPr>
        <w:tc>
          <w:tcPr>
            <w:tcW w:w="2263" w:type="dxa"/>
            <w:vMerge/>
            <w:vAlign w:val="center"/>
          </w:tcPr>
          <w:p w14:paraId="118920A0" w14:textId="77777777" w:rsidR="00B82DA6" w:rsidRPr="00802FB4" w:rsidRDefault="00B82DA6" w:rsidP="00B82DA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54B54B21" w14:textId="77777777" w:rsidR="00B82DA6" w:rsidRPr="00802FB4" w:rsidRDefault="00B82DA6" w:rsidP="00B82DA6">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Valores de procesos de titularización</w:t>
            </w:r>
          </w:p>
        </w:tc>
        <w:tc>
          <w:tcPr>
            <w:tcW w:w="2280" w:type="dxa"/>
            <w:gridSpan w:val="2"/>
            <w:vAlign w:val="center"/>
          </w:tcPr>
          <w:p w14:paraId="4A1002E2" w14:textId="53B5A864"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n/a</w:t>
            </w:r>
          </w:p>
        </w:tc>
        <w:tc>
          <w:tcPr>
            <w:tcW w:w="1841" w:type="dxa"/>
            <w:vAlign w:val="center"/>
          </w:tcPr>
          <w:p w14:paraId="497089D4" w14:textId="7B09F4DE" w:rsidR="00B82DA6" w:rsidRPr="00802FB4" w:rsidRDefault="00B82DA6" w:rsidP="00B82DA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r>
      <w:tr w:rsidR="00BC4117" w:rsidRPr="00802FB4" w14:paraId="09BCC694" w14:textId="47DB8F0D" w:rsidTr="008159BA">
        <w:trPr>
          <w:trHeight w:val="1055"/>
          <w:jc w:val="center"/>
        </w:trPr>
        <w:tc>
          <w:tcPr>
            <w:tcW w:w="2263" w:type="dxa"/>
            <w:vMerge w:val="restart"/>
            <w:vAlign w:val="center"/>
          </w:tcPr>
          <w:p w14:paraId="636FB8EA" w14:textId="77777777" w:rsidR="00BC4117" w:rsidRPr="00802FB4" w:rsidRDefault="00BC4117" w:rsidP="00B82DA6">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Países y/o sectores económicos</w:t>
            </w:r>
          </w:p>
        </w:tc>
        <w:tc>
          <w:tcPr>
            <w:tcW w:w="2825" w:type="dxa"/>
            <w:gridSpan w:val="2"/>
            <w:vAlign w:val="center"/>
          </w:tcPr>
          <w:p w14:paraId="0CE26015" w14:textId="77777777" w:rsidR="00BC4117" w:rsidRPr="00802FB4" w:rsidRDefault="00BC4117" w:rsidP="00B82DA6">
            <w:pPr>
              <w:pStyle w:val="CNV"/>
              <w:widowControl w:val="0"/>
              <w:tabs>
                <w:tab w:val="left" w:pos="8910"/>
              </w:tabs>
              <w:jc w:val="left"/>
              <w:rPr>
                <w:rFonts w:ascii="Arial" w:hAnsi="Arial" w:cs="Arial"/>
                <w:bCs/>
                <w:iCs/>
                <w:sz w:val="21"/>
                <w:szCs w:val="21"/>
                <w:lang w:val="es-ES"/>
              </w:rPr>
            </w:pPr>
            <w:r w:rsidRPr="00802FB4">
              <w:rPr>
                <w:rFonts w:ascii="Arial" w:hAnsi="Arial" w:cs="Arial"/>
                <w:bCs/>
                <w:iCs/>
                <w:sz w:val="21"/>
                <w:szCs w:val="21"/>
                <w:lang w:val="es-ES"/>
              </w:rPr>
              <w:t xml:space="preserve">Sector público de Costa Rica </w:t>
            </w:r>
          </w:p>
          <w:p w14:paraId="5015DC3F" w14:textId="638CC611" w:rsidR="00BC4117" w:rsidRPr="00802FB4" w:rsidRDefault="00BC4117" w:rsidP="00B82DA6">
            <w:pPr>
              <w:pStyle w:val="CNV"/>
              <w:widowControl w:val="0"/>
              <w:tabs>
                <w:tab w:val="left" w:pos="8910"/>
              </w:tabs>
              <w:jc w:val="left"/>
              <w:rPr>
                <w:rFonts w:ascii="Arial" w:hAnsi="Arial" w:cs="Arial"/>
                <w:b/>
                <w:sz w:val="21"/>
                <w:szCs w:val="21"/>
                <w:lang w:val="es-ES"/>
              </w:rPr>
            </w:pPr>
            <w:r w:rsidRPr="00802FB4">
              <w:rPr>
                <w:rFonts w:ascii="Arial" w:hAnsi="Arial" w:cs="Arial"/>
                <w:bCs/>
                <w:i/>
                <w:iCs/>
                <w:sz w:val="21"/>
                <w:szCs w:val="21"/>
                <w:lang w:val="es-ES"/>
              </w:rPr>
              <w:t>(deben contar con garantía directa del Estado)</w:t>
            </w:r>
          </w:p>
        </w:tc>
        <w:tc>
          <w:tcPr>
            <w:tcW w:w="2280" w:type="dxa"/>
            <w:gridSpan w:val="2"/>
            <w:tcBorders>
              <w:right w:val="nil"/>
            </w:tcBorders>
            <w:vAlign w:val="center"/>
          </w:tcPr>
          <w:p w14:paraId="7B510758" w14:textId="5C687563" w:rsidR="00BC4117" w:rsidRPr="00802FB4" w:rsidDel="00930197" w:rsidRDefault="00BC4117" w:rsidP="00B82DA6">
            <w:pPr>
              <w:pStyle w:val="CNV"/>
              <w:widowControl w:val="0"/>
              <w:tabs>
                <w:tab w:val="left" w:pos="8910"/>
              </w:tabs>
              <w:jc w:val="center"/>
              <w:rPr>
                <w:rFonts w:ascii="Arial" w:hAnsi="Arial" w:cs="Arial"/>
                <w:b/>
                <w:sz w:val="21"/>
                <w:szCs w:val="21"/>
                <w:lang w:val="es-ES"/>
              </w:rPr>
            </w:pPr>
            <w:r w:rsidRPr="00802FB4">
              <w:rPr>
                <w:rFonts w:ascii="Arial" w:hAnsi="Arial" w:cs="Arial"/>
                <w:sz w:val="21"/>
                <w:szCs w:val="21"/>
                <w:lang w:val="es-ES"/>
              </w:rPr>
              <w:t>0%</w:t>
            </w:r>
          </w:p>
        </w:tc>
        <w:tc>
          <w:tcPr>
            <w:tcW w:w="1841" w:type="dxa"/>
            <w:tcBorders>
              <w:right w:val="single" w:sz="4" w:space="0" w:color="auto"/>
            </w:tcBorders>
            <w:vAlign w:val="center"/>
          </w:tcPr>
          <w:p w14:paraId="4D0BAE1A" w14:textId="47174EB4" w:rsidR="00BC4117" w:rsidRPr="00802FB4" w:rsidRDefault="00BC4117" w:rsidP="00B82DA6">
            <w:pPr>
              <w:pStyle w:val="CNV"/>
              <w:widowControl w:val="0"/>
              <w:tabs>
                <w:tab w:val="left" w:pos="8910"/>
              </w:tabs>
              <w:jc w:val="center"/>
              <w:rPr>
                <w:rFonts w:ascii="Arial" w:hAnsi="Arial" w:cs="Arial"/>
                <w:b/>
                <w:sz w:val="21"/>
                <w:szCs w:val="21"/>
                <w:lang w:val="es-ES"/>
              </w:rPr>
            </w:pPr>
            <w:r w:rsidRPr="0057071B">
              <w:rPr>
                <w:rFonts w:ascii="Arial" w:hAnsi="Arial" w:cs="Arial"/>
                <w:sz w:val="21"/>
                <w:szCs w:val="21"/>
                <w:lang w:val="es-ES"/>
              </w:rPr>
              <w:t>20% del activo total</w:t>
            </w:r>
          </w:p>
        </w:tc>
      </w:tr>
      <w:tr w:rsidR="00BC4117" w:rsidRPr="00802FB4" w14:paraId="12AB38D4" w14:textId="52C2D101" w:rsidTr="008159BA">
        <w:trPr>
          <w:trHeight w:val="137"/>
          <w:jc w:val="center"/>
        </w:trPr>
        <w:tc>
          <w:tcPr>
            <w:tcW w:w="2263" w:type="dxa"/>
            <w:vMerge/>
            <w:vAlign w:val="center"/>
          </w:tcPr>
          <w:p w14:paraId="4BF858B4" w14:textId="77777777" w:rsidR="00BC4117" w:rsidRPr="00802FB4" w:rsidRDefault="00BC4117" w:rsidP="00B82DA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116FCE3B" w14:textId="34BDB6EB" w:rsidR="00BC4117" w:rsidRPr="00802FB4" w:rsidRDefault="00BC4117" w:rsidP="00B82DA6">
            <w:pPr>
              <w:pStyle w:val="CNV"/>
              <w:widowControl w:val="0"/>
              <w:tabs>
                <w:tab w:val="left" w:pos="8910"/>
              </w:tabs>
              <w:jc w:val="left"/>
              <w:rPr>
                <w:rFonts w:ascii="Arial" w:hAnsi="Arial" w:cs="Arial"/>
                <w:bCs/>
                <w:iCs/>
                <w:sz w:val="21"/>
                <w:szCs w:val="21"/>
                <w:lang w:val="es-ES"/>
              </w:rPr>
            </w:pPr>
            <w:r w:rsidRPr="00802FB4">
              <w:rPr>
                <w:rFonts w:ascii="Arial" w:hAnsi="Arial" w:cs="Arial"/>
                <w:bCs/>
                <w:iCs/>
                <w:sz w:val="21"/>
                <w:szCs w:val="21"/>
                <w:lang w:val="es-ES"/>
              </w:rPr>
              <w:t>Sector privado de Costa Rica</w:t>
            </w:r>
            <w:r>
              <w:rPr>
                <w:rFonts w:ascii="Arial" w:hAnsi="Arial" w:cs="Arial"/>
                <w:bCs/>
                <w:iCs/>
                <w:sz w:val="21"/>
                <w:szCs w:val="21"/>
                <w:lang w:val="es-ES"/>
              </w:rPr>
              <w:t>:</w:t>
            </w:r>
          </w:p>
        </w:tc>
        <w:tc>
          <w:tcPr>
            <w:tcW w:w="2280" w:type="dxa"/>
            <w:gridSpan w:val="2"/>
            <w:vAlign w:val="center"/>
          </w:tcPr>
          <w:p w14:paraId="094762F0" w14:textId="68FBD290" w:rsidR="00BC4117" w:rsidRPr="00802FB4" w:rsidRDefault="00BC4117" w:rsidP="00B82DA6">
            <w:pPr>
              <w:pStyle w:val="CNV"/>
              <w:widowControl w:val="0"/>
              <w:tabs>
                <w:tab w:val="left" w:pos="8910"/>
              </w:tabs>
              <w:jc w:val="center"/>
              <w:rPr>
                <w:rFonts w:ascii="Arial" w:hAnsi="Arial" w:cs="Arial"/>
                <w:sz w:val="21"/>
                <w:szCs w:val="21"/>
                <w:lang w:val="es-ES"/>
              </w:rPr>
            </w:pPr>
            <w:r w:rsidRPr="00802FB4">
              <w:rPr>
                <w:rFonts w:ascii="Arial" w:hAnsi="Arial" w:cs="Arial"/>
                <w:sz w:val="21"/>
                <w:szCs w:val="21"/>
                <w:lang w:val="es-ES"/>
              </w:rPr>
              <w:t>0%</w:t>
            </w:r>
          </w:p>
        </w:tc>
        <w:tc>
          <w:tcPr>
            <w:tcW w:w="1841" w:type="dxa"/>
            <w:vAlign w:val="center"/>
          </w:tcPr>
          <w:p w14:paraId="16D900FC" w14:textId="1FC9E004" w:rsidR="00BC4117" w:rsidRPr="00802FB4" w:rsidRDefault="00BC4117" w:rsidP="00B82DA6">
            <w:pPr>
              <w:pStyle w:val="CNV"/>
              <w:widowControl w:val="0"/>
              <w:tabs>
                <w:tab w:val="left" w:pos="8910"/>
              </w:tabs>
              <w:jc w:val="center"/>
              <w:rPr>
                <w:rFonts w:ascii="Arial" w:hAnsi="Arial" w:cs="Arial"/>
                <w:sz w:val="21"/>
                <w:szCs w:val="21"/>
                <w:lang w:val="es-ES"/>
              </w:rPr>
            </w:pPr>
            <w:r w:rsidRPr="0057071B">
              <w:rPr>
                <w:rFonts w:ascii="Arial" w:hAnsi="Arial" w:cs="Arial"/>
                <w:sz w:val="21"/>
                <w:szCs w:val="21"/>
                <w:lang w:val="es-ES"/>
              </w:rPr>
              <w:t>20% del activo total</w:t>
            </w:r>
          </w:p>
        </w:tc>
      </w:tr>
      <w:tr w:rsidR="009B1026" w:rsidRPr="00802FB4" w14:paraId="6C2E2B23" w14:textId="77777777" w:rsidTr="008159BA">
        <w:trPr>
          <w:trHeight w:val="137"/>
          <w:jc w:val="center"/>
        </w:trPr>
        <w:tc>
          <w:tcPr>
            <w:tcW w:w="2263" w:type="dxa"/>
            <w:vMerge/>
            <w:vAlign w:val="center"/>
          </w:tcPr>
          <w:p w14:paraId="03E048E1" w14:textId="77777777" w:rsidR="009B1026" w:rsidRPr="00802FB4" w:rsidRDefault="009B1026" w:rsidP="009B102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4E588A26" w14:textId="0CCC8FEA" w:rsidR="009B1026" w:rsidRPr="00802FB4" w:rsidRDefault="009B1026" w:rsidP="005776D2">
            <w:pPr>
              <w:pStyle w:val="CNV"/>
              <w:widowControl w:val="0"/>
              <w:numPr>
                <w:ilvl w:val="0"/>
                <w:numId w:val="43"/>
              </w:numPr>
              <w:tabs>
                <w:tab w:val="left" w:pos="8910"/>
              </w:tabs>
              <w:jc w:val="left"/>
              <w:rPr>
                <w:rFonts w:ascii="Arial" w:hAnsi="Arial" w:cs="Arial"/>
                <w:bCs/>
                <w:iCs/>
                <w:sz w:val="21"/>
                <w:szCs w:val="21"/>
                <w:lang w:val="es-ES"/>
              </w:rPr>
            </w:pPr>
            <w:r>
              <w:rPr>
                <w:rFonts w:ascii="Arial" w:hAnsi="Arial" w:cs="Arial"/>
                <w:bCs/>
                <w:iCs/>
                <w:sz w:val="21"/>
                <w:szCs w:val="21"/>
                <w:lang w:val="es-ES"/>
              </w:rPr>
              <w:t>Industria</w:t>
            </w:r>
          </w:p>
        </w:tc>
        <w:tc>
          <w:tcPr>
            <w:tcW w:w="2280" w:type="dxa"/>
            <w:gridSpan w:val="2"/>
            <w:vAlign w:val="center"/>
          </w:tcPr>
          <w:p w14:paraId="35B8A64D" w14:textId="28BD3CBE" w:rsidR="009B1026" w:rsidRPr="00802FB4" w:rsidRDefault="009B1026"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c>
          <w:tcPr>
            <w:tcW w:w="1841" w:type="dxa"/>
            <w:vAlign w:val="center"/>
          </w:tcPr>
          <w:p w14:paraId="07D0B14A" w14:textId="7ED00AA1" w:rsidR="009B1026" w:rsidRPr="0057071B" w:rsidRDefault="009B1026"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20%</w:t>
            </w:r>
          </w:p>
        </w:tc>
      </w:tr>
      <w:tr w:rsidR="009B1026" w:rsidRPr="00802FB4" w14:paraId="6819117D" w14:textId="77777777" w:rsidTr="008159BA">
        <w:trPr>
          <w:trHeight w:val="137"/>
          <w:jc w:val="center"/>
        </w:trPr>
        <w:tc>
          <w:tcPr>
            <w:tcW w:w="2263" w:type="dxa"/>
            <w:vMerge/>
            <w:vAlign w:val="center"/>
          </w:tcPr>
          <w:p w14:paraId="3624EAFA" w14:textId="77777777" w:rsidR="009B1026" w:rsidRPr="00802FB4" w:rsidRDefault="009B1026" w:rsidP="009B102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41574CF7" w14:textId="17A542EB" w:rsidR="009B1026" w:rsidRPr="00802FB4" w:rsidRDefault="009B1026" w:rsidP="005776D2">
            <w:pPr>
              <w:pStyle w:val="CNV"/>
              <w:widowControl w:val="0"/>
              <w:numPr>
                <w:ilvl w:val="0"/>
                <w:numId w:val="42"/>
              </w:numPr>
              <w:tabs>
                <w:tab w:val="left" w:pos="8910"/>
              </w:tabs>
              <w:jc w:val="left"/>
              <w:rPr>
                <w:rFonts w:ascii="Arial" w:hAnsi="Arial" w:cs="Arial"/>
                <w:bCs/>
                <w:iCs/>
                <w:sz w:val="21"/>
                <w:szCs w:val="21"/>
                <w:lang w:val="es-ES"/>
              </w:rPr>
            </w:pPr>
            <w:r>
              <w:rPr>
                <w:rFonts w:ascii="Arial" w:hAnsi="Arial" w:cs="Arial"/>
                <w:bCs/>
                <w:iCs/>
                <w:sz w:val="21"/>
                <w:szCs w:val="21"/>
                <w:lang w:val="es-ES"/>
              </w:rPr>
              <w:t>Comercio</w:t>
            </w:r>
          </w:p>
        </w:tc>
        <w:tc>
          <w:tcPr>
            <w:tcW w:w="2280" w:type="dxa"/>
            <w:gridSpan w:val="2"/>
            <w:vAlign w:val="center"/>
          </w:tcPr>
          <w:p w14:paraId="4D3078E5" w14:textId="7422E0F5" w:rsidR="009B1026" w:rsidRPr="00802FB4" w:rsidRDefault="009B1026"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c>
          <w:tcPr>
            <w:tcW w:w="1841" w:type="dxa"/>
            <w:vAlign w:val="center"/>
          </w:tcPr>
          <w:p w14:paraId="579AC8E0" w14:textId="39A29011" w:rsidR="009B1026" w:rsidRPr="0057071B" w:rsidRDefault="009B1026"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20%</w:t>
            </w:r>
          </w:p>
        </w:tc>
      </w:tr>
      <w:tr w:rsidR="009B1026" w:rsidRPr="00802FB4" w14:paraId="0232A6A4" w14:textId="77777777" w:rsidTr="008159BA">
        <w:trPr>
          <w:trHeight w:val="137"/>
          <w:jc w:val="center"/>
        </w:trPr>
        <w:tc>
          <w:tcPr>
            <w:tcW w:w="2263" w:type="dxa"/>
            <w:vMerge/>
            <w:vAlign w:val="center"/>
          </w:tcPr>
          <w:p w14:paraId="4E3B3FFA" w14:textId="77777777" w:rsidR="009B1026" w:rsidRPr="00802FB4" w:rsidRDefault="009B1026" w:rsidP="009B102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52122A98" w14:textId="7C27F21F" w:rsidR="009B1026" w:rsidRPr="00802FB4" w:rsidRDefault="009B1026" w:rsidP="005776D2">
            <w:pPr>
              <w:pStyle w:val="CNV"/>
              <w:widowControl w:val="0"/>
              <w:numPr>
                <w:ilvl w:val="0"/>
                <w:numId w:val="42"/>
              </w:numPr>
              <w:tabs>
                <w:tab w:val="left" w:pos="8910"/>
              </w:tabs>
              <w:jc w:val="left"/>
              <w:rPr>
                <w:rFonts w:ascii="Arial" w:hAnsi="Arial" w:cs="Arial"/>
                <w:bCs/>
                <w:iCs/>
                <w:sz w:val="21"/>
                <w:szCs w:val="21"/>
                <w:lang w:val="es-ES"/>
              </w:rPr>
            </w:pPr>
            <w:r>
              <w:rPr>
                <w:rFonts w:ascii="Arial" w:hAnsi="Arial" w:cs="Arial"/>
                <w:bCs/>
                <w:iCs/>
                <w:sz w:val="21"/>
                <w:szCs w:val="21"/>
                <w:lang w:val="es-ES"/>
              </w:rPr>
              <w:t>Energía</w:t>
            </w:r>
          </w:p>
        </w:tc>
        <w:tc>
          <w:tcPr>
            <w:tcW w:w="2280" w:type="dxa"/>
            <w:gridSpan w:val="2"/>
            <w:vAlign w:val="center"/>
          </w:tcPr>
          <w:p w14:paraId="1DF8E72E" w14:textId="2380874D" w:rsidR="009B1026" w:rsidRPr="00802FB4" w:rsidRDefault="009B1026"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c>
          <w:tcPr>
            <w:tcW w:w="1841" w:type="dxa"/>
            <w:vAlign w:val="center"/>
          </w:tcPr>
          <w:p w14:paraId="70C9A101" w14:textId="14D34827" w:rsidR="009B1026" w:rsidRPr="0057071B" w:rsidRDefault="009B1026"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20%</w:t>
            </w:r>
          </w:p>
        </w:tc>
      </w:tr>
      <w:tr w:rsidR="009B1026" w:rsidRPr="00802FB4" w14:paraId="71739B76" w14:textId="77777777" w:rsidTr="008159BA">
        <w:trPr>
          <w:trHeight w:val="137"/>
          <w:jc w:val="center"/>
        </w:trPr>
        <w:tc>
          <w:tcPr>
            <w:tcW w:w="2263" w:type="dxa"/>
            <w:vMerge/>
            <w:vAlign w:val="center"/>
          </w:tcPr>
          <w:p w14:paraId="70F5E17E" w14:textId="77777777" w:rsidR="009B1026" w:rsidRPr="00802FB4" w:rsidRDefault="009B1026" w:rsidP="009B1026">
            <w:pPr>
              <w:pStyle w:val="CNV"/>
              <w:widowControl w:val="0"/>
              <w:tabs>
                <w:tab w:val="left" w:pos="8910"/>
              </w:tabs>
              <w:jc w:val="left"/>
              <w:rPr>
                <w:rFonts w:ascii="Arial" w:hAnsi="Arial" w:cs="Arial"/>
                <w:b/>
                <w:sz w:val="21"/>
                <w:szCs w:val="21"/>
                <w:lang w:val="es-ES"/>
              </w:rPr>
            </w:pPr>
          </w:p>
        </w:tc>
        <w:tc>
          <w:tcPr>
            <w:tcW w:w="2825" w:type="dxa"/>
            <w:gridSpan w:val="2"/>
            <w:vAlign w:val="center"/>
          </w:tcPr>
          <w:p w14:paraId="23D89982" w14:textId="06595F8C" w:rsidR="009B1026" w:rsidRPr="00802FB4" w:rsidRDefault="009B1026" w:rsidP="005776D2">
            <w:pPr>
              <w:pStyle w:val="CNV"/>
              <w:widowControl w:val="0"/>
              <w:numPr>
                <w:ilvl w:val="0"/>
                <w:numId w:val="42"/>
              </w:numPr>
              <w:tabs>
                <w:tab w:val="left" w:pos="8910"/>
              </w:tabs>
              <w:jc w:val="left"/>
              <w:rPr>
                <w:rFonts w:ascii="Arial" w:hAnsi="Arial" w:cs="Arial"/>
                <w:bCs/>
                <w:iCs/>
                <w:sz w:val="21"/>
                <w:szCs w:val="21"/>
                <w:lang w:val="es-ES"/>
              </w:rPr>
            </w:pPr>
            <w:r>
              <w:rPr>
                <w:rFonts w:ascii="Arial" w:hAnsi="Arial" w:cs="Arial"/>
                <w:bCs/>
                <w:iCs/>
                <w:sz w:val="21"/>
                <w:szCs w:val="21"/>
                <w:lang w:val="es-ES"/>
              </w:rPr>
              <w:t>Financiero</w:t>
            </w:r>
          </w:p>
        </w:tc>
        <w:tc>
          <w:tcPr>
            <w:tcW w:w="2280" w:type="dxa"/>
            <w:gridSpan w:val="2"/>
            <w:vAlign w:val="center"/>
          </w:tcPr>
          <w:p w14:paraId="4785D815" w14:textId="58F8F10B" w:rsidR="009B1026" w:rsidRPr="00802FB4" w:rsidRDefault="009B1026"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0%</w:t>
            </w:r>
          </w:p>
        </w:tc>
        <w:tc>
          <w:tcPr>
            <w:tcW w:w="1841" w:type="dxa"/>
            <w:vAlign w:val="center"/>
          </w:tcPr>
          <w:p w14:paraId="74BF7EE2" w14:textId="6BB75277" w:rsidR="009B1026" w:rsidRPr="0057071B" w:rsidRDefault="009B1026"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20%</w:t>
            </w:r>
          </w:p>
        </w:tc>
      </w:tr>
      <w:tr w:rsidR="00872543" w:rsidRPr="00802FB4" w14:paraId="273789B9" w14:textId="77777777" w:rsidTr="008159BA">
        <w:trPr>
          <w:trHeight w:val="860"/>
          <w:jc w:val="center"/>
        </w:trPr>
        <w:tc>
          <w:tcPr>
            <w:tcW w:w="2263" w:type="dxa"/>
            <w:vMerge w:val="restart"/>
            <w:tcBorders>
              <w:right w:val="single" w:sz="4" w:space="0" w:color="auto"/>
            </w:tcBorders>
            <w:vAlign w:val="center"/>
          </w:tcPr>
          <w:p w14:paraId="048CEB9E" w14:textId="3E19143B" w:rsidR="00872543" w:rsidRPr="00E52E5A" w:rsidDel="000774FF" w:rsidRDefault="00872543" w:rsidP="009B1026">
            <w:pPr>
              <w:pStyle w:val="CNV"/>
              <w:widowControl w:val="0"/>
              <w:tabs>
                <w:tab w:val="left" w:pos="8910"/>
              </w:tabs>
              <w:jc w:val="center"/>
              <w:rPr>
                <w:rFonts w:ascii="Arial" w:hAnsi="Arial" w:cs="Arial"/>
                <w:b/>
                <w:sz w:val="21"/>
                <w:szCs w:val="21"/>
                <w:lang w:val="es-ES"/>
              </w:rPr>
            </w:pPr>
            <w:r>
              <w:rPr>
                <w:rFonts w:ascii="Arial" w:hAnsi="Arial" w:cs="Arial"/>
                <w:b/>
                <w:sz w:val="21"/>
                <w:szCs w:val="21"/>
                <w:lang w:val="es-ES"/>
              </w:rPr>
              <w:t>Condiciones para valores de renta fija</w:t>
            </w:r>
          </w:p>
        </w:tc>
        <w:tc>
          <w:tcPr>
            <w:tcW w:w="2825" w:type="dxa"/>
            <w:gridSpan w:val="2"/>
            <w:tcBorders>
              <w:right w:val="single" w:sz="4" w:space="0" w:color="auto"/>
            </w:tcBorders>
            <w:vAlign w:val="center"/>
          </w:tcPr>
          <w:p w14:paraId="0694FB4E" w14:textId="12B614CF" w:rsidR="00872543" w:rsidDel="000774FF" w:rsidRDefault="00872543" w:rsidP="00E52E5A">
            <w:pPr>
              <w:pStyle w:val="CNV"/>
              <w:widowControl w:val="0"/>
              <w:tabs>
                <w:tab w:val="left" w:pos="8910"/>
              </w:tabs>
              <w:jc w:val="left"/>
              <w:rPr>
                <w:rFonts w:ascii="Arial" w:hAnsi="Arial" w:cs="Arial"/>
                <w:sz w:val="21"/>
                <w:szCs w:val="21"/>
                <w:lang w:val="es-ES"/>
              </w:rPr>
            </w:pPr>
            <w:r w:rsidRPr="00872543">
              <w:rPr>
                <w:rFonts w:ascii="Arial" w:hAnsi="Arial" w:cs="Arial"/>
                <w:b/>
                <w:sz w:val="21"/>
                <w:szCs w:val="21"/>
                <w:lang w:val="es-ES"/>
              </w:rPr>
              <w:t>Duración de la cartera de renta fija en días</w:t>
            </w:r>
          </w:p>
        </w:tc>
        <w:tc>
          <w:tcPr>
            <w:tcW w:w="2280" w:type="dxa"/>
            <w:gridSpan w:val="2"/>
            <w:tcBorders>
              <w:top w:val="single" w:sz="4" w:space="0" w:color="auto"/>
              <w:left w:val="single" w:sz="4" w:space="0" w:color="auto"/>
              <w:right w:val="single" w:sz="4" w:space="0" w:color="auto"/>
            </w:tcBorders>
            <w:vAlign w:val="center"/>
          </w:tcPr>
          <w:p w14:paraId="1C799B5B" w14:textId="6E4043D9" w:rsidR="00872543" w:rsidDel="0012251F" w:rsidRDefault="00872543"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1</w:t>
            </w:r>
          </w:p>
        </w:tc>
        <w:tc>
          <w:tcPr>
            <w:tcW w:w="1841" w:type="dxa"/>
            <w:tcBorders>
              <w:top w:val="single" w:sz="4" w:space="0" w:color="auto"/>
              <w:left w:val="single" w:sz="4" w:space="0" w:color="auto"/>
            </w:tcBorders>
            <w:vAlign w:val="center"/>
          </w:tcPr>
          <w:p w14:paraId="0049B87F" w14:textId="4B3396D9" w:rsidR="00872543" w:rsidRDefault="00872543"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7</w:t>
            </w:r>
            <w:r w:rsidR="00580872">
              <w:rPr>
                <w:rFonts w:ascii="Arial" w:hAnsi="Arial" w:cs="Arial"/>
                <w:sz w:val="21"/>
                <w:szCs w:val="21"/>
                <w:lang w:val="es-ES"/>
              </w:rPr>
              <w:t>.</w:t>
            </w:r>
            <w:r>
              <w:rPr>
                <w:rFonts w:ascii="Arial" w:hAnsi="Arial" w:cs="Arial"/>
                <w:sz w:val="21"/>
                <w:szCs w:val="21"/>
                <w:lang w:val="es-ES"/>
              </w:rPr>
              <w:t>300</w:t>
            </w:r>
          </w:p>
        </w:tc>
      </w:tr>
      <w:tr w:rsidR="00ED751D" w:rsidRPr="00802FB4" w14:paraId="5A6E5500" w14:textId="77777777" w:rsidTr="008159BA">
        <w:trPr>
          <w:trHeight w:val="860"/>
          <w:jc w:val="center"/>
        </w:trPr>
        <w:tc>
          <w:tcPr>
            <w:tcW w:w="2263" w:type="dxa"/>
            <w:vMerge/>
            <w:tcBorders>
              <w:right w:val="single" w:sz="4" w:space="0" w:color="auto"/>
            </w:tcBorders>
            <w:vAlign w:val="center"/>
          </w:tcPr>
          <w:p w14:paraId="6855F705" w14:textId="73924E3B" w:rsidR="00ED751D" w:rsidDel="0012251F" w:rsidRDefault="00ED751D" w:rsidP="009B1026">
            <w:pPr>
              <w:pStyle w:val="CNV"/>
              <w:widowControl w:val="0"/>
              <w:tabs>
                <w:tab w:val="left" w:pos="8910"/>
              </w:tabs>
              <w:jc w:val="center"/>
              <w:rPr>
                <w:rFonts w:ascii="Arial" w:hAnsi="Arial" w:cs="Arial"/>
                <w:sz w:val="21"/>
                <w:szCs w:val="21"/>
                <w:lang w:val="es-ES"/>
              </w:rPr>
            </w:pPr>
          </w:p>
        </w:tc>
        <w:tc>
          <w:tcPr>
            <w:tcW w:w="2819" w:type="dxa"/>
            <w:tcBorders>
              <w:right w:val="single" w:sz="4" w:space="0" w:color="FFFFFF" w:themeColor="background1"/>
            </w:tcBorders>
            <w:vAlign w:val="center"/>
          </w:tcPr>
          <w:p w14:paraId="27969269" w14:textId="08DE636C" w:rsidR="00ED751D" w:rsidDel="0012251F" w:rsidRDefault="00ED751D" w:rsidP="00E52E5A">
            <w:pPr>
              <w:pStyle w:val="CNV"/>
              <w:widowControl w:val="0"/>
              <w:tabs>
                <w:tab w:val="left" w:pos="8910"/>
              </w:tabs>
              <w:jc w:val="left"/>
              <w:rPr>
                <w:rFonts w:ascii="Arial" w:hAnsi="Arial" w:cs="Arial"/>
                <w:sz w:val="21"/>
                <w:szCs w:val="21"/>
                <w:lang w:val="es-ES"/>
              </w:rPr>
            </w:pPr>
            <w:r w:rsidRPr="00872543">
              <w:rPr>
                <w:rFonts w:ascii="Arial" w:hAnsi="Arial" w:cs="Arial"/>
                <w:b/>
                <w:sz w:val="21"/>
                <w:szCs w:val="21"/>
                <w:lang w:val="es-ES"/>
              </w:rPr>
              <w:t>Duración de la cartera de renta fija en promedio días</w:t>
            </w:r>
          </w:p>
        </w:tc>
        <w:tc>
          <w:tcPr>
            <w:tcW w:w="2286" w:type="dxa"/>
            <w:gridSpan w:val="3"/>
            <w:tcBorders>
              <w:left w:val="single" w:sz="4" w:space="0" w:color="FFFFFF" w:themeColor="background1"/>
              <w:right w:val="single" w:sz="4" w:space="0" w:color="auto"/>
            </w:tcBorders>
            <w:vAlign w:val="center"/>
          </w:tcPr>
          <w:p w14:paraId="2E04C965" w14:textId="77777777" w:rsidR="00ED751D" w:rsidDel="0012251F" w:rsidRDefault="00ED751D" w:rsidP="00967AD3">
            <w:pPr>
              <w:pStyle w:val="CNV"/>
              <w:widowControl w:val="0"/>
              <w:tabs>
                <w:tab w:val="left" w:pos="8910"/>
              </w:tabs>
              <w:jc w:val="left"/>
              <w:rPr>
                <w:rFonts w:ascii="Arial" w:hAnsi="Arial" w:cs="Arial"/>
                <w:sz w:val="21"/>
                <w:szCs w:val="21"/>
                <w:lang w:val="es-ES"/>
              </w:rPr>
            </w:pPr>
          </w:p>
        </w:tc>
        <w:tc>
          <w:tcPr>
            <w:tcW w:w="1841" w:type="dxa"/>
            <w:tcBorders>
              <w:top w:val="single" w:sz="4" w:space="0" w:color="auto"/>
              <w:left w:val="single" w:sz="4" w:space="0" w:color="auto"/>
            </w:tcBorders>
            <w:vAlign w:val="center"/>
          </w:tcPr>
          <w:p w14:paraId="567B7CC4" w14:textId="15886E86" w:rsidR="00ED751D" w:rsidRDefault="00ED751D" w:rsidP="009B1026">
            <w:pPr>
              <w:pStyle w:val="CNV"/>
              <w:widowControl w:val="0"/>
              <w:tabs>
                <w:tab w:val="left" w:pos="8910"/>
              </w:tabs>
              <w:jc w:val="center"/>
              <w:rPr>
                <w:rFonts w:ascii="Arial" w:hAnsi="Arial" w:cs="Arial"/>
                <w:sz w:val="21"/>
                <w:szCs w:val="21"/>
                <w:lang w:val="es-ES"/>
              </w:rPr>
            </w:pPr>
            <w:r>
              <w:rPr>
                <w:rFonts w:ascii="Arial" w:hAnsi="Arial" w:cs="Arial"/>
                <w:sz w:val="21"/>
                <w:szCs w:val="21"/>
                <w:lang w:val="es-ES"/>
              </w:rPr>
              <w:t>4.380</w:t>
            </w:r>
          </w:p>
        </w:tc>
      </w:tr>
      <w:tr w:rsidR="009B1026" w:rsidRPr="00802FB4" w14:paraId="082EE2E3" w14:textId="1A493326" w:rsidTr="008159BA">
        <w:trPr>
          <w:trHeight w:val="467"/>
          <w:jc w:val="center"/>
        </w:trPr>
        <w:tc>
          <w:tcPr>
            <w:tcW w:w="2263" w:type="dxa"/>
            <w:vAlign w:val="center"/>
          </w:tcPr>
          <w:p w14:paraId="4DAFD3DD" w14:textId="77777777" w:rsidR="009B1026" w:rsidRPr="00802FB4" w:rsidRDefault="009B1026" w:rsidP="009B1026">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Concentración máxima en un solo emisor</w:t>
            </w:r>
          </w:p>
        </w:tc>
        <w:tc>
          <w:tcPr>
            <w:tcW w:w="6946" w:type="dxa"/>
            <w:gridSpan w:val="5"/>
            <w:vAlign w:val="center"/>
          </w:tcPr>
          <w:p w14:paraId="053BFB92" w14:textId="0981DE10" w:rsidR="009B1026" w:rsidRPr="00802FB4" w:rsidRDefault="009B1026" w:rsidP="009B1026">
            <w:pPr>
              <w:pStyle w:val="CNV"/>
              <w:widowControl w:val="0"/>
              <w:tabs>
                <w:tab w:val="left" w:pos="8910"/>
              </w:tabs>
              <w:jc w:val="center"/>
              <w:rPr>
                <w:rFonts w:ascii="Arial" w:hAnsi="Arial" w:cs="Arial"/>
                <w:sz w:val="21"/>
                <w:szCs w:val="21"/>
                <w:lang w:val="es-ES"/>
              </w:rPr>
            </w:pPr>
            <w:r w:rsidRPr="00802FB4">
              <w:rPr>
                <w:rFonts w:ascii="Arial" w:hAnsi="Arial" w:cs="Arial"/>
                <w:sz w:val="21"/>
                <w:szCs w:val="21"/>
                <w:lang w:val="es-ES"/>
              </w:rPr>
              <w:t xml:space="preserve">15% </w:t>
            </w:r>
            <w:r w:rsidRPr="00802FB4">
              <w:rPr>
                <w:rFonts w:ascii="Arial" w:hAnsi="Arial" w:cs="Arial"/>
                <w:bCs/>
                <w:iCs/>
                <w:sz w:val="21"/>
                <w:szCs w:val="21"/>
                <w:lang w:val="es-ES"/>
              </w:rPr>
              <w:t>del activo total</w:t>
            </w:r>
          </w:p>
        </w:tc>
      </w:tr>
      <w:tr w:rsidR="009B1026" w:rsidRPr="00802FB4" w14:paraId="26B63E05" w14:textId="01190260" w:rsidTr="008159BA">
        <w:trPr>
          <w:jc w:val="center"/>
        </w:trPr>
        <w:tc>
          <w:tcPr>
            <w:tcW w:w="2263" w:type="dxa"/>
            <w:tcBorders>
              <w:bottom w:val="single" w:sz="4" w:space="0" w:color="auto"/>
            </w:tcBorders>
            <w:vAlign w:val="center"/>
          </w:tcPr>
          <w:p w14:paraId="09C2D757" w14:textId="1CB197B0" w:rsidR="009B1026" w:rsidRPr="00802FB4" w:rsidRDefault="009B1026" w:rsidP="009B1026">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lastRenderedPageBreak/>
              <w:t>Concentración máxima en operaciones de reporto, posición vendedor a plazo</w:t>
            </w:r>
          </w:p>
        </w:tc>
        <w:tc>
          <w:tcPr>
            <w:tcW w:w="2825" w:type="dxa"/>
            <w:gridSpan w:val="2"/>
            <w:tcBorders>
              <w:bottom w:val="single" w:sz="4" w:space="0" w:color="auto"/>
            </w:tcBorders>
            <w:vAlign w:val="center"/>
          </w:tcPr>
          <w:p w14:paraId="12CBD2EA" w14:textId="77777777" w:rsidR="009B1026" w:rsidRPr="00802FB4" w:rsidRDefault="009B1026" w:rsidP="009B1026">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15% del total de activos</w:t>
            </w:r>
          </w:p>
        </w:tc>
        <w:tc>
          <w:tcPr>
            <w:tcW w:w="1687" w:type="dxa"/>
            <w:tcBorders>
              <w:bottom w:val="single" w:sz="4" w:space="0" w:color="auto"/>
            </w:tcBorders>
            <w:vAlign w:val="center"/>
          </w:tcPr>
          <w:p w14:paraId="3067183A" w14:textId="77777777" w:rsidR="009B1026" w:rsidRPr="00802FB4" w:rsidRDefault="009B1026" w:rsidP="009B1026">
            <w:pPr>
              <w:pStyle w:val="CNV"/>
              <w:widowControl w:val="0"/>
              <w:tabs>
                <w:tab w:val="left" w:pos="8910"/>
              </w:tabs>
              <w:jc w:val="left"/>
              <w:rPr>
                <w:rFonts w:ascii="Arial" w:hAnsi="Arial" w:cs="Arial"/>
                <w:b/>
                <w:sz w:val="21"/>
                <w:szCs w:val="21"/>
                <w:highlight w:val="green"/>
                <w:lang w:val="es-ES"/>
              </w:rPr>
            </w:pPr>
            <w:r w:rsidRPr="00802FB4">
              <w:rPr>
                <w:rFonts w:ascii="Arial" w:hAnsi="Arial" w:cs="Arial"/>
                <w:b/>
                <w:sz w:val="21"/>
                <w:szCs w:val="21"/>
                <w:lang w:val="es-ES"/>
              </w:rPr>
              <w:t>Concentración máxima en valores extranjeros</w:t>
            </w:r>
          </w:p>
        </w:tc>
        <w:tc>
          <w:tcPr>
            <w:tcW w:w="2434" w:type="dxa"/>
            <w:gridSpan w:val="2"/>
            <w:vAlign w:val="center"/>
          </w:tcPr>
          <w:p w14:paraId="377CCCC1" w14:textId="1B75210D" w:rsidR="009B1026" w:rsidRPr="00802FB4" w:rsidRDefault="009B1026" w:rsidP="009B1026">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n/a</w:t>
            </w:r>
          </w:p>
        </w:tc>
      </w:tr>
      <w:tr w:rsidR="009B1026" w:rsidRPr="00802FB4" w14:paraId="5E7348F3" w14:textId="43FA5FD7" w:rsidTr="008159BA">
        <w:trPr>
          <w:jc w:val="center"/>
        </w:trPr>
        <w:tc>
          <w:tcPr>
            <w:tcW w:w="2263" w:type="dxa"/>
            <w:tcBorders>
              <w:top w:val="single" w:sz="4" w:space="0" w:color="auto"/>
            </w:tcBorders>
            <w:vAlign w:val="center"/>
          </w:tcPr>
          <w:p w14:paraId="38761E75" w14:textId="77777777" w:rsidR="009B1026" w:rsidRPr="00802FB4" w:rsidRDefault="009B1026" w:rsidP="009B1026">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Concentración máxima en una emisión</w:t>
            </w:r>
          </w:p>
        </w:tc>
        <w:tc>
          <w:tcPr>
            <w:tcW w:w="2825" w:type="dxa"/>
            <w:gridSpan w:val="2"/>
            <w:tcBorders>
              <w:top w:val="single" w:sz="4" w:space="0" w:color="auto"/>
            </w:tcBorders>
            <w:vAlign w:val="center"/>
          </w:tcPr>
          <w:p w14:paraId="267B43C6" w14:textId="77777777" w:rsidR="009B1026" w:rsidRPr="00802FB4" w:rsidRDefault="009B1026" w:rsidP="009B1026">
            <w:pPr>
              <w:pStyle w:val="CNV"/>
              <w:widowControl w:val="0"/>
              <w:tabs>
                <w:tab w:val="left" w:pos="8910"/>
              </w:tabs>
              <w:jc w:val="left"/>
              <w:rPr>
                <w:rFonts w:ascii="Arial" w:hAnsi="Arial" w:cs="Arial"/>
                <w:sz w:val="21"/>
                <w:szCs w:val="21"/>
                <w:lang w:val="es-ES"/>
              </w:rPr>
            </w:pPr>
            <w:r w:rsidRPr="00802FB4">
              <w:rPr>
                <w:rFonts w:ascii="Arial" w:hAnsi="Arial" w:cs="Arial"/>
                <w:sz w:val="21"/>
                <w:szCs w:val="21"/>
                <w:lang w:val="es-ES"/>
              </w:rPr>
              <w:t xml:space="preserve">15% </w:t>
            </w:r>
            <w:r w:rsidRPr="00802FB4">
              <w:rPr>
                <w:rFonts w:ascii="Arial" w:hAnsi="Arial" w:cs="Arial"/>
                <w:bCs/>
                <w:iCs/>
                <w:sz w:val="21"/>
                <w:szCs w:val="21"/>
                <w:lang w:val="es-ES"/>
              </w:rPr>
              <w:t>del activo total</w:t>
            </w:r>
          </w:p>
        </w:tc>
        <w:tc>
          <w:tcPr>
            <w:tcW w:w="1687" w:type="dxa"/>
            <w:tcBorders>
              <w:top w:val="single" w:sz="4" w:space="0" w:color="auto"/>
            </w:tcBorders>
            <w:vAlign w:val="center"/>
          </w:tcPr>
          <w:p w14:paraId="61E3D187" w14:textId="77777777" w:rsidR="009B1026" w:rsidRPr="00802FB4" w:rsidRDefault="009B1026" w:rsidP="009B1026">
            <w:pPr>
              <w:pStyle w:val="CNV"/>
              <w:widowControl w:val="0"/>
              <w:tabs>
                <w:tab w:val="left" w:pos="8910"/>
              </w:tabs>
              <w:jc w:val="left"/>
              <w:rPr>
                <w:rFonts w:ascii="Arial" w:hAnsi="Arial" w:cs="Arial"/>
                <w:b/>
                <w:sz w:val="21"/>
                <w:szCs w:val="21"/>
                <w:highlight w:val="green"/>
                <w:lang w:val="es-ES"/>
              </w:rPr>
            </w:pPr>
            <w:r w:rsidRPr="00802FB4">
              <w:rPr>
                <w:rFonts w:ascii="Arial" w:hAnsi="Arial" w:cs="Arial"/>
                <w:b/>
                <w:sz w:val="21"/>
                <w:szCs w:val="21"/>
                <w:lang w:val="es-ES"/>
              </w:rPr>
              <w:t>Calificación de riesgo mínima exigida a los valores de deuda</w:t>
            </w:r>
          </w:p>
        </w:tc>
        <w:tc>
          <w:tcPr>
            <w:tcW w:w="2434" w:type="dxa"/>
            <w:gridSpan w:val="2"/>
            <w:tcBorders>
              <w:top w:val="nil"/>
            </w:tcBorders>
            <w:vAlign w:val="center"/>
          </w:tcPr>
          <w:p w14:paraId="773B85BB" w14:textId="180542B7" w:rsidR="009B1026" w:rsidRPr="00802FB4" w:rsidRDefault="009B1026" w:rsidP="009B1026">
            <w:pPr>
              <w:pStyle w:val="CNV"/>
              <w:widowControl w:val="0"/>
              <w:tabs>
                <w:tab w:val="left" w:pos="8910"/>
              </w:tabs>
              <w:jc w:val="left"/>
              <w:rPr>
                <w:rFonts w:ascii="Arial" w:hAnsi="Arial" w:cs="Arial"/>
                <w:bCs/>
                <w:iCs/>
                <w:sz w:val="21"/>
                <w:szCs w:val="21"/>
                <w:lang w:val="es-ES"/>
              </w:rPr>
            </w:pPr>
            <w:r w:rsidRPr="00802FB4">
              <w:rPr>
                <w:rFonts w:ascii="Arial" w:hAnsi="Arial" w:cs="Arial"/>
                <w:bCs/>
                <w:iCs/>
                <w:sz w:val="21"/>
                <w:szCs w:val="21"/>
                <w:lang w:val="es-ES"/>
              </w:rPr>
              <w:t xml:space="preserve">Sector costarricense: No hay política para valores </w:t>
            </w:r>
          </w:p>
        </w:tc>
      </w:tr>
      <w:tr w:rsidR="009B1026" w:rsidRPr="00802FB4" w14:paraId="71F06084" w14:textId="34A97B09" w:rsidTr="008159BA">
        <w:trPr>
          <w:trHeight w:val="1967"/>
          <w:jc w:val="center"/>
        </w:trPr>
        <w:tc>
          <w:tcPr>
            <w:tcW w:w="2263" w:type="dxa"/>
            <w:vAlign w:val="center"/>
          </w:tcPr>
          <w:p w14:paraId="07C2751D" w14:textId="77777777" w:rsidR="009B1026" w:rsidRPr="00802FB4" w:rsidRDefault="009B1026" w:rsidP="009B1026">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Otras políticas de inversión</w:t>
            </w:r>
          </w:p>
        </w:tc>
        <w:tc>
          <w:tcPr>
            <w:tcW w:w="6946" w:type="dxa"/>
            <w:gridSpan w:val="5"/>
            <w:vAlign w:val="center"/>
          </w:tcPr>
          <w:p w14:paraId="03338A8B" w14:textId="44BC4900" w:rsidR="009B1026" w:rsidRPr="00802FB4" w:rsidRDefault="009B1026" w:rsidP="009B1026">
            <w:pPr>
              <w:tabs>
                <w:tab w:val="left" w:pos="1160"/>
                <w:tab w:val="left" w:pos="1740"/>
              </w:tabs>
              <w:jc w:val="both"/>
              <w:rPr>
                <w:rFonts w:ascii="Arial" w:hAnsi="Arial" w:cs="Arial"/>
                <w:sz w:val="21"/>
                <w:szCs w:val="21"/>
                <w:lang w:val="es-CR"/>
              </w:rPr>
            </w:pPr>
            <w:r w:rsidRPr="00802FB4">
              <w:rPr>
                <w:rFonts w:ascii="Arial" w:hAnsi="Arial" w:cs="Arial"/>
                <w:sz w:val="21"/>
                <w:szCs w:val="21"/>
                <w:lang w:val="es-CR"/>
              </w:rPr>
              <w:t xml:space="preserve">El fondo podrá montar reportos en posición de comprador y de vendedor a plazo sobre los mismos valores antes mencionados, según los límites </w:t>
            </w:r>
            <w:r w:rsidRPr="00B24078">
              <w:rPr>
                <w:rFonts w:ascii="Arial" w:hAnsi="Arial" w:cs="Arial"/>
                <w:sz w:val="21"/>
                <w:szCs w:val="21"/>
                <w:lang w:val="es-CR"/>
              </w:rPr>
              <w:t>establecidos por el Reglamento</w:t>
            </w:r>
            <w:r w:rsidRPr="00802FB4">
              <w:rPr>
                <w:rFonts w:ascii="Arial" w:hAnsi="Arial" w:cs="Arial"/>
                <w:sz w:val="21"/>
                <w:szCs w:val="21"/>
                <w:lang w:val="es-CR"/>
              </w:rPr>
              <w:t xml:space="preserve"> General sobre Sociedades Administradoras y Fondos de Inversión. </w:t>
            </w:r>
          </w:p>
          <w:p w14:paraId="6B569B22" w14:textId="6A5A722F" w:rsidR="009B1026" w:rsidRDefault="009B1026" w:rsidP="009B1026">
            <w:pPr>
              <w:tabs>
                <w:tab w:val="left" w:pos="1160"/>
                <w:tab w:val="left" w:pos="1740"/>
              </w:tabs>
              <w:spacing w:before="240"/>
              <w:jc w:val="both"/>
              <w:rPr>
                <w:rFonts w:ascii="Arial" w:hAnsi="Arial" w:cs="Arial"/>
                <w:sz w:val="21"/>
                <w:szCs w:val="21"/>
                <w:lang w:val="es-CR"/>
              </w:rPr>
            </w:pPr>
            <w:r w:rsidRPr="00802FB4">
              <w:rPr>
                <w:rFonts w:ascii="Arial" w:hAnsi="Arial" w:cs="Arial"/>
                <w:sz w:val="21"/>
                <w:szCs w:val="21"/>
                <w:lang w:val="es-CR"/>
              </w:rPr>
              <w:t>El fondo no podrá tener más del 15% de su activo invertido en valores emitidos o avalados por entidades pertenecientes a un mismo grupo financiero o económico. Dicha limitación será de un 10% del activo cuando se trate de entidades pertenecientes al grupo financiero o económico de la sociedad administradora</w:t>
            </w:r>
            <w:r>
              <w:rPr>
                <w:rFonts w:ascii="Arial" w:hAnsi="Arial" w:cs="Arial"/>
                <w:sz w:val="21"/>
                <w:szCs w:val="21"/>
                <w:lang w:val="es-CR"/>
              </w:rPr>
              <w:t xml:space="preserve"> (el mínimo será 0%).</w:t>
            </w:r>
          </w:p>
          <w:p w14:paraId="4397EC79" w14:textId="77777777" w:rsidR="009B1026" w:rsidRPr="00802FB4" w:rsidRDefault="009B1026" w:rsidP="009B1026">
            <w:pPr>
              <w:tabs>
                <w:tab w:val="left" w:pos="1160"/>
                <w:tab w:val="left" w:pos="1740"/>
              </w:tabs>
              <w:spacing w:before="240"/>
              <w:jc w:val="both"/>
              <w:rPr>
                <w:rFonts w:ascii="Arial" w:hAnsi="Arial" w:cs="Arial"/>
                <w:sz w:val="21"/>
                <w:szCs w:val="21"/>
                <w:lang w:val="es-CR"/>
              </w:rPr>
            </w:pPr>
          </w:p>
          <w:p w14:paraId="64E1E840" w14:textId="10F491BC" w:rsidR="009B1026" w:rsidRPr="00802FB4" w:rsidRDefault="009B1026" w:rsidP="009B1026">
            <w:pPr>
              <w:tabs>
                <w:tab w:val="left" w:pos="1160"/>
                <w:tab w:val="left" w:pos="1740"/>
              </w:tabs>
              <w:jc w:val="both"/>
              <w:rPr>
                <w:rFonts w:ascii="Arial" w:hAnsi="Arial" w:cs="Arial"/>
                <w:sz w:val="21"/>
                <w:szCs w:val="21"/>
                <w:lang w:val="es-CR"/>
              </w:rPr>
            </w:pPr>
            <w:r w:rsidRPr="00802FB4">
              <w:rPr>
                <w:rFonts w:ascii="Arial" w:hAnsi="Arial" w:cs="Arial"/>
                <w:sz w:val="21"/>
                <w:szCs w:val="21"/>
                <w:lang w:val="es-CR"/>
              </w:rPr>
              <w:t>Política de gestión de los depósitos a la vista: El fondo podrá mantener efectivo en cualquier entidad financiera del Sistema Financiero costarricense, autorizadas y supervisadas por la Superintendencia General de Entidades Financieras (SUGEF)</w:t>
            </w:r>
            <w:r>
              <w:rPr>
                <w:rFonts w:ascii="Arial" w:hAnsi="Arial" w:cs="Arial"/>
                <w:sz w:val="21"/>
                <w:szCs w:val="21"/>
                <w:lang w:val="es-CR"/>
              </w:rPr>
              <w:t>.</w:t>
            </w:r>
          </w:p>
        </w:tc>
      </w:tr>
    </w:tbl>
    <w:p w14:paraId="2DB39979" w14:textId="77777777" w:rsidR="009C3C2F" w:rsidRPr="00802FB4" w:rsidRDefault="009C3C2F" w:rsidP="008C5E1B">
      <w:pPr>
        <w:widowControl w:val="0"/>
        <w:tabs>
          <w:tab w:val="left" w:pos="8910"/>
        </w:tabs>
        <w:jc w:val="both"/>
        <w:rPr>
          <w:rFonts w:ascii="Arial" w:hAnsi="Arial" w:cs="Arial"/>
          <w:sz w:val="21"/>
          <w:szCs w:val="21"/>
        </w:rPr>
      </w:pPr>
    </w:p>
    <w:tbl>
      <w:tblPr>
        <w:tblW w:w="93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30"/>
        <w:gridCol w:w="2268"/>
        <w:gridCol w:w="905"/>
        <w:gridCol w:w="1505"/>
        <w:gridCol w:w="763"/>
        <w:gridCol w:w="1080"/>
      </w:tblGrid>
      <w:tr w:rsidR="008C5E1B" w:rsidRPr="00802FB4" w14:paraId="2AFAE995" w14:textId="77777777" w:rsidTr="41B4933B">
        <w:trPr>
          <w:trHeight w:val="345"/>
          <w:jc w:val="center"/>
        </w:trPr>
        <w:tc>
          <w:tcPr>
            <w:tcW w:w="9351" w:type="dxa"/>
            <w:gridSpan w:val="6"/>
            <w:vAlign w:val="center"/>
          </w:tcPr>
          <w:p w14:paraId="5E1371A0" w14:textId="77777777" w:rsidR="008C5E1B" w:rsidRPr="00802FB4" w:rsidRDefault="008C5E1B" w:rsidP="00D83795">
            <w:pPr>
              <w:pStyle w:val="CNV"/>
              <w:widowControl w:val="0"/>
              <w:tabs>
                <w:tab w:val="left" w:pos="8910"/>
              </w:tabs>
              <w:spacing w:before="120" w:after="120"/>
              <w:jc w:val="center"/>
              <w:rPr>
                <w:rFonts w:ascii="Arial" w:hAnsi="Arial" w:cs="Arial"/>
                <w:b/>
                <w:sz w:val="21"/>
                <w:szCs w:val="21"/>
                <w:lang w:val="es-ES"/>
              </w:rPr>
            </w:pPr>
            <w:r w:rsidRPr="00802FB4">
              <w:rPr>
                <w:rFonts w:ascii="Arial" w:hAnsi="Arial" w:cs="Arial"/>
                <w:b/>
                <w:sz w:val="21"/>
                <w:szCs w:val="21"/>
                <w:lang w:val="es-ES"/>
              </w:rPr>
              <w:t xml:space="preserve">Política de </w:t>
            </w:r>
            <w:r w:rsidR="000506B3" w:rsidRPr="00802FB4">
              <w:rPr>
                <w:rFonts w:ascii="Arial" w:hAnsi="Arial" w:cs="Arial"/>
                <w:b/>
                <w:sz w:val="21"/>
                <w:szCs w:val="21"/>
                <w:lang w:val="es-ES"/>
              </w:rPr>
              <w:t>i</w:t>
            </w:r>
            <w:r w:rsidRPr="00802FB4">
              <w:rPr>
                <w:rFonts w:ascii="Arial" w:hAnsi="Arial" w:cs="Arial"/>
                <w:b/>
                <w:sz w:val="21"/>
                <w:szCs w:val="21"/>
                <w:lang w:val="es-ES"/>
              </w:rPr>
              <w:t>nversión de activos inmobiliarios</w:t>
            </w:r>
          </w:p>
        </w:tc>
      </w:tr>
      <w:tr w:rsidR="008C5E1B" w:rsidRPr="00802FB4" w14:paraId="09A5C2EB" w14:textId="77777777" w:rsidTr="41B4933B">
        <w:trPr>
          <w:trHeight w:val="757"/>
          <w:jc w:val="center"/>
        </w:trPr>
        <w:tc>
          <w:tcPr>
            <w:tcW w:w="2830" w:type="dxa"/>
            <w:vAlign w:val="center"/>
          </w:tcPr>
          <w:p w14:paraId="76DFC687" w14:textId="77777777" w:rsidR="008C5E1B" w:rsidRPr="00802FB4" w:rsidRDefault="008C5E1B" w:rsidP="00D83795">
            <w:pPr>
              <w:pStyle w:val="CNV"/>
              <w:widowControl w:val="0"/>
              <w:tabs>
                <w:tab w:val="left" w:pos="8910"/>
              </w:tabs>
              <w:rPr>
                <w:rFonts w:ascii="Arial" w:hAnsi="Arial" w:cs="Arial"/>
                <w:b/>
                <w:sz w:val="21"/>
                <w:szCs w:val="21"/>
                <w:lang w:val="es-ES"/>
              </w:rPr>
            </w:pPr>
            <w:r w:rsidRPr="00802FB4">
              <w:rPr>
                <w:rFonts w:ascii="Arial" w:hAnsi="Arial" w:cs="Arial"/>
                <w:b/>
                <w:sz w:val="21"/>
                <w:szCs w:val="21"/>
                <w:lang w:val="es-ES"/>
              </w:rPr>
              <w:t>Tipo de inmuebles</w:t>
            </w:r>
          </w:p>
        </w:tc>
        <w:tc>
          <w:tcPr>
            <w:tcW w:w="3173" w:type="dxa"/>
            <w:gridSpan w:val="2"/>
            <w:vAlign w:val="center"/>
          </w:tcPr>
          <w:p w14:paraId="01D01B3D" w14:textId="77777777" w:rsidR="008C5E1B" w:rsidRPr="00802FB4" w:rsidRDefault="00FA3645" w:rsidP="00FA3645">
            <w:pPr>
              <w:pStyle w:val="CNV"/>
              <w:widowControl w:val="0"/>
              <w:tabs>
                <w:tab w:val="left" w:pos="8910"/>
              </w:tabs>
              <w:rPr>
                <w:rFonts w:ascii="Arial" w:hAnsi="Arial" w:cs="Arial"/>
                <w:sz w:val="21"/>
                <w:szCs w:val="21"/>
                <w:lang w:val="es-ES"/>
              </w:rPr>
            </w:pPr>
            <w:r w:rsidRPr="00802FB4">
              <w:rPr>
                <w:rFonts w:ascii="Arial" w:hAnsi="Arial" w:cs="Arial"/>
                <w:sz w:val="21"/>
                <w:szCs w:val="21"/>
                <w:lang w:val="es-ES"/>
              </w:rPr>
              <w:t xml:space="preserve">Locales comerciales, </w:t>
            </w:r>
            <w:r w:rsidR="00EB435E" w:rsidRPr="00802FB4">
              <w:rPr>
                <w:rFonts w:ascii="Arial" w:hAnsi="Arial" w:cs="Arial"/>
                <w:sz w:val="21"/>
                <w:szCs w:val="21"/>
                <w:lang w:val="es-ES"/>
              </w:rPr>
              <w:t>o</w:t>
            </w:r>
            <w:r w:rsidR="008C5E1B" w:rsidRPr="00802FB4">
              <w:rPr>
                <w:rFonts w:ascii="Arial" w:hAnsi="Arial" w:cs="Arial"/>
                <w:sz w:val="21"/>
                <w:szCs w:val="21"/>
                <w:lang w:val="es-ES"/>
              </w:rPr>
              <w:t>ficinas,</w:t>
            </w:r>
            <w:r w:rsidR="00EB435E" w:rsidRPr="00802FB4">
              <w:rPr>
                <w:rFonts w:ascii="Arial" w:hAnsi="Arial" w:cs="Arial"/>
                <w:sz w:val="21"/>
                <w:szCs w:val="21"/>
                <w:lang w:val="es-ES"/>
              </w:rPr>
              <w:t xml:space="preserve"> h</w:t>
            </w:r>
            <w:r w:rsidR="008C5E1B" w:rsidRPr="00802FB4">
              <w:rPr>
                <w:rFonts w:ascii="Arial" w:hAnsi="Arial" w:cs="Arial"/>
                <w:sz w:val="21"/>
                <w:szCs w:val="21"/>
                <w:lang w:val="es-ES"/>
              </w:rPr>
              <w:t xml:space="preserve">oteles, </w:t>
            </w:r>
            <w:r w:rsidR="00EB435E" w:rsidRPr="00802FB4">
              <w:rPr>
                <w:rFonts w:ascii="Arial" w:hAnsi="Arial" w:cs="Arial"/>
                <w:sz w:val="21"/>
                <w:szCs w:val="21"/>
                <w:lang w:val="es-ES"/>
              </w:rPr>
              <w:t>r</w:t>
            </w:r>
            <w:r w:rsidR="008C5E1B" w:rsidRPr="00802FB4">
              <w:rPr>
                <w:rFonts w:ascii="Arial" w:hAnsi="Arial" w:cs="Arial"/>
                <w:sz w:val="21"/>
                <w:szCs w:val="21"/>
                <w:lang w:val="es-ES"/>
              </w:rPr>
              <w:t>estaurantes,</w:t>
            </w:r>
            <w:r w:rsidR="00EB435E" w:rsidRPr="00802FB4">
              <w:rPr>
                <w:rFonts w:ascii="Arial" w:hAnsi="Arial" w:cs="Arial"/>
                <w:sz w:val="21"/>
                <w:szCs w:val="21"/>
                <w:lang w:val="es-ES"/>
              </w:rPr>
              <w:t xml:space="preserve"> b</w:t>
            </w:r>
            <w:r w:rsidR="008C5E1B" w:rsidRPr="00802FB4">
              <w:rPr>
                <w:rFonts w:ascii="Arial" w:hAnsi="Arial" w:cs="Arial"/>
                <w:sz w:val="21"/>
                <w:szCs w:val="21"/>
                <w:lang w:val="es-ES"/>
              </w:rPr>
              <w:t>odegas</w:t>
            </w:r>
            <w:r w:rsidR="006E0775" w:rsidRPr="00802FB4">
              <w:rPr>
                <w:rFonts w:ascii="Arial" w:hAnsi="Arial" w:cs="Arial"/>
                <w:sz w:val="21"/>
                <w:szCs w:val="21"/>
                <w:lang w:val="es-ES"/>
              </w:rPr>
              <w:t xml:space="preserve">, </w:t>
            </w:r>
            <w:r w:rsidR="00EB435E" w:rsidRPr="00802FB4">
              <w:rPr>
                <w:rFonts w:ascii="Arial" w:hAnsi="Arial" w:cs="Arial"/>
                <w:sz w:val="21"/>
                <w:szCs w:val="21"/>
                <w:lang w:val="es-ES"/>
              </w:rPr>
              <w:t>p</w:t>
            </w:r>
            <w:r w:rsidR="006E0775" w:rsidRPr="00802FB4">
              <w:rPr>
                <w:rFonts w:ascii="Arial" w:hAnsi="Arial" w:cs="Arial"/>
                <w:sz w:val="21"/>
                <w:szCs w:val="21"/>
                <w:lang w:val="es-ES"/>
              </w:rPr>
              <w:t>arqueos,</w:t>
            </w:r>
            <w:r w:rsidR="00CF30D9" w:rsidRPr="00802FB4">
              <w:rPr>
                <w:rFonts w:ascii="Arial" w:hAnsi="Arial" w:cs="Arial"/>
                <w:sz w:val="21"/>
                <w:szCs w:val="21"/>
                <w:lang w:val="es-ES"/>
              </w:rPr>
              <w:t xml:space="preserve"> </w:t>
            </w:r>
            <w:r w:rsidR="00EB435E" w:rsidRPr="00802FB4">
              <w:rPr>
                <w:rFonts w:ascii="Arial" w:hAnsi="Arial" w:cs="Arial"/>
                <w:sz w:val="21"/>
                <w:szCs w:val="21"/>
                <w:lang w:val="es-ES"/>
              </w:rPr>
              <w:t>parques industriales</w:t>
            </w:r>
            <w:r w:rsidR="00CF30D9" w:rsidRPr="00802FB4">
              <w:rPr>
                <w:rFonts w:ascii="Arial" w:hAnsi="Arial" w:cs="Arial"/>
                <w:sz w:val="21"/>
                <w:szCs w:val="21"/>
                <w:lang w:val="es-ES"/>
              </w:rPr>
              <w:t>,</w:t>
            </w:r>
            <w:r w:rsidR="00EB435E" w:rsidRPr="00802FB4">
              <w:rPr>
                <w:rFonts w:ascii="Arial" w:hAnsi="Arial" w:cs="Arial"/>
                <w:sz w:val="21"/>
                <w:szCs w:val="21"/>
                <w:lang w:val="es-ES"/>
              </w:rPr>
              <w:t xml:space="preserve"> servicios de salud, residencia</w:t>
            </w:r>
            <w:r w:rsidR="00796DD0" w:rsidRPr="00802FB4">
              <w:rPr>
                <w:rFonts w:ascii="Arial" w:hAnsi="Arial" w:cs="Arial"/>
                <w:sz w:val="21"/>
                <w:szCs w:val="21"/>
                <w:lang w:val="es-ES"/>
              </w:rPr>
              <w:t>.</w:t>
            </w:r>
          </w:p>
        </w:tc>
        <w:tc>
          <w:tcPr>
            <w:tcW w:w="2268" w:type="dxa"/>
            <w:gridSpan w:val="2"/>
            <w:vAlign w:val="center"/>
          </w:tcPr>
          <w:p w14:paraId="27B19FBF" w14:textId="77777777" w:rsidR="008C5E1B" w:rsidRPr="00802FB4" w:rsidRDefault="008C5E1B"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Porcentaje mínimo de inversión en activos inmobiliarios</w:t>
            </w:r>
          </w:p>
        </w:tc>
        <w:tc>
          <w:tcPr>
            <w:tcW w:w="1080" w:type="dxa"/>
            <w:vAlign w:val="center"/>
          </w:tcPr>
          <w:p w14:paraId="644A18C9" w14:textId="77777777" w:rsidR="008C5E1B" w:rsidRPr="00802FB4" w:rsidRDefault="006E0775" w:rsidP="00D83795">
            <w:pPr>
              <w:pStyle w:val="CNV"/>
              <w:widowControl w:val="0"/>
              <w:tabs>
                <w:tab w:val="left" w:pos="8910"/>
              </w:tabs>
              <w:jc w:val="center"/>
              <w:rPr>
                <w:rFonts w:ascii="Arial" w:hAnsi="Arial" w:cs="Arial"/>
                <w:sz w:val="21"/>
                <w:szCs w:val="21"/>
                <w:lang w:val="es-ES"/>
              </w:rPr>
            </w:pPr>
            <w:r w:rsidRPr="00802FB4">
              <w:rPr>
                <w:rFonts w:ascii="Arial" w:hAnsi="Arial" w:cs="Arial"/>
                <w:sz w:val="21"/>
                <w:szCs w:val="21"/>
                <w:lang w:val="es-ES"/>
              </w:rPr>
              <w:t>80%</w:t>
            </w:r>
          </w:p>
        </w:tc>
      </w:tr>
      <w:tr w:rsidR="008C5E1B" w:rsidRPr="00802FB4" w14:paraId="28C110C4" w14:textId="77777777" w:rsidTr="41B4933B">
        <w:trPr>
          <w:trHeight w:val="548"/>
          <w:jc w:val="center"/>
        </w:trPr>
        <w:tc>
          <w:tcPr>
            <w:tcW w:w="2830" w:type="dxa"/>
            <w:vAlign w:val="center"/>
          </w:tcPr>
          <w:p w14:paraId="37337A6D" w14:textId="77777777" w:rsidR="008C5E1B" w:rsidRPr="00802FB4" w:rsidRDefault="008C5E1B"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Países donde se pueden ubicar los inmuebles</w:t>
            </w:r>
          </w:p>
        </w:tc>
        <w:tc>
          <w:tcPr>
            <w:tcW w:w="6521" w:type="dxa"/>
            <w:gridSpan w:val="5"/>
            <w:vAlign w:val="center"/>
          </w:tcPr>
          <w:p w14:paraId="4CEC8542" w14:textId="77777777" w:rsidR="004B1EDF" w:rsidRPr="00802FB4" w:rsidRDefault="006E0775" w:rsidP="00D83795">
            <w:pPr>
              <w:pStyle w:val="CNV"/>
              <w:widowControl w:val="0"/>
              <w:tabs>
                <w:tab w:val="left" w:pos="8910"/>
              </w:tabs>
              <w:rPr>
                <w:rFonts w:ascii="Arial" w:hAnsi="Arial" w:cs="Arial"/>
                <w:sz w:val="21"/>
                <w:szCs w:val="21"/>
                <w:lang w:val="es-ES"/>
              </w:rPr>
            </w:pPr>
            <w:r w:rsidRPr="00802FB4">
              <w:rPr>
                <w:rFonts w:ascii="Arial" w:hAnsi="Arial" w:cs="Arial"/>
                <w:sz w:val="21"/>
                <w:szCs w:val="21"/>
                <w:lang w:val="es-ES"/>
              </w:rPr>
              <w:t>Costa Rica</w:t>
            </w:r>
          </w:p>
        </w:tc>
      </w:tr>
      <w:tr w:rsidR="008C5E1B" w:rsidRPr="00802FB4" w14:paraId="630DC49C" w14:textId="77777777" w:rsidTr="41B4933B">
        <w:trPr>
          <w:trHeight w:val="269"/>
          <w:jc w:val="center"/>
        </w:trPr>
        <w:tc>
          <w:tcPr>
            <w:tcW w:w="2830" w:type="dxa"/>
            <w:vAlign w:val="center"/>
          </w:tcPr>
          <w:p w14:paraId="11ACF63D" w14:textId="77777777" w:rsidR="008C5E1B" w:rsidRPr="00802FB4" w:rsidRDefault="008C5E1B"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Criterios mínimos exigidos a los inmuebles</w:t>
            </w:r>
          </w:p>
        </w:tc>
        <w:tc>
          <w:tcPr>
            <w:tcW w:w="6521" w:type="dxa"/>
            <w:gridSpan w:val="5"/>
            <w:vAlign w:val="center"/>
          </w:tcPr>
          <w:p w14:paraId="336F3D21" w14:textId="678F6B60" w:rsidR="004B1EDF" w:rsidRPr="00802FB4" w:rsidRDefault="004B1EDF" w:rsidP="004B1EDF">
            <w:pPr>
              <w:pStyle w:val="Prrafodelista"/>
              <w:numPr>
                <w:ilvl w:val="0"/>
                <w:numId w:val="26"/>
              </w:numPr>
              <w:ind w:left="318"/>
              <w:jc w:val="both"/>
              <w:rPr>
                <w:rFonts w:ascii="Arial" w:hAnsi="Arial" w:cs="Arial"/>
                <w:sz w:val="21"/>
                <w:szCs w:val="21"/>
                <w:lang w:val="es-CR"/>
              </w:rPr>
            </w:pPr>
            <w:r w:rsidRPr="00802FB4">
              <w:rPr>
                <w:rFonts w:ascii="Arial" w:hAnsi="Arial" w:cs="Arial"/>
                <w:sz w:val="21"/>
                <w:szCs w:val="21"/>
                <w:lang w:val="es-CR"/>
              </w:rPr>
              <w:t xml:space="preserve">La ubicación geográfica de los inmuebles se escogerá </w:t>
            </w:r>
            <w:r w:rsidR="00C95E17" w:rsidRPr="00802FB4">
              <w:rPr>
                <w:rFonts w:ascii="Arial" w:hAnsi="Arial" w:cs="Arial"/>
                <w:sz w:val="21"/>
                <w:szCs w:val="21"/>
                <w:lang w:val="es-CR"/>
              </w:rPr>
              <w:t xml:space="preserve">con </w:t>
            </w:r>
            <w:r w:rsidRPr="00802FB4">
              <w:rPr>
                <w:rFonts w:ascii="Arial" w:hAnsi="Arial" w:cs="Arial"/>
                <w:sz w:val="21"/>
                <w:szCs w:val="21"/>
                <w:lang w:val="es-CR"/>
              </w:rPr>
              <w:t xml:space="preserve">base al comportamiento histórico y expectativas de la zona en relación </w:t>
            </w:r>
            <w:r w:rsidR="00474CB6" w:rsidRPr="00802FB4">
              <w:rPr>
                <w:rFonts w:ascii="Arial" w:hAnsi="Arial" w:cs="Arial"/>
                <w:sz w:val="21"/>
                <w:szCs w:val="21"/>
                <w:lang w:val="es-CR"/>
              </w:rPr>
              <w:t>con</w:t>
            </w:r>
            <w:r w:rsidRPr="00802FB4">
              <w:rPr>
                <w:rFonts w:ascii="Arial" w:hAnsi="Arial" w:cs="Arial"/>
                <w:sz w:val="21"/>
                <w:szCs w:val="21"/>
                <w:lang w:val="es-CR"/>
              </w:rPr>
              <w:t xml:space="preserve"> las plusvalías presentadas, la cercanía a los diferentes servicios y la proyección de desarrollo, todo de acuerdo </w:t>
            </w:r>
            <w:r w:rsidR="00474CB6" w:rsidRPr="00802FB4">
              <w:rPr>
                <w:rFonts w:ascii="Arial" w:hAnsi="Arial" w:cs="Arial"/>
                <w:sz w:val="21"/>
                <w:szCs w:val="21"/>
                <w:lang w:val="es-CR"/>
              </w:rPr>
              <w:t>con e</w:t>
            </w:r>
            <w:r w:rsidRPr="00802FB4">
              <w:rPr>
                <w:rFonts w:ascii="Arial" w:hAnsi="Arial" w:cs="Arial"/>
                <w:sz w:val="21"/>
                <w:szCs w:val="21"/>
                <w:lang w:val="es-CR"/>
              </w:rPr>
              <w:t>l criterio de un ingeniero o especialista en la materia.</w:t>
            </w:r>
          </w:p>
          <w:p w14:paraId="4D88F2F4" w14:textId="49E5EF47" w:rsidR="004B1EDF" w:rsidRPr="00802FB4" w:rsidRDefault="004B1EDF" w:rsidP="004B1EDF">
            <w:pPr>
              <w:pStyle w:val="Prrafodelista"/>
              <w:numPr>
                <w:ilvl w:val="0"/>
                <w:numId w:val="26"/>
              </w:numPr>
              <w:ind w:left="318"/>
              <w:jc w:val="both"/>
              <w:rPr>
                <w:rFonts w:ascii="Arial" w:hAnsi="Arial" w:cs="Arial"/>
                <w:sz w:val="21"/>
                <w:szCs w:val="21"/>
                <w:lang w:val="es-CR"/>
              </w:rPr>
            </w:pPr>
            <w:r w:rsidRPr="00802FB4">
              <w:rPr>
                <w:rFonts w:ascii="Arial" w:hAnsi="Arial" w:cs="Arial"/>
                <w:sz w:val="21"/>
                <w:szCs w:val="21"/>
                <w:lang w:val="es-CR"/>
              </w:rPr>
              <w:t>Los inmuebles a ser incorporados deben tener antigüedades inferiores a los 15 años o que en ocasión de las mejoras realizadas a los mismos reflejen esta antigüedad, según criterio de un ingenier</w:t>
            </w:r>
            <w:r w:rsidR="0021253C" w:rsidRPr="00802FB4">
              <w:rPr>
                <w:rFonts w:ascii="Arial" w:hAnsi="Arial" w:cs="Arial"/>
                <w:sz w:val="21"/>
                <w:szCs w:val="21"/>
                <w:lang w:val="es-CR"/>
              </w:rPr>
              <w:t>o o especialista en la materia.</w:t>
            </w:r>
            <w:r w:rsidRPr="00802FB4" w:rsidDel="005C572E">
              <w:rPr>
                <w:rFonts w:ascii="Arial" w:hAnsi="Arial" w:cs="Arial"/>
                <w:sz w:val="21"/>
                <w:szCs w:val="21"/>
                <w:lang w:val="es-CR"/>
              </w:rPr>
              <w:t xml:space="preserve"> </w:t>
            </w:r>
            <w:r w:rsidRPr="00802FB4">
              <w:rPr>
                <w:rFonts w:ascii="Arial" w:hAnsi="Arial" w:cs="Arial"/>
                <w:sz w:val="21"/>
                <w:szCs w:val="21"/>
                <w:lang w:val="es-CR"/>
              </w:rPr>
              <w:t>Los niveles de ocupación mínimos para un inmueble a ser adquirido por el fondo serán de un 85%, siempre y cuando dicho inmueble esté generando una rentabilidad que le permita al fondo mantener un rendimiento compe</w:t>
            </w:r>
            <w:r w:rsidR="0021253C" w:rsidRPr="00802FB4">
              <w:rPr>
                <w:rFonts w:ascii="Arial" w:hAnsi="Arial" w:cs="Arial"/>
                <w:sz w:val="21"/>
                <w:szCs w:val="21"/>
                <w:lang w:val="es-CR"/>
              </w:rPr>
              <w:t xml:space="preserve">titivo dentro de la industria. </w:t>
            </w:r>
            <w:r w:rsidRPr="00802FB4">
              <w:rPr>
                <w:rFonts w:ascii="Arial" w:hAnsi="Arial" w:cs="Arial"/>
                <w:sz w:val="21"/>
                <w:szCs w:val="21"/>
                <w:lang w:val="es-CR"/>
              </w:rPr>
              <w:t xml:space="preserve">Caso contrario el </w:t>
            </w:r>
            <w:r w:rsidRPr="00802FB4">
              <w:rPr>
                <w:rFonts w:ascii="Arial" w:hAnsi="Arial" w:cs="Arial"/>
                <w:sz w:val="21"/>
                <w:szCs w:val="21"/>
                <w:lang w:val="es-CR"/>
              </w:rPr>
              <w:lastRenderedPageBreak/>
              <w:t>nivel mínimo de ocupación deberá incrementarse antes de la compra.</w:t>
            </w:r>
          </w:p>
          <w:p w14:paraId="19DD5DEC" w14:textId="77777777" w:rsidR="004B1EDF" w:rsidRPr="00802FB4" w:rsidRDefault="004B1EDF" w:rsidP="004B1EDF">
            <w:pPr>
              <w:pStyle w:val="Prrafodelista"/>
              <w:numPr>
                <w:ilvl w:val="0"/>
                <w:numId w:val="26"/>
              </w:numPr>
              <w:ind w:left="318"/>
              <w:jc w:val="both"/>
              <w:rPr>
                <w:rFonts w:ascii="Arial" w:hAnsi="Arial" w:cs="Arial"/>
                <w:sz w:val="21"/>
                <w:szCs w:val="21"/>
                <w:lang w:val="es-CR"/>
              </w:rPr>
            </w:pPr>
            <w:r w:rsidRPr="00802FB4">
              <w:rPr>
                <w:rFonts w:ascii="Arial" w:hAnsi="Arial" w:cs="Arial"/>
                <w:sz w:val="21"/>
                <w:szCs w:val="21"/>
                <w:lang w:val="es-CR"/>
              </w:rPr>
              <w:t>Los inmuebles deben reflejar un buen mantenimiento general de l</w:t>
            </w:r>
            <w:r w:rsidR="0021253C" w:rsidRPr="00802FB4">
              <w:rPr>
                <w:rFonts w:ascii="Arial" w:hAnsi="Arial" w:cs="Arial"/>
                <w:sz w:val="21"/>
                <w:szCs w:val="21"/>
                <w:lang w:val="es-CR"/>
              </w:rPr>
              <w:t xml:space="preserve">as instalaciones </w:t>
            </w:r>
            <w:r w:rsidRPr="00802FB4">
              <w:rPr>
                <w:rFonts w:ascii="Arial" w:hAnsi="Arial" w:cs="Arial"/>
                <w:sz w:val="21"/>
                <w:szCs w:val="21"/>
                <w:lang w:val="es-CR"/>
              </w:rPr>
              <w:t>(áreas comunes, equipos y demás componentes de la propiedad) a criterio de un ingeniero o especialista en la materia.</w:t>
            </w:r>
          </w:p>
          <w:p w14:paraId="5C68F40F" w14:textId="77777777" w:rsidR="004B1EDF" w:rsidRPr="00802FB4" w:rsidRDefault="004B1EDF" w:rsidP="004B1EDF">
            <w:pPr>
              <w:pStyle w:val="Prrafodelista"/>
              <w:numPr>
                <w:ilvl w:val="0"/>
                <w:numId w:val="26"/>
              </w:numPr>
              <w:ind w:left="318"/>
              <w:jc w:val="both"/>
              <w:rPr>
                <w:rFonts w:ascii="Arial" w:hAnsi="Arial" w:cs="Arial"/>
                <w:sz w:val="21"/>
                <w:szCs w:val="21"/>
              </w:rPr>
            </w:pPr>
            <w:r w:rsidRPr="00802FB4">
              <w:rPr>
                <w:rFonts w:ascii="Arial" w:hAnsi="Arial" w:cs="Arial"/>
                <w:sz w:val="21"/>
                <w:szCs w:val="21"/>
                <w:lang w:val="es-CR"/>
              </w:rPr>
              <w:t>Todos los inmuebles serán adquiridos en propiedad a nombre del fondo, el cual contará para estos efectos con</w:t>
            </w:r>
            <w:r w:rsidRPr="00802FB4">
              <w:rPr>
                <w:rFonts w:ascii="Arial" w:hAnsi="Arial" w:cs="Arial"/>
                <w:bCs/>
                <w:sz w:val="21"/>
                <w:szCs w:val="21"/>
              </w:rPr>
              <w:t xml:space="preserve"> cédula jurídica, libres de derechos de usufructo, uso y habitación.</w:t>
            </w:r>
          </w:p>
          <w:p w14:paraId="4167CEAC" w14:textId="77777777" w:rsidR="004B1EDF" w:rsidRPr="00802FB4" w:rsidRDefault="004B1EDF" w:rsidP="004B1EDF">
            <w:pPr>
              <w:pStyle w:val="Prrafodelista"/>
              <w:numPr>
                <w:ilvl w:val="0"/>
                <w:numId w:val="26"/>
              </w:numPr>
              <w:ind w:left="318"/>
              <w:jc w:val="both"/>
              <w:rPr>
                <w:rFonts w:ascii="Arial" w:hAnsi="Arial" w:cs="Arial"/>
                <w:sz w:val="21"/>
                <w:szCs w:val="21"/>
              </w:rPr>
            </w:pPr>
            <w:r w:rsidRPr="00802FB4">
              <w:rPr>
                <w:rFonts w:ascii="Arial" w:hAnsi="Arial" w:cs="Arial"/>
                <w:bCs/>
                <w:sz w:val="21"/>
                <w:szCs w:val="21"/>
              </w:rPr>
              <w:t>No se establece un monto mínimo de inversión.</w:t>
            </w:r>
            <w:r w:rsidRPr="00802FB4" w:rsidDel="005C572E">
              <w:rPr>
                <w:rFonts w:ascii="Arial" w:hAnsi="Arial" w:cs="Arial"/>
                <w:bCs/>
                <w:sz w:val="21"/>
                <w:szCs w:val="21"/>
              </w:rPr>
              <w:t xml:space="preserve"> </w:t>
            </w:r>
          </w:p>
          <w:p w14:paraId="4670738D" w14:textId="0666750D" w:rsidR="004D4ABE" w:rsidRPr="00802FB4" w:rsidRDefault="004B1EDF" w:rsidP="004D4ABE">
            <w:pPr>
              <w:pStyle w:val="Prrafodelista"/>
              <w:numPr>
                <w:ilvl w:val="0"/>
                <w:numId w:val="26"/>
              </w:numPr>
              <w:ind w:left="318"/>
              <w:jc w:val="both"/>
              <w:rPr>
                <w:rFonts w:ascii="Arial" w:hAnsi="Arial" w:cs="Arial"/>
                <w:sz w:val="21"/>
                <w:szCs w:val="21"/>
              </w:rPr>
            </w:pPr>
            <w:r w:rsidRPr="00802FB4">
              <w:rPr>
                <w:rFonts w:ascii="Arial" w:hAnsi="Arial" w:cs="Arial"/>
                <w:bCs/>
                <w:sz w:val="21"/>
                <w:szCs w:val="21"/>
              </w:rPr>
              <w:t>No se establece una rentabilidad mínima.</w:t>
            </w:r>
          </w:p>
        </w:tc>
      </w:tr>
      <w:tr w:rsidR="008C5E1B" w:rsidRPr="00802FB4" w14:paraId="28612CCF" w14:textId="77777777" w:rsidTr="41B4933B">
        <w:trPr>
          <w:trHeight w:val="691"/>
          <w:jc w:val="center"/>
        </w:trPr>
        <w:tc>
          <w:tcPr>
            <w:tcW w:w="2830" w:type="dxa"/>
            <w:vAlign w:val="center"/>
          </w:tcPr>
          <w:p w14:paraId="223C6D17" w14:textId="77777777" w:rsidR="008C5E1B" w:rsidRPr="006A1A62" w:rsidRDefault="008C5E1B" w:rsidP="00D83795">
            <w:pPr>
              <w:pStyle w:val="CNV"/>
              <w:widowControl w:val="0"/>
              <w:tabs>
                <w:tab w:val="left" w:pos="8910"/>
              </w:tabs>
              <w:jc w:val="left"/>
              <w:rPr>
                <w:rFonts w:ascii="Arial" w:hAnsi="Arial" w:cs="Arial"/>
                <w:b/>
                <w:sz w:val="21"/>
                <w:szCs w:val="21"/>
                <w:lang w:val="es-ES"/>
              </w:rPr>
            </w:pPr>
            <w:r w:rsidRPr="006A1A62">
              <w:rPr>
                <w:rFonts w:ascii="Arial" w:hAnsi="Arial" w:cs="Arial"/>
                <w:b/>
                <w:sz w:val="21"/>
                <w:szCs w:val="21"/>
                <w:lang w:val="es-ES"/>
              </w:rPr>
              <w:lastRenderedPageBreak/>
              <w:t>Concentración máxima de ingresos provenientes de un inquilino</w:t>
            </w:r>
          </w:p>
        </w:tc>
        <w:tc>
          <w:tcPr>
            <w:tcW w:w="6521" w:type="dxa"/>
            <w:gridSpan w:val="5"/>
            <w:vAlign w:val="center"/>
          </w:tcPr>
          <w:p w14:paraId="0331CBB9" w14:textId="77777777" w:rsidR="008C5E1B" w:rsidRPr="006A1A62" w:rsidRDefault="002B3CBE" w:rsidP="00B70E0C">
            <w:pPr>
              <w:pStyle w:val="CNV"/>
              <w:widowControl w:val="0"/>
              <w:tabs>
                <w:tab w:val="left" w:pos="8910"/>
              </w:tabs>
              <w:rPr>
                <w:rFonts w:ascii="Arial" w:hAnsi="Arial" w:cs="Arial"/>
                <w:sz w:val="21"/>
                <w:szCs w:val="21"/>
                <w:lang w:val="es-ES"/>
              </w:rPr>
            </w:pPr>
            <w:r w:rsidRPr="006A1A62">
              <w:rPr>
                <w:rFonts w:ascii="Arial" w:hAnsi="Arial" w:cs="Arial"/>
                <w:sz w:val="21"/>
                <w:szCs w:val="21"/>
                <w:lang w:val="es-ES"/>
              </w:rPr>
              <w:t>25</w:t>
            </w:r>
            <w:r w:rsidR="006A610D" w:rsidRPr="006A1A62">
              <w:rPr>
                <w:rFonts w:ascii="Arial" w:hAnsi="Arial" w:cs="Arial"/>
                <w:sz w:val="21"/>
                <w:szCs w:val="21"/>
                <w:lang w:val="es-ES"/>
              </w:rPr>
              <w:t>%</w:t>
            </w:r>
          </w:p>
        </w:tc>
      </w:tr>
      <w:tr w:rsidR="008C5E1B" w:rsidRPr="00802FB4" w14:paraId="6DDA03EF" w14:textId="77777777" w:rsidTr="41B4933B">
        <w:trPr>
          <w:jc w:val="center"/>
        </w:trPr>
        <w:tc>
          <w:tcPr>
            <w:tcW w:w="2830" w:type="dxa"/>
            <w:vAlign w:val="center"/>
          </w:tcPr>
          <w:p w14:paraId="3300C84F" w14:textId="77777777" w:rsidR="008C5E1B" w:rsidRPr="00802FB4" w:rsidRDefault="008C5E1B" w:rsidP="003E6CFB">
            <w:pPr>
              <w:pStyle w:val="CNV"/>
              <w:widowControl w:val="0"/>
              <w:tabs>
                <w:tab w:val="left" w:pos="8910"/>
              </w:tabs>
              <w:ind w:right="33"/>
              <w:jc w:val="left"/>
              <w:rPr>
                <w:rFonts w:ascii="Arial" w:hAnsi="Arial" w:cs="Arial"/>
                <w:b/>
                <w:sz w:val="21"/>
                <w:szCs w:val="21"/>
                <w:lang w:val="es-ES"/>
              </w:rPr>
            </w:pPr>
            <w:r w:rsidRPr="00802FB4">
              <w:rPr>
                <w:rFonts w:ascii="Arial" w:hAnsi="Arial" w:cs="Arial"/>
                <w:b/>
                <w:sz w:val="21"/>
                <w:szCs w:val="21"/>
                <w:lang w:val="es-ES"/>
              </w:rPr>
              <w:t>Política de arrendamiento de inmuebles a personas o compañías relacionadas a la sociedad administradora</w:t>
            </w:r>
          </w:p>
        </w:tc>
        <w:tc>
          <w:tcPr>
            <w:tcW w:w="6521" w:type="dxa"/>
            <w:gridSpan w:val="5"/>
            <w:vAlign w:val="center"/>
          </w:tcPr>
          <w:p w14:paraId="401157A4" w14:textId="77777777" w:rsidR="003755CC" w:rsidRPr="00802FB4" w:rsidRDefault="0037177B" w:rsidP="006B0622">
            <w:pPr>
              <w:pStyle w:val="CNV"/>
              <w:widowControl w:val="0"/>
              <w:tabs>
                <w:tab w:val="left" w:pos="8910"/>
              </w:tabs>
              <w:rPr>
                <w:rFonts w:ascii="Arial" w:hAnsi="Arial" w:cs="Arial"/>
                <w:sz w:val="21"/>
                <w:szCs w:val="21"/>
                <w:lang w:val="es-ES"/>
              </w:rPr>
            </w:pPr>
            <w:r w:rsidRPr="00802FB4">
              <w:rPr>
                <w:rFonts w:ascii="Arial" w:hAnsi="Arial" w:cs="Arial"/>
                <w:sz w:val="21"/>
                <w:szCs w:val="21"/>
                <w:lang w:val="es-ES"/>
              </w:rPr>
              <w:t>Ni los inversionistas ni las personas físicas o jurídicas vinculadas con ellos o que conformen un mismo grupo de interés económico, pueden ser arrendatarios de los bienes inmuebles que integren los activos del fondo.</w:t>
            </w:r>
          </w:p>
          <w:p w14:paraId="745BF95B" w14:textId="77777777" w:rsidR="0037177B" w:rsidRPr="00802FB4" w:rsidRDefault="0021253C" w:rsidP="41B4933B">
            <w:pPr>
              <w:pStyle w:val="CNV"/>
              <w:widowControl w:val="0"/>
              <w:tabs>
                <w:tab w:val="left" w:pos="8910"/>
              </w:tabs>
              <w:spacing w:before="240"/>
              <w:rPr>
                <w:rFonts w:ascii="Arial" w:hAnsi="Arial" w:cs="Arial"/>
                <w:sz w:val="21"/>
                <w:szCs w:val="21"/>
                <w:lang w:val="es-ES"/>
              </w:rPr>
            </w:pPr>
            <w:r w:rsidRPr="00802FB4">
              <w:rPr>
                <w:rFonts w:ascii="Arial" w:hAnsi="Arial" w:cs="Arial"/>
                <w:sz w:val="21"/>
                <w:szCs w:val="21"/>
                <w:lang w:val="es-ES"/>
              </w:rPr>
              <w:t>Multifondos de CR, S.A., SFI</w:t>
            </w:r>
            <w:r w:rsidR="0037177B" w:rsidRPr="00802FB4">
              <w:rPr>
                <w:rFonts w:ascii="Arial" w:hAnsi="Arial" w:cs="Arial"/>
                <w:sz w:val="21"/>
                <w:szCs w:val="21"/>
                <w:lang w:val="es-ES"/>
              </w:rPr>
              <w:t xml:space="preserve"> y las entidades que forman parte del Grupo Financiero, pueden ser arrendatarios del fondo, siempre y cuando no generen, en su conjunto, más de un 5% de los ingresos mensuales del fondo. La revelación de un nuevo contrato con estas entidades debe realizarse mediante un Comunicado de Hecho Relevante.</w:t>
            </w:r>
          </w:p>
          <w:p w14:paraId="0779FC8B" w14:textId="77777777" w:rsidR="0095036F" w:rsidRPr="00802FB4" w:rsidRDefault="0095036F" w:rsidP="00EF629B">
            <w:pPr>
              <w:spacing w:before="240"/>
              <w:jc w:val="both"/>
              <w:rPr>
                <w:rFonts w:ascii="Arial" w:hAnsi="Arial" w:cs="Arial"/>
                <w:sz w:val="21"/>
                <w:szCs w:val="21"/>
              </w:rPr>
            </w:pPr>
            <w:r w:rsidRPr="00802FB4">
              <w:rPr>
                <w:rFonts w:ascii="Arial" w:hAnsi="Arial" w:cs="Arial"/>
                <w:sz w:val="21"/>
                <w:szCs w:val="21"/>
              </w:rPr>
              <w:t>En estos casos, para evitar el conflicto de interés y poder garantizar independencia y un trato justo para el Fondo, el contrato de arrendamiento que se firme contará con el formato, condiciones y cláusulas estándar que normalmente utiliza Multifondos con otro tipo de inquilinos, en aspectos tales como: precio, plazo, fecha y forma de pago, depósito en garantía, mantenimiento y reparaciones, pago de servicios, responsabilidades de la arrendataria, terminación anticipada, entre otras, garantizando de esta manera que no se otorgará un contrato en condiciones desventajosas para el Fondo con relación a otras opciones del mercado. El precio del contrato será definido con base en los estudios de mercado para ese tipo de inmueble realizados por una empresa independiente al grupo de interés económico de la sociedad administradora. Dichos estudios serán actualizados al menos cada dos años para evaluar la validez del precio pactado o si es necesario realizar un ajuste al mismo.</w:t>
            </w:r>
          </w:p>
        </w:tc>
      </w:tr>
      <w:tr w:rsidR="00977126" w:rsidRPr="00802FB4" w14:paraId="3B7A1C12" w14:textId="77777777" w:rsidTr="41B4933B">
        <w:trPr>
          <w:trHeight w:val="573"/>
          <w:jc w:val="center"/>
        </w:trPr>
        <w:tc>
          <w:tcPr>
            <w:tcW w:w="2830" w:type="dxa"/>
            <w:vAlign w:val="center"/>
          </w:tcPr>
          <w:p w14:paraId="5FD5E4CE" w14:textId="77777777" w:rsidR="0087010F" w:rsidRPr="00802FB4" w:rsidRDefault="0087010F" w:rsidP="00CD73D1">
            <w:pPr>
              <w:pStyle w:val="CNV"/>
              <w:widowControl w:val="0"/>
              <w:tabs>
                <w:tab w:val="left" w:pos="8910"/>
              </w:tabs>
              <w:jc w:val="left"/>
              <w:rPr>
                <w:rFonts w:ascii="Arial" w:hAnsi="Arial" w:cs="Arial"/>
                <w:b/>
                <w:color w:val="000000" w:themeColor="text1"/>
                <w:sz w:val="21"/>
                <w:szCs w:val="21"/>
                <w:highlight w:val="yellow"/>
                <w:lang w:val="es-ES"/>
              </w:rPr>
            </w:pPr>
            <w:r w:rsidRPr="00802FB4">
              <w:rPr>
                <w:rFonts w:ascii="Arial" w:hAnsi="Arial" w:cs="Arial"/>
                <w:b/>
                <w:color w:val="000000" w:themeColor="text1"/>
                <w:sz w:val="21"/>
                <w:szCs w:val="21"/>
                <w:lang w:val="es-ES"/>
              </w:rPr>
              <w:t>Moneda en que se celebrarán los contratos de arrendamiento</w:t>
            </w:r>
          </w:p>
        </w:tc>
        <w:tc>
          <w:tcPr>
            <w:tcW w:w="6521" w:type="dxa"/>
            <w:gridSpan w:val="5"/>
            <w:vAlign w:val="center"/>
          </w:tcPr>
          <w:p w14:paraId="2BB78BC7" w14:textId="413BC6F7" w:rsidR="0087010F" w:rsidRPr="00802FB4" w:rsidRDefault="009D4293" w:rsidP="00CD73D1">
            <w:pPr>
              <w:autoSpaceDE w:val="0"/>
              <w:autoSpaceDN w:val="0"/>
              <w:adjustRightInd w:val="0"/>
              <w:jc w:val="both"/>
              <w:rPr>
                <w:rFonts w:ascii="Arial" w:hAnsi="Arial" w:cs="Arial"/>
                <w:color w:val="000000" w:themeColor="text1"/>
                <w:sz w:val="21"/>
                <w:szCs w:val="21"/>
              </w:rPr>
            </w:pPr>
            <w:r w:rsidRPr="00802FB4">
              <w:rPr>
                <w:rFonts w:ascii="Arial" w:hAnsi="Arial" w:cs="Arial"/>
                <w:color w:val="000000" w:themeColor="text1"/>
                <w:sz w:val="21"/>
                <w:szCs w:val="21"/>
              </w:rPr>
              <w:t>Dólares estadounidenses. Se celebrarán contratos en colones en casos de excepción cuando los inquilinos tengan como política el pago en moneda nacional.</w:t>
            </w:r>
          </w:p>
        </w:tc>
      </w:tr>
      <w:tr w:rsidR="008C5E1B" w:rsidRPr="00802FB4" w14:paraId="47631A5D" w14:textId="77777777" w:rsidTr="41B4933B">
        <w:trPr>
          <w:jc w:val="center"/>
        </w:trPr>
        <w:tc>
          <w:tcPr>
            <w:tcW w:w="2830" w:type="dxa"/>
            <w:vAlign w:val="center"/>
          </w:tcPr>
          <w:p w14:paraId="5693C304" w14:textId="77777777" w:rsidR="008C5E1B" w:rsidRPr="00802FB4" w:rsidRDefault="003C250F"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Otras políticas de inversión</w:t>
            </w:r>
          </w:p>
        </w:tc>
        <w:tc>
          <w:tcPr>
            <w:tcW w:w="6521" w:type="dxa"/>
            <w:gridSpan w:val="5"/>
            <w:vAlign w:val="center"/>
          </w:tcPr>
          <w:p w14:paraId="7DAD608B" w14:textId="03331E29" w:rsidR="00430FEC" w:rsidRPr="00802FB4" w:rsidRDefault="00EE31DF" w:rsidP="00EE31DF">
            <w:pPr>
              <w:tabs>
                <w:tab w:val="left" w:pos="1160"/>
                <w:tab w:val="left" w:pos="1460"/>
              </w:tabs>
              <w:jc w:val="both"/>
              <w:rPr>
                <w:rFonts w:ascii="Arial" w:hAnsi="Arial" w:cs="Arial"/>
                <w:sz w:val="21"/>
                <w:szCs w:val="21"/>
              </w:rPr>
            </w:pPr>
            <w:r w:rsidRPr="00802FB4">
              <w:rPr>
                <w:rFonts w:ascii="Arial" w:hAnsi="Arial" w:cs="Arial"/>
                <w:sz w:val="21"/>
                <w:szCs w:val="21"/>
              </w:rPr>
              <w:t>La adquisición y venta de los bienes inmuebles requerirá de valoración previa</w:t>
            </w:r>
            <w:r w:rsidRPr="00C65451">
              <w:rPr>
                <w:rFonts w:ascii="Arial" w:hAnsi="Arial" w:cs="Arial"/>
                <w:sz w:val="21"/>
                <w:szCs w:val="21"/>
              </w:rPr>
              <w:t xml:space="preserve">, de conformidad con las normas establecidas en el Reglamento General sobre Sociedades Administradoras y Fondos de Inversión. En todo caso, el valor de la compra no podrá exceder el precio fijado en </w:t>
            </w:r>
            <w:r w:rsidRPr="00802FB4">
              <w:rPr>
                <w:rFonts w:ascii="Arial" w:hAnsi="Arial" w:cs="Arial"/>
                <w:sz w:val="21"/>
                <w:szCs w:val="21"/>
              </w:rPr>
              <w:t>la valoraci</w:t>
            </w:r>
            <w:r w:rsidR="00F45247" w:rsidRPr="00802FB4">
              <w:rPr>
                <w:rFonts w:ascii="Arial" w:hAnsi="Arial" w:cs="Arial"/>
                <w:sz w:val="21"/>
                <w:szCs w:val="21"/>
              </w:rPr>
              <w:t xml:space="preserve">ón realizada más los honorarios por servicios legales, los impuestos, costos registrales por traspaso de </w:t>
            </w:r>
            <w:r w:rsidR="00F45247" w:rsidRPr="00802FB4">
              <w:rPr>
                <w:rFonts w:ascii="Arial" w:hAnsi="Arial" w:cs="Arial"/>
                <w:sz w:val="21"/>
                <w:szCs w:val="21"/>
              </w:rPr>
              <w:lastRenderedPageBreak/>
              <w:t>propiedades y otros costos directamente atribuibles a la transacción de compra</w:t>
            </w:r>
            <w:r w:rsidRPr="00802FB4">
              <w:rPr>
                <w:rFonts w:ascii="Arial" w:hAnsi="Arial" w:cs="Arial"/>
                <w:sz w:val="21"/>
                <w:szCs w:val="21"/>
              </w:rPr>
              <w:t>.</w:t>
            </w:r>
          </w:p>
          <w:p w14:paraId="7F5DAA81" w14:textId="3388063A" w:rsidR="00201CA0" w:rsidRPr="00802FB4" w:rsidRDefault="00201CA0" w:rsidP="006B0622">
            <w:pPr>
              <w:tabs>
                <w:tab w:val="left" w:pos="1160"/>
                <w:tab w:val="left" w:pos="1460"/>
              </w:tabs>
              <w:spacing w:before="240"/>
              <w:jc w:val="both"/>
              <w:rPr>
                <w:rFonts w:ascii="Arial" w:hAnsi="Arial" w:cs="Arial"/>
                <w:sz w:val="21"/>
                <w:szCs w:val="21"/>
              </w:rPr>
            </w:pPr>
            <w:r w:rsidRPr="00802FB4">
              <w:rPr>
                <w:rFonts w:ascii="Arial" w:hAnsi="Arial" w:cs="Arial"/>
                <w:sz w:val="21"/>
                <w:szCs w:val="21"/>
              </w:rPr>
              <w:t>La SAFI no podrá adquirir ni vender</w:t>
            </w:r>
            <w:r w:rsidR="000504FB" w:rsidRPr="00802FB4">
              <w:rPr>
                <w:rFonts w:ascii="Arial" w:hAnsi="Arial" w:cs="Arial"/>
                <w:sz w:val="21"/>
                <w:szCs w:val="21"/>
              </w:rPr>
              <w:t xml:space="preserve"> </w:t>
            </w:r>
            <w:r w:rsidR="009D2E3E">
              <w:rPr>
                <w:rFonts w:ascii="Arial" w:hAnsi="Arial" w:cs="Arial"/>
                <w:sz w:val="21"/>
                <w:szCs w:val="21"/>
              </w:rPr>
              <w:t xml:space="preserve">activos </w:t>
            </w:r>
            <w:r w:rsidRPr="00802FB4">
              <w:rPr>
                <w:rFonts w:ascii="Arial" w:hAnsi="Arial" w:cs="Arial"/>
                <w:sz w:val="21"/>
                <w:szCs w:val="21"/>
              </w:rPr>
              <w:t>a los socios</w:t>
            </w:r>
            <w:r w:rsidR="00806CBD" w:rsidRPr="00802FB4">
              <w:rPr>
                <w:rFonts w:ascii="Arial" w:hAnsi="Arial" w:cs="Arial"/>
                <w:sz w:val="21"/>
                <w:szCs w:val="21"/>
              </w:rPr>
              <w:t>, directores, miembros del Comité de Inversiones y colaboradores</w:t>
            </w:r>
            <w:r w:rsidR="00F45EC0" w:rsidRPr="00802FB4">
              <w:rPr>
                <w:rFonts w:ascii="Arial" w:hAnsi="Arial" w:cs="Arial"/>
                <w:sz w:val="21"/>
                <w:szCs w:val="21"/>
              </w:rPr>
              <w:t xml:space="preserve"> de Multifondos y del Grupo Financiero</w:t>
            </w:r>
            <w:r w:rsidR="003D2C8F" w:rsidRPr="00802FB4">
              <w:rPr>
                <w:rFonts w:ascii="Arial" w:hAnsi="Arial" w:cs="Arial"/>
                <w:sz w:val="21"/>
                <w:szCs w:val="21"/>
              </w:rPr>
              <w:t xml:space="preserve"> Mercado de Valores</w:t>
            </w:r>
            <w:r w:rsidR="00880129" w:rsidRPr="00802FB4">
              <w:rPr>
                <w:rFonts w:ascii="Arial" w:hAnsi="Arial" w:cs="Arial"/>
                <w:sz w:val="21"/>
                <w:szCs w:val="21"/>
              </w:rPr>
              <w:t>.</w:t>
            </w:r>
            <w:r w:rsidRPr="00802FB4">
              <w:rPr>
                <w:rFonts w:ascii="Arial" w:hAnsi="Arial" w:cs="Arial"/>
                <w:sz w:val="21"/>
                <w:szCs w:val="21"/>
              </w:rPr>
              <w:t xml:space="preserve"> </w:t>
            </w:r>
          </w:p>
        </w:tc>
      </w:tr>
      <w:tr w:rsidR="00571E7D" w:rsidRPr="00802FB4" w14:paraId="09754949" w14:textId="77777777" w:rsidTr="41B4933B">
        <w:trPr>
          <w:jc w:val="center"/>
        </w:trPr>
        <w:tc>
          <w:tcPr>
            <w:tcW w:w="9351" w:type="dxa"/>
            <w:gridSpan w:val="6"/>
            <w:vAlign w:val="center"/>
          </w:tcPr>
          <w:p w14:paraId="3FF7333C" w14:textId="77777777" w:rsidR="00571E7D" w:rsidRPr="00802FB4" w:rsidRDefault="00571E7D" w:rsidP="00CD73D1">
            <w:pPr>
              <w:pStyle w:val="CNV"/>
              <w:widowControl w:val="0"/>
              <w:tabs>
                <w:tab w:val="left" w:pos="8910"/>
              </w:tabs>
              <w:spacing w:before="120" w:after="120"/>
              <w:jc w:val="center"/>
              <w:rPr>
                <w:rFonts w:ascii="Arial" w:hAnsi="Arial" w:cs="Arial"/>
                <w:i/>
                <w:color w:val="000000" w:themeColor="text1"/>
                <w:sz w:val="21"/>
                <w:szCs w:val="21"/>
                <w:lang w:val="es-ES"/>
              </w:rPr>
            </w:pPr>
            <w:r w:rsidRPr="00802FB4">
              <w:rPr>
                <w:rFonts w:ascii="Arial" w:hAnsi="Arial" w:cs="Arial"/>
                <w:b/>
                <w:color w:val="000000" w:themeColor="text1"/>
                <w:sz w:val="21"/>
                <w:szCs w:val="21"/>
                <w:lang w:val="es-ES"/>
              </w:rPr>
              <w:lastRenderedPageBreak/>
              <w:t>Esquema de financiamiento</w:t>
            </w:r>
          </w:p>
        </w:tc>
      </w:tr>
      <w:tr w:rsidR="00571E7D" w:rsidRPr="00802FB4" w14:paraId="6C78A971" w14:textId="77777777" w:rsidTr="41B4933B">
        <w:trPr>
          <w:jc w:val="center"/>
        </w:trPr>
        <w:tc>
          <w:tcPr>
            <w:tcW w:w="2830" w:type="dxa"/>
            <w:vAlign w:val="center"/>
          </w:tcPr>
          <w:p w14:paraId="738929BE" w14:textId="77777777" w:rsidR="00571E7D" w:rsidRPr="00802FB4" w:rsidRDefault="00571E7D" w:rsidP="00CD73D1">
            <w:pPr>
              <w:pStyle w:val="CNV"/>
              <w:widowControl w:val="0"/>
              <w:tabs>
                <w:tab w:val="left" w:pos="8910"/>
              </w:tabs>
              <w:jc w:val="left"/>
              <w:rPr>
                <w:rFonts w:ascii="Arial" w:hAnsi="Arial" w:cs="Arial"/>
                <w:i/>
                <w:color w:val="000000" w:themeColor="text1"/>
                <w:sz w:val="21"/>
                <w:szCs w:val="21"/>
                <w:lang w:val="es-ES"/>
              </w:rPr>
            </w:pPr>
            <w:r w:rsidRPr="00802FB4">
              <w:rPr>
                <w:rFonts w:ascii="Arial" w:hAnsi="Arial" w:cs="Arial"/>
                <w:b/>
                <w:color w:val="000000" w:themeColor="text1"/>
                <w:sz w:val="21"/>
                <w:szCs w:val="21"/>
                <w:lang w:val="es-ES"/>
              </w:rPr>
              <w:t>Nivel máximo de endeudamiento del fondo</w:t>
            </w:r>
          </w:p>
        </w:tc>
        <w:tc>
          <w:tcPr>
            <w:tcW w:w="2268" w:type="dxa"/>
            <w:vAlign w:val="center"/>
          </w:tcPr>
          <w:p w14:paraId="70134F03" w14:textId="77777777" w:rsidR="00571E7D" w:rsidRPr="00802FB4" w:rsidRDefault="00571E7D" w:rsidP="00CD73D1">
            <w:pPr>
              <w:pStyle w:val="CNV"/>
              <w:widowControl w:val="0"/>
              <w:tabs>
                <w:tab w:val="left" w:pos="8910"/>
              </w:tabs>
              <w:jc w:val="center"/>
              <w:rPr>
                <w:rFonts w:ascii="Arial" w:hAnsi="Arial" w:cs="Arial"/>
                <w:color w:val="000000" w:themeColor="text1"/>
                <w:sz w:val="21"/>
                <w:szCs w:val="21"/>
                <w:lang w:val="es-ES"/>
              </w:rPr>
            </w:pPr>
            <w:r w:rsidRPr="00802FB4">
              <w:rPr>
                <w:rFonts w:ascii="Arial" w:hAnsi="Arial" w:cs="Arial"/>
                <w:color w:val="000000" w:themeColor="text1"/>
                <w:sz w:val="21"/>
                <w:szCs w:val="21"/>
                <w:lang w:val="es-ES"/>
              </w:rPr>
              <w:t>60%</w:t>
            </w:r>
          </w:p>
        </w:tc>
        <w:tc>
          <w:tcPr>
            <w:tcW w:w="2410" w:type="dxa"/>
            <w:gridSpan w:val="2"/>
            <w:vAlign w:val="center"/>
          </w:tcPr>
          <w:p w14:paraId="2FCB22FF" w14:textId="77777777" w:rsidR="00571E7D" w:rsidRPr="00802FB4" w:rsidRDefault="00571E7D" w:rsidP="0043220E">
            <w:pPr>
              <w:pStyle w:val="CNV"/>
              <w:widowControl w:val="0"/>
              <w:tabs>
                <w:tab w:val="left" w:pos="8910"/>
              </w:tabs>
              <w:jc w:val="left"/>
              <w:rPr>
                <w:rFonts w:ascii="Arial" w:hAnsi="Arial" w:cs="Arial"/>
                <w:i/>
                <w:color w:val="000000" w:themeColor="text1"/>
                <w:sz w:val="21"/>
                <w:szCs w:val="21"/>
                <w:lang w:val="es-ES"/>
              </w:rPr>
            </w:pPr>
            <w:r w:rsidRPr="00802FB4">
              <w:rPr>
                <w:rFonts w:ascii="Arial" w:hAnsi="Arial" w:cs="Arial"/>
                <w:b/>
                <w:color w:val="000000" w:themeColor="text1"/>
                <w:sz w:val="21"/>
                <w:szCs w:val="21"/>
                <w:lang w:val="es-ES"/>
              </w:rPr>
              <w:t>Moneda de contratación de las deudas del fondo</w:t>
            </w:r>
          </w:p>
        </w:tc>
        <w:tc>
          <w:tcPr>
            <w:tcW w:w="1843" w:type="dxa"/>
            <w:gridSpan w:val="2"/>
            <w:vAlign w:val="center"/>
          </w:tcPr>
          <w:p w14:paraId="1F0A62AF" w14:textId="77777777" w:rsidR="00571E7D" w:rsidRPr="00802FB4" w:rsidRDefault="00571E7D" w:rsidP="00CD73D1">
            <w:pPr>
              <w:pStyle w:val="CNV"/>
              <w:widowControl w:val="0"/>
              <w:tabs>
                <w:tab w:val="left" w:pos="8910"/>
              </w:tabs>
              <w:jc w:val="left"/>
              <w:rPr>
                <w:rFonts w:ascii="Arial" w:hAnsi="Arial" w:cs="Arial"/>
                <w:i/>
                <w:color w:val="000000" w:themeColor="text1"/>
                <w:sz w:val="21"/>
                <w:szCs w:val="21"/>
                <w:lang w:val="es-ES"/>
              </w:rPr>
            </w:pPr>
            <w:r w:rsidRPr="00802FB4">
              <w:rPr>
                <w:rFonts w:ascii="Arial" w:hAnsi="Arial" w:cs="Arial"/>
                <w:color w:val="000000" w:themeColor="text1"/>
                <w:sz w:val="21"/>
                <w:szCs w:val="21"/>
                <w:lang w:val="es-ES"/>
              </w:rPr>
              <w:t>Dólares estadounidenses</w:t>
            </w:r>
          </w:p>
        </w:tc>
      </w:tr>
    </w:tbl>
    <w:p w14:paraId="6C093408" w14:textId="77777777" w:rsidR="003755CC" w:rsidRPr="00802FB4" w:rsidRDefault="003755CC" w:rsidP="003755CC">
      <w:pPr>
        <w:rPr>
          <w:rFonts w:ascii="Arial" w:hAnsi="Arial" w:cs="Arial"/>
          <w:sz w:val="21"/>
          <w:szCs w:val="21"/>
        </w:rPr>
      </w:pPr>
    </w:p>
    <w:p w14:paraId="7397B3DE" w14:textId="2C4588CE" w:rsidR="00DE24EF" w:rsidRPr="00802FB4" w:rsidRDefault="00DE24EF" w:rsidP="004D4ABE">
      <w:pPr>
        <w:pStyle w:val="Ttulo1"/>
        <w:numPr>
          <w:ilvl w:val="0"/>
          <w:numId w:val="1"/>
        </w:numPr>
        <w:ind w:left="142"/>
        <w:rPr>
          <w:rFonts w:ascii="Arial" w:hAnsi="Arial" w:cs="Arial"/>
          <w:sz w:val="24"/>
          <w:szCs w:val="21"/>
        </w:rPr>
      </w:pPr>
      <w:bookmarkStart w:id="13" w:name="_Toc34228945"/>
      <w:r w:rsidRPr="00802FB4">
        <w:rPr>
          <w:rFonts w:ascii="Arial" w:hAnsi="Arial" w:cs="Arial"/>
          <w:sz w:val="24"/>
          <w:szCs w:val="21"/>
        </w:rPr>
        <w:t>Disposiciones operativas</w:t>
      </w:r>
      <w:bookmarkEnd w:id="13"/>
      <w:r w:rsidRPr="00802FB4">
        <w:rPr>
          <w:rFonts w:ascii="Arial" w:hAnsi="Arial" w:cs="Arial"/>
          <w:sz w:val="24"/>
          <w:szCs w:val="21"/>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72"/>
        <w:gridCol w:w="6379"/>
      </w:tblGrid>
      <w:tr w:rsidR="008C5E1B" w:rsidRPr="00802FB4" w14:paraId="24E13831" w14:textId="77777777" w:rsidTr="00D91E0F">
        <w:trPr>
          <w:jc w:val="center"/>
        </w:trPr>
        <w:tc>
          <w:tcPr>
            <w:tcW w:w="9351" w:type="dxa"/>
            <w:gridSpan w:val="2"/>
            <w:vAlign w:val="center"/>
          </w:tcPr>
          <w:p w14:paraId="1DDC3B72" w14:textId="77777777" w:rsidR="008C5E1B" w:rsidRPr="00802FB4" w:rsidRDefault="00F427C9" w:rsidP="00D83795">
            <w:pPr>
              <w:pStyle w:val="CNV"/>
              <w:widowControl w:val="0"/>
              <w:tabs>
                <w:tab w:val="left" w:pos="8910"/>
              </w:tabs>
              <w:spacing w:before="120" w:after="120"/>
              <w:jc w:val="center"/>
              <w:rPr>
                <w:rFonts w:ascii="Arial" w:hAnsi="Arial" w:cs="Arial"/>
                <w:b/>
                <w:sz w:val="21"/>
                <w:szCs w:val="21"/>
                <w:lang w:val="es-ES"/>
              </w:rPr>
            </w:pPr>
            <w:r w:rsidRPr="00802FB4">
              <w:rPr>
                <w:rFonts w:ascii="Arial" w:hAnsi="Arial" w:cs="Arial"/>
                <w:b/>
                <w:sz w:val="21"/>
                <w:szCs w:val="21"/>
                <w:lang w:val="es-ES"/>
              </w:rPr>
              <w:t>Disposiciones operativas</w:t>
            </w:r>
          </w:p>
        </w:tc>
      </w:tr>
      <w:tr w:rsidR="00AC6E06" w:rsidRPr="00802FB4" w14:paraId="5291991F" w14:textId="77777777" w:rsidTr="004D4ABE">
        <w:trPr>
          <w:jc w:val="center"/>
        </w:trPr>
        <w:tc>
          <w:tcPr>
            <w:tcW w:w="2972" w:type="dxa"/>
            <w:vAlign w:val="center"/>
          </w:tcPr>
          <w:p w14:paraId="6F3576FB" w14:textId="77777777" w:rsidR="00571E7D" w:rsidRPr="00802FB4" w:rsidRDefault="00571E7D" w:rsidP="00CD73D1">
            <w:pPr>
              <w:pStyle w:val="CNV"/>
              <w:widowControl w:val="0"/>
              <w:tabs>
                <w:tab w:val="left" w:pos="8910"/>
              </w:tabs>
              <w:jc w:val="left"/>
              <w:rPr>
                <w:rFonts w:ascii="Arial" w:hAnsi="Arial" w:cs="Arial"/>
                <w:b/>
                <w:color w:val="000000" w:themeColor="text1"/>
                <w:sz w:val="21"/>
                <w:szCs w:val="21"/>
                <w:lang w:val="es-ES"/>
              </w:rPr>
            </w:pPr>
            <w:r w:rsidRPr="00802FB4">
              <w:rPr>
                <w:rFonts w:ascii="Arial" w:hAnsi="Arial" w:cs="Arial"/>
                <w:b/>
                <w:color w:val="000000" w:themeColor="text1"/>
                <w:sz w:val="21"/>
                <w:szCs w:val="21"/>
                <w:lang w:val="es-ES"/>
              </w:rPr>
              <w:t>Política</w:t>
            </w:r>
            <w:r w:rsidR="00CD73D1" w:rsidRPr="00802FB4">
              <w:rPr>
                <w:rFonts w:ascii="Arial" w:hAnsi="Arial" w:cs="Arial"/>
                <w:b/>
                <w:color w:val="000000" w:themeColor="text1"/>
                <w:sz w:val="21"/>
                <w:szCs w:val="21"/>
                <w:lang w:val="es-ES"/>
              </w:rPr>
              <w:t>s</w:t>
            </w:r>
            <w:r w:rsidRPr="00802FB4">
              <w:rPr>
                <w:rFonts w:ascii="Arial" w:hAnsi="Arial" w:cs="Arial"/>
                <w:b/>
                <w:color w:val="000000" w:themeColor="text1"/>
                <w:sz w:val="21"/>
                <w:szCs w:val="21"/>
                <w:lang w:val="es-ES"/>
              </w:rPr>
              <w:t xml:space="preserve"> </w:t>
            </w:r>
            <w:r w:rsidR="00CD73D1" w:rsidRPr="00802FB4">
              <w:rPr>
                <w:rFonts w:ascii="Arial" w:hAnsi="Arial" w:cs="Arial"/>
                <w:b/>
                <w:color w:val="000000" w:themeColor="text1"/>
                <w:sz w:val="21"/>
                <w:szCs w:val="21"/>
                <w:lang w:val="es-ES"/>
              </w:rPr>
              <w:t xml:space="preserve">y lineamientos </w:t>
            </w:r>
            <w:r w:rsidRPr="00802FB4">
              <w:rPr>
                <w:rFonts w:ascii="Arial" w:hAnsi="Arial" w:cs="Arial"/>
                <w:b/>
                <w:color w:val="000000" w:themeColor="text1"/>
                <w:sz w:val="21"/>
                <w:szCs w:val="21"/>
                <w:lang w:val="es-ES"/>
              </w:rPr>
              <w:t xml:space="preserve">para la administración de atrasos en los alquileres </w:t>
            </w:r>
          </w:p>
        </w:tc>
        <w:tc>
          <w:tcPr>
            <w:tcW w:w="6379" w:type="dxa"/>
            <w:vAlign w:val="center"/>
          </w:tcPr>
          <w:p w14:paraId="71226A73" w14:textId="77777777" w:rsidR="00346D7D" w:rsidRPr="00802FB4" w:rsidRDefault="00E1459E" w:rsidP="00B125DD">
            <w:pPr>
              <w:tabs>
                <w:tab w:val="left" w:pos="1160"/>
                <w:tab w:val="left" w:pos="1460"/>
              </w:tabs>
              <w:jc w:val="both"/>
              <w:rPr>
                <w:rFonts w:ascii="Arial" w:hAnsi="Arial" w:cs="Arial"/>
                <w:sz w:val="21"/>
                <w:szCs w:val="21"/>
              </w:rPr>
            </w:pPr>
            <w:r w:rsidRPr="00802FB4">
              <w:rPr>
                <w:rFonts w:ascii="Arial" w:hAnsi="Arial" w:cs="Arial"/>
                <w:sz w:val="21"/>
                <w:szCs w:val="21"/>
              </w:rPr>
              <w:t>1.</w:t>
            </w:r>
            <w:r w:rsidRPr="00802FB4">
              <w:rPr>
                <w:rFonts w:ascii="Arial" w:hAnsi="Arial" w:cs="Arial"/>
                <w:sz w:val="21"/>
                <w:szCs w:val="21"/>
              </w:rPr>
              <w:tab/>
            </w:r>
            <w:r w:rsidR="00346D7D" w:rsidRPr="00802FB4">
              <w:rPr>
                <w:rFonts w:ascii="Arial" w:hAnsi="Arial" w:cs="Arial"/>
                <w:sz w:val="21"/>
                <w:szCs w:val="21"/>
              </w:rPr>
              <w:t>Si existe un retraso en el pago por parte del inquilino, se realizan las gestiones de cobro administrativas tanto telefónicas como vía e-mail registrando los esfuerzos realizados en una Bitácora de cobro.</w:t>
            </w:r>
          </w:p>
          <w:p w14:paraId="505AB3F0" w14:textId="77777777" w:rsidR="00346D7D" w:rsidRPr="00802FB4" w:rsidRDefault="00346D7D" w:rsidP="00B125DD">
            <w:pPr>
              <w:tabs>
                <w:tab w:val="left" w:pos="1160"/>
                <w:tab w:val="left" w:pos="1460"/>
              </w:tabs>
              <w:jc w:val="both"/>
              <w:rPr>
                <w:rFonts w:ascii="Arial" w:hAnsi="Arial" w:cs="Arial"/>
                <w:sz w:val="21"/>
                <w:szCs w:val="21"/>
              </w:rPr>
            </w:pPr>
            <w:r w:rsidRPr="00802FB4">
              <w:rPr>
                <w:rFonts w:ascii="Arial" w:hAnsi="Arial" w:cs="Arial"/>
                <w:sz w:val="21"/>
                <w:szCs w:val="21"/>
              </w:rPr>
              <w:t>2.</w:t>
            </w:r>
            <w:r w:rsidRPr="00802FB4">
              <w:rPr>
                <w:rFonts w:ascii="Arial" w:hAnsi="Arial" w:cs="Arial"/>
                <w:sz w:val="21"/>
                <w:szCs w:val="21"/>
              </w:rPr>
              <w:tab/>
              <w:t>Transcurridos (30) días de retraso en el pago se envía una Nota de cobro administrativo.</w:t>
            </w:r>
          </w:p>
          <w:p w14:paraId="42B5E943" w14:textId="77777777" w:rsidR="00346D7D" w:rsidRPr="00802FB4" w:rsidRDefault="00346D7D" w:rsidP="00B125DD">
            <w:pPr>
              <w:tabs>
                <w:tab w:val="left" w:pos="1160"/>
                <w:tab w:val="left" w:pos="1460"/>
              </w:tabs>
              <w:jc w:val="both"/>
              <w:rPr>
                <w:rFonts w:ascii="Arial" w:hAnsi="Arial" w:cs="Arial"/>
                <w:sz w:val="21"/>
                <w:szCs w:val="21"/>
              </w:rPr>
            </w:pPr>
            <w:r w:rsidRPr="00802FB4">
              <w:rPr>
                <w:rFonts w:ascii="Arial" w:hAnsi="Arial" w:cs="Arial"/>
                <w:sz w:val="21"/>
                <w:szCs w:val="21"/>
              </w:rPr>
              <w:t>3.</w:t>
            </w:r>
            <w:r w:rsidRPr="00802FB4">
              <w:rPr>
                <w:rFonts w:ascii="Arial" w:hAnsi="Arial" w:cs="Arial"/>
                <w:sz w:val="21"/>
                <w:szCs w:val="21"/>
              </w:rPr>
              <w:tab/>
              <w:t>A partir de los (45) días de retraso en el pago se envía una segunda una nota de cobro administrativo requiriendo al inquilino que se ponga al día con su cuenta.</w:t>
            </w:r>
          </w:p>
          <w:p w14:paraId="57C27878" w14:textId="77777777" w:rsidR="00346D7D" w:rsidRPr="00802FB4" w:rsidRDefault="00346D7D" w:rsidP="00B125DD">
            <w:pPr>
              <w:tabs>
                <w:tab w:val="left" w:pos="1160"/>
                <w:tab w:val="left" w:pos="1460"/>
              </w:tabs>
              <w:jc w:val="both"/>
              <w:rPr>
                <w:rFonts w:ascii="Arial" w:hAnsi="Arial" w:cs="Arial"/>
                <w:sz w:val="21"/>
                <w:szCs w:val="21"/>
              </w:rPr>
            </w:pPr>
            <w:r w:rsidRPr="00802FB4">
              <w:rPr>
                <w:rFonts w:ascii="Arial" w:hAnsi="Arial" w:cs="Arial"/>
                <w:sz w:val="21"/>
                <w:szCs w:val="21"/>
              </w:rPr>
              <w:t>4.</w:t>
            </w:r>
            <w:r w:rsidRPr="00802FB4">
              <w:rPr>
                <w:rFonts w:ascii="Arial" w:hAnsi="Arial" w:cs="Arial"/>
                <w:sz w:val="21"/>
                <w:szCs w:val="21"/>
              </w:rPr>
              <w:tab/>
              <w:t xml:space="preserve">A los (60) días de retraso el Administrador debe contactar al inquilino para tratar de negociar un arreglo de pago. </w:t>
            </w:r>
          </w:p>
          <w:p w14:paraId="5A947839" w14:textId="77777777" w:rsidR="00346D7D" w:rsidRPr="00802FB4" w:rsidRDefault="00346D7D" w:rsidP="00B125DD">
            <w:pPr>
              <w:tabs>
                <w:tab w:val="left" w:pos="1160"/>
                <w:tab w:val="left" w:pos="1460"/>
              </w:tabs>
              <w:jc w:val="both"/>
              <w:rPr>
                <w:rFonts w:ascii="Arial" w:hAnsi="Arial" w:cs="Arial"/>
                <w:sz w:val="21"/>
                <w:szCs w:val="21"/>
              </w:rPr>
            </w:pPr>
            <w:r w:rsidRPr="00802FB4">
              <w:rPr>
                <w:rFonts w:ascii="Arial" w:hAnsi="Arial" w:cs="Arial"/>
                <w:sz w:val="21"/>
                <w:szCs w:val="21"/>
              </w:rPr>
              <w:t>5.</w:t>
            </w:r>
            <w:r w:rsidRPr="00802FB4">
              <w:rPr>
                <w:rFonts w:ascii="Arial" w:hAnsi="Arial" w:cs="Arial"/>
                <w:sz w:val="21"/>
                <w:szCs w:val="21"/>
              </w:rPr>
              <w:tab/>
              <w:t xml:space="preserve">La administración se reserva el derecho de evaluar los plazos aquí establecidos cuando se trate casos especiales o fuerza mayor. </w:t>
            </w:r>
          </w:p>
          <w:p w14:paraId="0CD4FA60" w14:textId="77777777" w:rsidR="00346D7D" w:rsidRPr="00802FB4" w:rsidRDefault="00346D7D" w:rsidP="00B125DD">
            <w:pPr>
              <w:tabs>
                <w:tab w:val="left" w:pos="1160"/>
                <w:tab w:val="left" w:pos="1460"/>
              </w:tabs>
              <w:jc w:val="both"/>
              <w:rPr>
                <w:rFonts w:ascii="Arial" w:hAnsi="Arial" w:cs="Arial"/>
                <w:sz w:val="21"/>
                <w:szCs w:val="21"/>
              </w:rPr>
            </w:pPr>
            <w:r w:rsidRPr="00802FB4">
              <w:rPr>
                <w:rFonts w:ascii="Arial" w:hAnsi="Arial" w:cs="Arial"/>
                <w:sz w:val="21"/>
                <w:szCs w:val="21"/>
              </w:rPr>
              <w:t>6.</w:t>
            </w:r>
            <w:r w:rsidRPr="00802FB4">
              <w:rPr>
                <w:rFonts w:ascii="Arial" w:hAnsi="Arial" w:cs="Arial"/>
                <w:sz w:val="21"/>
                <w:szCs w:val="21"/>
              </w:rPr>
              <w:tab/>
              <w:t>Se debe procurar realizar una reunión con el abogado y el inquilino para dar un último aviso al cliente antes de proceder al cobro judicial y desahucio.  Si no se logra se procederá a coordinar el envío de una nota de cobro judicial de parte del abogado.</w:t>
            </w:r>
          </w:p>
          <w:p w14:paraId="6195FC48" w14:textId="77777777" w:rsidR="00346D7D" w:rsidRPr="00802FB4" w:rsidRDefault="00346D7D" w:rsidP="00B125DD">
            <w:pPr>
              <w:tabs>
                <w:tab w:val="left" w:pos="1160"/>
                <w:tab w:val="left" w:pos="1460"/>
              </w:tabs>
              <w:jc w:val="both"/>
              <w:rPr>
                <w:rFonts w:ascii="Arial" w:hAnsi="Arial" w:cs="Arial"/>
                <w:sz w:val="21"/>
                <w:szCs w:val="21"/>
              </w:rPr>
            </w:pPr>
            <w:r w:rsidRPr="00802FB4">
              <w:rPr>
                <w:rFonts w:ascii="Arial" w:hAnsi="Arial" w:cs="Arial"/>
                <w:sz w:val="21"/>
                <w:szCs w:val="21"/>
              </w:rPr>
              <w:t>7.</w:t>
            </w:r>
            <w:r w:rsidRPr="00802FB4">
              <w:rPr>
                <w:rFonts w:ascii="Arial" w:hAnsi="Arial" w:cs="Arial"/>
                <w:sz w:val="21"/>
                <w:szCs w:val="21"/>
              </w:rPr>
              <w:tab/>
              <w:t>En el caso de que no se llegue a un arreglo de pago se procederá a completar una copia del expediente con el fin de enviarlo al abogado para documentar todos los pasos legales para el cobro de lo pendiente.</w:t>
            </w:r>
          </w:p>
          <w:p w14:paraId="51FC33F7" w14:textId="77777777" w:rsidR="00346D7D" w:rsidRPr="00802FB4" w:rsidRDefault="00346D7D" w:rsidP="00B125DD">
            <w:pPr>
              <w:tabs>
                <w:tab w:val="left" w:pos="1160"/>
                <w:tab w:val="left" w:pos="1460"/>
              </w:tabs>
              <w:jc w:val="both"/>
              <w:rPr>
                <w:rFonts w:ascii="Arial" w:hAnsi="Arial" w:cs="Arial"/>
                <w:sz w:val="21"/>
                <w:szCs w:val="21"/>
              </w:rPr>
            </w:pPr>
            <w:r w:rsidRPr="00802FB4">
              <w:rPr>
                <w:rFonts w:ascii="Arial" w:hAnsi="Arial" w:cs="Arial"/>
                <w:sz w:val="21"/>
                <w:szCs w:val="21"/>
              </w:rPr>
              <w:t>8.</w:t>
            </w:r>
            <w:r w:rsidRPr="00802FB4">
              <w:rPr>
                <w:rFonts w:ascii="Arial" w:hAnsi="Arial" w:cs="Arial"/>
                <w:sz w:val="21"/>
                <w:szCs w:val="21"/>
              </w:rPr>
              <w:tab/>
              <w:t xml:space="preserve">Registro contable: </w:t>
            </w:r>
          </w:p>
          <w:p w14:paraId="53627474" w14:textId="77777777" w:rsidR="00346D7D" w:rsidRPr="00802FB4" w:rsidRDefault="00346D7D" w:rsidP="00B125DD">
            <w:pPr>
              <w:tabs>
                <w:tab w:val="left" w:pos="1160"/>
                <w:tab w:val="left" w:pos="1460"/>
              </w:tabs>
              <w:jc w:val="both"/>
              <w:rPr>
                <w:rFonts w:ascii="Arial" w:hAnsi="Arial" w:cs="Arial"/>
                <w:sz w:val="21"/>
                <w:szCs w:val="21"/>
              </w:rPr>
            </w:pPr>
            <w:r w:rsidRPr="00802FB4">
              <w:rPr>
                <w:rFonts w:ascii="Arial" w:hAnsi="Arial" w:cs="Arial"/>
                <w:sz w:val="21"/>
                <w:szCs w:val="21"/>
              </w:rPr>
              <w:t>Mensualmente se deben revisar las cuentas por cobrar determinando aquellos inquilinos cuyo retraso supere el monto que mantiene en depósitos en garantía.</w:t>
            </w:r>
          </w:p>
          <w:p w14:paraId="122E1693" w14:textId="798816DF" w:rsidR="00571E7D" w:rsidRPr="00802FB4" w:rsidRDefault="00571E7D" w:rsidP="00B125DD">
            <w:pPr>
              <w:tabs>
                <w:tab w:val="left" w:pos="1160"/>
                <w:tab w:val="left" w:pos="1460"/>
              </w:tabs>
              <w:jc w:val="both"/>
              <w:rPr>
                <w:rFonts w:ascii="Arial" w:hAnsi="Arial" w:cs="Arial"/>
                <w:sz w:val="21"/>
                <w:szCs w:val="21"/>
              </w:rPr>
            </w:pPr>
          </w:p>
          <w:p w14:paraId="05551A7F" w14:textId="5B44EE61" w:rsidR="00BE6171" w:rsidRPr="00802FB4" w:rsidRDefault="00BE6171" w:rsidP="00B125DD">
            <w:pPr>
              <w:tabs>
                <w:tab w:val="left" w:pos="1160"/>
                <w:tab w:val="left" w:pos="1460"/>
              </w:tabs>
              <w:jc w:val="both"/>
              <w:rPr>
                <w:rFonts w:ascii="Arial" w:hAnsi="Arial" w:cs="Arial"/>
                <w:sz w:val="21"/>
                <w:szCs w:val="21"/>
              </w:rPr>
            </w:pPr>
            <w:r w:rsidRPr="00802FB4">
              <w:rPr>
                <w:rFonts w:ascii="Arial" w:hAnsi="Arial" w:cs="Arial"/>
                <w:sz w:val="21"/>
                <w:szCs w:val="21"/>
              </w:rPr>
              <w:t>Aquellos inquilinos cuyo monto adeudado llegue a superar el monto que mantiene el Fondo como depósito en garantía, deben iniciar un registro de estimación por incobrable, la cual mes a mes se va aumentando o disminuyendo en función del comportamiento de pago del inquilino. </w:t>
            </w:r>
            <w:r w:rsidR="003D4A4E" w:rsidRPr="00802FB4">
              <w:rPr>
                <w:rFonts w:ascii="Arial" w:hAnsi="Arial" w:cs="Arial"/>
                <w:sz w:val="21"/>
                <w:szCs w:val="21"/>
              </w:rPr>
              <w:t xml:space="preserve">La administración se reserva el derecho de </w:t>
            </w:r>
            <w:r w:rsidR="003D4A4E" w:rsidRPr="00802FB4">
              <w:rPr>
                <w:rFonts w:ascii="Arial" w:hAnsi="Arial" w:cs="Arial"/>
                <w:sz w:val="21"/>
                <w:szCs w:val="21"/>
              </w:rPr>
              <w:lastRenderedPageBreak/>
              <w:t>no registrar esta estimación en el caso de que existan arreglos de pago con el inquilino.</w:t>
            </w:r>
          </w:p>
          <w:p w14:paraId="727D0DB1" w14:textId="77777777" w:rsidR="00B125DD" w:rsidRPr="00802FB4" w:rsidRDefault="00B125DD" w:rsidP="00B125DD">
            <w:pPr>
              <w:tabs>
                <w:tab w:val="left" w:pos="1160"/>
                <w:tab w:val="left" w:pos="1460"/>
              </w:tabs>
              <w:jc w:val="both"/>
              <w:rPr>
                <w:rFonts w:ascii="Arial" w:hAnsi="Arial" w:cs="Arial"/>
                <w:sz w:val="21"/>
                <w:szCs w:val="21"/>
              </w:rPr>
            </w:pPr>
          </w:p>
          <w:p w14:paraId="18E6C57F" w14:textId="77777777" w:rsidR="00DA6860" w:rsidRPr="00802FB4" w:rsidRDefault="00DA6860" w:rsidP="00B125DD">
            <w:pPr>
              <w:tabs>
                <w:tab w:val="left" w:pos="1160"/>
                <w:tab w:val="left" w:pos="1460"/>
              </w:tabs>
              <w:jc w:val="both"/>
              <w:rPr>
                <w:rFonts w:ascii="Arial" w:hAnsi="Arial" w:cs="Arial"/>
                <w:sz w:val="21"/>
                <w:szCs w:val="21"/>
              </w:rPr>
            </w:pPr>
            <w:bookmarkStart w:id="14" w:name="_Hlk166767779"/>
            <w:r w:rsidRPr="00802FB4">
              <w:rPr>
                <w:rFonts w:ascii="Arial" w:hAnsi="Arial" w:cs="Arial"/>
                <w:sz w:val="21"/>
                <w:szCs w:val="21"/>
              </w:rPr>
              <w:t xml:space="preserve">Cuando se trate de casos que se encuentren en proceso de desahucio, el monto del alquiler dejará de registrarse en las cuentas por cobrar y se continúa registrando la estimación por incobrables. </w:t>
            </w:r>
            <w:r w:rsidRPr="00802FB4" w:rsidDel="00EC5B37">
              <w:rPr>
                <w:rFonts w:ascii="Arial" w:hAnsi="Arial" w:cs="Arial"/>
                <w:sz w:val="21"/>
                <w:szCs w:val="21"/>
              </w:rPr>
              <w:t xml:space="preserve"> </w:t>
            </w:r>
            <w:r w:rsidRPr="00802FB4">
              <w:rPr>
                <w:rFonts w:ascii="Arial" w:hAnsi="Arial" w:cs="Arial"/>
                <w:sz w:val="21"/>
                <w:szCs w:val="21"/>
              </w:rPr>
              <w:t xml:space="preserve">En caso de percibir ingresos posteriormente al inicio del proceso de desahucio serán registrados o reconocidos como </w:t>
            </w:r>
            <w:bookmarkEnd w:id="14"/>
            <w:r w:rsidRPr="00802FB4">
              <w:rPr>
                <w:rFonts w:ascii="Arial" w:hAnsi="Arial" w:cs="Arial"/>
                <w:sz w:val="21"/>
                <w:szCs w:val="21"/>
              </w:rPr>
              <w:t>Otros ingresos.</w:t>
            </w:r>
          </w:p>
          <w:p w14:paraId="6113E1B0" w14:textId="77777777" w:rsidR="00B125DD" w:rsidRPr="00802FB4" w:rsidRDefault="00B125DD" w:rsidP="00B125DD">
            <w:pPr>
              <w:tabs>
                <w:tab w:val="left" w:pos="1160"/>
                <w:tab w:val="left" w:pos="1460"/>
              </w:tabs>
              <w:jc w:val="both"/>
              <w:rPr>
                <w:rFonts w:ascii="Arial" w:hAnsi="Arial" w:cs="Arial"/>
                <w:sz w:val="21"/>
                <w:szCs w:val="21"/>
              </w:rPr>
            </w:pPr>
          </w:p>
          <w:p w14:paraId="4D33AD71" w14:textId="0DCB75E6" w:rsidR="007E28E0" w:rsidRPr="00802FB4" w:rsidRDefault="00DA6860" w:rsidP="00B125DD">
            <w:pPr>
              <w:tabs>
                <w:tab w:val="left" w:pos="1160"/>
                <w:tab w:val="left" w:pos="1460"/>
              </w:tabs>
              <w:jc w:val="both"/>
              <w:rPr>
                <w:rFonts w:ascii="Arial" w:hAnsi="Arial" w:cs="Arial"/>
                <w:sz w:val="21"/>
                <w:szCs w:val="21"/>
              </w:rPr>
            </w:pPr>
            <w:r w:rsidRPr="00802FB4">
              <w:rPr>
                <w:rFonts w:ascii="Arial" w:hAnsi="Arial" w:cs="Arial"/>
                <w:sz w:val="21"/>
                <w:szCs w:val="21"/>
              </w:rPr>
              <w:t>Cuando el inquilino accede a hacer entrega voluntaria del inmueble y en caso de haber logrado un acuerdo de pago al momento de toma de posesión del inmueble, se documenta el acuerdo a través de un pagaré o una letra de cambio.  </w:t>
            </w:r>
          </w:p>
        </w:tc>
      </w:tr>
      <w:tr w:rsidR="008C5E1B" w:rsidRPr="00802FB4" w14:paraId="568ADD54" w14:textId="77777777" w:rsidTr="004D4ABE">
        <w:trPr>
          <w:jc w:val="center"/>
        </w:trPr>
        <w:tc>
          <w:tcPr>
            <w:tcW w:w="2972" w:type="dxa"/>
            <w:vAlign w:val="center"/>
          </w:tcPr>
          <w:p w14:paraId="36AC28A2" w14:textId="77777777" w:rsidR="008C5E1B" w:rsidRPr="00802FB4" w:rsidRDefault="00CD73D1"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lastRenderedPageBreak/>
              <w:t>Políticas y l</w:t>
            </w:r>
            <w:r w:rsidR="008C5E1B" w:rsidRPr="00802FB4">
              <w:rPr>
                <w:rFonts w:ascii="Arial" w:hAnsi="Arial" w:cs="Arial"/>
                <w:b/>
                <w:sz w:val="21"/>
                <w:szCs w:val="21"/>
                <w:lang w:val="es-ES"/>
              </w:rPr>
              <w:t xml:space="preserve">ineamientos sobre contratación de seguros </w:t>
            </w:r>
          </w:p>
        </w:tc>
        <w:tc>
          <w:tcPr>
            <w:tcW w:w="6379" w:type="dxa"/>
            <w:vAlign w:val="center"/>
          </w:tcPr>
          <w:p w14:paraId="059F97B0" w14:textId="64A9A65F" w:rsidR="008C5E1B" w:rsidRPr="00802FB4" w:rsidRDefault="00AC6E06" w:rsidP="00957AE3">
            <w:pPr>
              <w:jc w:val="both"/>
              <w:rPr>
                <w:rFonts w:ascii="Arial" w:hAnsi="Arial" w:cs="Arial"/>
                <w:b/>
                <w:sz w:val="21"/>
                <w:szCs w:val="21"/>
              </w:rPr>
            </w:pPr>
            <w:r w:rsidRPr="00802FB4">
              <w:rPr>
                <w:rFonts w:ascii="Arial" w:hAnsi="Arial" w:cs="Arial"/>
                <w:bCs/>
                <w:sz w:val="21"/>
                <w:szCs w:val="21"/>
              </w:rPr>
              <w:t>Todas las propiedades se aseguran desde el momento en que son adquiridas por el fondo, al valor de reposición que se indique en los informes de valoraciones vigentes. El tipo de coberturas que Multifondos contratará son las de modalidad: todo riesgo daño físico directo, responsabilidad civil y pérdida de rentas según las políticas internas. La selección de las compañías de seguros se lleva a cabo de acuerdo con aspectos que puedan demostrar solidez y trayectoria.</w:t>
            </w:r>
          </w:p>
        </w:tc>
      </w:tr>
      <w:tr w:rsidR="008C5E1B" w:rsidRPr="00802FB4" w14:paraId="37B14D62" w14:textId="77777777" w:rsidTr="004D4ABE">
        <w:trPr>
          <w:jc w:val="center"/>
        </w:trPr>
        <w:tc>
          <w:tcPr>
            <w:tcW w:w="2972" w:type="dxa"/>
            <w:vAlign w:val="center"/>
          </w:tcPr>
          <w:p w14:paraId="2859C7AB" w14:textId="77777777" w:rsidR="008C5E1B" w:rsidRPr="00802FB4" w:rsidRDefault="00CD73D1" w:rsidP="00D83795">
            <w:pPr>
              <w:pStyle w:val="CNV"/>
              <w:widowControl w:val="0"/>
              <w:tabs>
                <w:tab w:val="left" w:pos="8910"/>
              </w:tabs>
              <w:jc w:val="left"/>
              <w:rPr>
                <w:rFonts w:ascii="Arial" w:hAnsi="Arial" w:cs="Arial"/>
                <w:b/>
                <w:sz w:val="21"/>
                <w:szCs w:val="21"/>
                <w:highlight w:val="yellow"/>
                <w:lang w:val="es-ES"/>
              </w:rPr>
            </w:pPr>
            <w:r w:rsidRPr="00802FB4">
              <w:rPr>
                <w:rFonts w:ascii="Arial" w:hAnsi="Arial" w:cs="Arial"/>
                <w:b/>
                <w:sz w:val="21"/>
                <w:szCs w:val="21"/>
                <w:lang w:val="es-ES"/>
              </w:rPr>
              <w:t>Políticas y l</w:t>
            </w:r>
            <w:r w:rsidR="008C5E1B" w:rsidRPr="00802FB4">
              <w:rPr>
                <w:rFonts w:ascii="Arial" w:hAnsi="Arial" w:cs="Arial"/>
                <w:b/>
                <w:sz w:val="21"/>
                <w:szCs w:val="21"/>
                <w:lang w:val="es-ES"/>
              </w:rPr>
              <w:t>ineamientos sobre reparaciones, remodelaciones, mejoras y ampliaciones de inmuebles</w:t>
            </w:r>
          </w:p>
        </w:tc>
        <w:tc>
          <w:tcPr>
            <w:tcW w:w="6379" w:type="dxa"/>
            <w:vAlign w:val="center"/>
          </w:tcPr>
          <w:p w14:paraId="174DB108" w14:textId="52B84D1F" w:rsidR="00F403A5" w:rsidRPr="00802FB4" w:rsidRDefault="00F403A5" w:rsidP="00F403A5">
            <w:pPr>
              <w:jc w:val="both"/>
              <w:rPr>
                <w:rFonts w:ascii="Arial" w:hAnsi="Arial" w:cs="Arial"/>
                <w:sz w:val="21"/>
                <w:szCs w:val="21"/>
              </w:rPr>
            </w:pPr>
            <w:r w:rsidRPr="00802FB4">
              <w:rPr>
                <w:rFonts w:ascii="Arial" w:hAnsi="Arial" w:cs="Arial"/>
                <w:sz w:val="21"/>
                <w:szCs w:val="21"/>
              </w:rPr>
              <w:t xml:space="preserve">Multifondos podrá efectuar reparaciones, remodelaciones, mejoras, ampliaciones e inversiones a los inmuebles de los fondos inmobiliarios que administra, de acuerdo con el estado de </w:t>
            </w:r>
            <w:r w:rsidR="00E00D5A" w:rsidRPr="00802FB4">
              <w:rPr>
                <w:rFonts w:ascii="Arial" w:hAnsi="Arial" w:cs="Arial"/>
                <w:sz w:val="21"/>
                <w:szCs w:val="21"/>
              </w:rPr>
              <w:t>estos</w:t>
            </w:r>
            <w:r w:rsidRPr="00802FB4">
              <w:rPr>
                <w:rFonts w:ascii="Arial" w:hAnsi="Arial" w:cs="Arial"/>
                <w:sz w:val="21"/>
                <w:szCs w:val="21"/>
              </w:rPr>
              <w:t xml:space="preserve">, las necesidades de sus arrendatarios o la estrategia de los fondos, con el objetivo de lograr mantener o mejorar el nivel de los inmuebles y de ocupación de los fondos. </w:t>
            </w:r>
          </w:p>
          <w:p w14:paraId="2FAE3E58" w14:textId="77777777" w:rsidR="00316C93" w:rsidRPr="00802FB4" w:rsidRDefault="00F403A5" w:rsidP="00EF629B">
            <w:pPr>
              <w:spacing w:before="240"/>
              <w:jc w:val="both"/>
              <w:rPr>
                <w:rFonts w:ascii="Arial" w:hAnsi="Arial" w:cs="Arial"/>
                <w:sz w:val="21"/>
                <w:szCs w:val="21"/>
              </w:rPr>
            </w:pPr>
            <w:r w:rsidRPr="00802FB4">
              <w:rPr>
                <w:rFonts w:ascii="Arial" w:hAnsi="Arial" w:cs="Arial"/>
                <w:sz w:val="21"/>
                <w:szCs w:val="21"/>
              </w:rPr>
              <w:t>Los administradores de inmuebles o quien corresponda presentarán a la administración las solicitudes de trabajos requeridos a realizar según los fundamentos técnicos (cuando aplica, por ejemplo</w:t>
            </w:r>
            <w:r w:rsidR="00EE1D76" w:rsidRPr="00802FB4">
              <w:rPr>
                <w:rFonts w:ascii="Arial" w:hAnsi="Arial" w:cs="Arial"/>
                <w:sz w:val="21"/>
                <w:szCs w:val="21"/>
              </w:rPr>
              <w:t>,</w:t>
            </w:r>
            <w:r w:rsidRPr="00802FB4">
              <w:rPr>
                <w:rFonts w:ascii="Arial" w:hAnsi="Arial" w:cs="Arial"/>
                <w:sz w:val="21"/>
                <w:szCs w:val="21"/>
              </w:rPr>
              <w:t xml:space="preserve"> en casos de trabajos electromecánicos y estructurales) y las cotizaciones recibidas. Las solicitudes pueden ser producto de la revisión periódica que se le realiza al inmueble, el requerimiento de un arrendatario actual o potencial, por un tema de visión estratégica o bien, como resul</w:t>
            </w:r>
            <w:r w:rsidR="005E1E56" w:rsidRPr="00802FB4">
              <w:rPr>
                <w:rFonts w:ascii="Arial" w:hAnsi="Arial" w:cs="Arial"/>
                <w:sz w:val="21"/>
                <w:szCs w:val="21"/>
              </w:rPr>
              <w:t xml:space="preserve">tado de un daño presentado. </w:t>
            </w:r>
          </w:p>
          <w:p w14:paraId="1A8D4571" w14:textId="5393C3B1" w:rsidR="00F403A5" w:rsidRPr="00802FB4" w:rsidRDefault="005E1E56" w:rsidP="00EF629B">
            <w:pPr>
              <w:spacing w:before="240"/>
              <w:jc w:val="both"/>
              <w:rPr>
                <w:rFonts w:ascii="Arial" w:hAnsi="Arial" w:cs="Arial"/>
                <w:sz w:val="21"/>
                <w:szCs w:val="21"/>
              </w:rPr>
            </w:pPr>
            <w:r w:rsidRPr="00802FB4">
              <w:rPr>
                <w:rFonts w:ascii="Arial" w:hAnsi="Arial" w:cs="Arial"/>
                <w:sz w:val="21"/>
                <w:szCs w:val="21"/>
              </w:rPr>
              <w:t>El G</w:t>
            </w:r>
            <w:r w:rsidR="00F403A5" w:rsidRPr="00802FB4">
              <w:rPr>
                <w:rFonts w:ascii="Arial" w:hAnsi="Arial" w:cs="Arial"/>
                <w:sz w:val="21"/>
                <w:szCs w:val="21"/>
              </w:rPr>
              <w:t>estor y/o la Gerencia de Carteras de Inversión analizan la solicitud, las autorizaciones son dadas por la Gerencia de Carteras de Inversión. Para trabajos de mayor magnitud (superior a los $100.000), es requerido adicionalmente la aprobación por parte de la</w:t>
            </w:r>
            <w:r w:rsidR="0045458E" w:rsidRPr="00802FB4">
              <w:rPr>
                <w:rFonts w:ascii="Arial" w:hAnsi="Arial" w:cs="Arial"/>
                <w:sz w:val="21"/>
                <w:szCs w:val="21"/>
              </w:rPr>
              <w:t xml:space="preserve"> Gerencia de Carteras y</w:t>
            </w:r>
            <w:r w:rsidR="00F403A5" w:rsidRPr="00802FB4">
              <w:rPr>
                <w:rFonts w:ascii="Arial" w:hAnsi="Arial" w:cs="Arial"/>
                <w:sz w:val="21"/>
                <w:szCs w:val="21"/>
              </w:rPr>
              <w:t xml:space="preserve"> Gerencia General. En estos últimos casos, también se hace del conocimiento del Comité de Inversiones los trabajos realizados en las sesiones periódicas. En el caso de reparaciones con carácter de urgencia por imprevistos que se hayan presentado y que estén afectando un adecuado funcionamiento de la operación del arrendatario</w:t>
            </w:r>
            <w:r w:rsidRPr="00802FB4">
              <w:rPr>
                <w:rFonts w:ascii="Arial" w:hAnsi="Arial" w:cs="Arial"/>
                <w:sz w:val="21"/>
                <w:szCs w:val="21"/>
              </w:rPr>
              <w:t>, é</w:t>
            </w:r>
            <w:r w:rsidR="00F403A5" w:rsidRPr="00802FB4">
              <w:rPr>
                <w:rFonts w:ascii="Arial" w:hAnsi="Arial" w:cs="Arial"/>
                <w:sz w:val="21"/>
                <w:szCs w:val="21"/>
              </w:rPr>
              <w:t xml:space="preserve">stas requieren ser atendidas de forma inmediata por el proveedor de servicios que </w:t>
            </w:r>
            <w:r w:rsidR="00F403A5" w:rsidRPr="00802FB4">
              <w:rPr>
                <w:rFonts w:ascii="Arial" w:hAnsi="Arial" w:cs="Arial"/>
                <w:sz w:val="21"/>
                <w:szCs w:val="21"/>
              </w:rPr>
              <w:lastRenderedPageBreak/>
              <w:t>se encuentre di</w:t>
            </w:r>
            <w:r w:rsidRPr="00802FB4">
              <w:rPr>
                <w:rFonts w:ascii="Arial" w:hAnsi="Arial" w:cs="Arial"/>
                <w:sz w:val="21"/>
                <w:szCs w:val="21"/>
              </w:rPr>
              <w:t>sponible. Son aprobadas por el Gestor de P</w:t>
            </w:r>
            <w:r w:rsidR="00F403A5" w:rsidRPr="00802FB4">
              <w:rPr>
                <w:rFonts w:ascii="Arial" w:hAnsi="Arial" w:cs="Arial"/>
                <w:sz w:val="21"/>
                <w:szCs w:val="21"/>
              </w:rPr>
              <w:t xml:space="preserve">ortafolios con el visto bueno del Gerente de Carteras de Inversión. </w:t>
            </w:r>
          </w:p>
          <w:p w14:paraId="01F48097" w14:textId="0A5DBEA4" w:rsidR="00767A6C" w:rsidRPr="00802FB4" w:rsidRDefault="00F403A5" w:rsidP="00B125DD">
            <w:pPr>
              <w:spacing w:before="240"/>
              <w:jc w:val="both"/>
              <w:rPr>
                <w:rFonts w:ascii="Arial" w:hAnsi="Arial" w:cs="Arial"/>
                <w:sz w:val="21"/>
                <w:szCs w:val="21"/>
              </w:rPr>
            </w:pPr>
            <w:r w:rsidRPr="00802FB4">
              <w:rPr>
                <w:rFonts w:ascii="Arial" w:hAnsi="Arial" w:cs="Arial"/>
                <w:sz w:val="21"/>
                <w:szCs w:val="21"/>
              </w:rPr>
              <w:t>Las reparaciones son registradas como un gasto</w:t>
            </w:r>
            <w:r w:rsidR="00E80F9D" w:rsidRPr="00802FB4">
              <w:rPr>
                <w:rFonts w:ascii="Arial" w:hAnsi="Arial" w:cs="Arial"/>
                <w:sz w:val="21"/>
                <w:szCs w:val="21"/>
              </w:rPr>
              <w:t>, provisión, gasto anticipado</w:t>
            </w:r>
            <w:r w:rsidR="00607C8C" w:rsidRPr="00802FB4">
              <w:rPr>
                <w:rFonts w:ascii="Arial" w:hAnsi="Arial" w:cs="Arial"/>
                <w:sz w:val="21"/>
                <w:szCs w:val="21"/>
              </w:rPr>
              <w:t>, cargo diferido</w:t>
            </w:r>
            <w:r w:rsidRPr="00802FB4">
              <w:rPr>
                <w:rFonts w:ascii="Arial" w:hAnsi="Arial" w:cs="Arial"/>
                <w:sz w:val="21"/>
                <w:szCs w:val="21"/>
              </w:rPr>
              <w:t xml:space="preserve"> o bien cubiertas por la reserva patrimonial del fondo. El resto de </w:t>
            </w:r>
            <w:r w:rsidR="00474CB6" w:rsidRPr="00802FB4">
              <w:rPr>
                <w:rFonts w:ascii="Arial" w:hAnsi="Arial" w:cs="Arial"/>
                <w:sz w:val="21"/>
                <w:szCs w:val="21"/>
              </w:rPr>
              <w:t>los</w:t>
            </w:r>
            <w:r w:rsidRPr="00802FB4">
              <w:rPr>
                <w:rFonts w:ascii="Arial" w:hAnsi="Arial" w:cs="Arial"/>
                <w:sz w:val="21"/>
                <w:szCs w:val="21"/>
              </w:rPr>
              <w:t xml:space="preserve"> trabajos,</w:t>
            </w:r>
            <w:r w:rsidR="00607C8C" w:rsidRPr="00802FB4">
              <w:rPr>
                <w:rFonts w:ascii="Arial" w:hAnsi="Arial" w:cs="Arial"/>
                <w:sz w:val="21"/>
                <w:szCs w:val="21"/>
              </w:rPr>
              <w:t xml:space="preserve"> tipo mejoras que</w:t>
            </w:r>
            <w:r w:rsidRPr="00802FB4">
              <w:rPr>
                <w:rFonts w:ascii="Arial" w:hAnsi="Arial" w:cs="Arial"/>
                <w:sz w:val="21"/>
                <w:szCs w:val="21"/>
              </w:rPr>
              <w:t xml:space="preserve"> usualmente son de mayor magnitud o que impliquen sustitución de equipo, son evaluadas </w:t>
            </w:r>
            <w:r w:rsidR="008F0F04" w:rsidRPr="00802FB4">
              <w:rPr>
                <w:rFonts w:ascii="Arial" w:hAnsi="Arial" w:cs="Arial"/>
                <w:sz w:val="21"/>
                <w:szCs w:val="21"/>
              </w:rPr>
              <w:t xml:space="preserve">con apoyo de </w:t>
            </w:r>
            <w:r w:rsidR="001F54FE" w:rsidRPr="00802FB4">
              <w:rPr>
                <w:rFonts w:ascii="Arial" w:hAnsi="Arial" w:cs="Arial"/>
                <w:sz w:val="21"/>
                <w:szCs w:val="21"/>
              </w:rPr>
              <w:t>la firma asignada para valorar el inmueble,</w:t>
            </w:r>
            <w:r w:rsidRPr="00802FB4">
              <w:rPr>
                <w:rFonts w:ascii="Arial" w:hAnsi="Arial" w:cs="Arial"/>
                <w:sz w:val="21"/>
                <w:szCs w:val="21"/>
              </w:rPr>
              <w:t xml:space="preserve"> </w:t>
            </w:r>
            <w:r w:rsidR="008F0F04" w:rsidRPr="00802FB4">
              <w:rPr>
                <w:rFonts w:ascii="Arial" w:hAnsi="Arial" w:cs="Arial"/>
                <w:sz w:val="21"/>
                <w:szCs w:val="21"/>
              </w:rPr>
              <w:t>para determinar</w:t>
            </w:r>
            <w:r w:rsidRPr="00802FB4">
              <w:rPr>
                <w:rFonts w:ascii="Arial" w:hAnsi="Arial" w:cs="Arial"/>
                <w:sz w:val="21"/>
                <w:szCs w:val="21"/>
              </w:rPr>
              <w:t xml:space="preserve"> si el trabajo a realizar </w:t>
            </w:r>
            <w:r w:rsidR="008F0F04" w:rsidRPr="00802FB4">
              <w:rPr>
                <w:rFonts w:ascii="Arial" w:hAnsi="Arial" w:cs="Arial"/>
                <w:sz w:val="21"/>
                <w:szCs w:val="21"/>
              </w:rPr>
              <w:t xml:space="preserve">puede </w:t>
            </w:r>
            <w:r w:rsidRPr="00802FB4">
              <w:rPr>
                <w:rFonts w:ascii="Arial" w:hAnsi="Arial" w:cs="Arial"/>
                <w:sz w:val="21"/>
                <w:szCs w:val="21"/>
              </w:rPr>
              <w:t>aumenta</w:t>
            </w:r>
            <w:r w:rsidR="008F0F04" w:rsidRPr="00802FB4">
              <w:rPr>
                <w:rFonts w:ascii="Arial" w:hAnsi="Arial" w:cs="Arial"/>
                <w:sz w:val="21"/>
                <w:szCs w:val="21"/>
              </w:rPr>
              <w:t>r</w:t>
            </w:r>
            <w:r w:rsidRPr="00802FB4">
              <w:rPr>
                <w:rFonts w:ascii="Arial" w:hAnsi="Arial" w:cs="Arial"/>
                <w:sz w:val="21"/>
                <w:szCs w:val="21"/>
              </w:rPr>
              <w:t xml:space="preserve"> o no el valor del inmueble. De acuerdo con su </w:t>
            </w:r>
            <w:r w:rsidR="00F65EAA" w:rsidRPr="00802FB4">
              <w:rPr>
                <w:rFonts w:ascii="Arial" w:hAnsi="Arial" w:cs="Arial"/>
                <w:sz w:val="21"/>
                <w:szCs w:val="21"/>
              </w:rPr>
              <w:t xml:space="preserve">opinión </w:t>
            </w:r>
            <w:r w:rsidRPr="00802FB4">
              <w:rPr>
                <w:rFonts w:ascii="Arial" w:hAnsi="Arial" w:cs="Arial"/>
                <w:sz w:val="21"/>
                <w:szCs w:val="21"/>
              </w:rPr>
              <w:t>técnic</w:t>
            </w:r>
            <w:r w:rsidR="00F65EAA" w:rsidRPr="00802FB4">
              <w:rPr>
                <w:rFonts w:ascii="Arial" w:hAnsi="Arial" w:cs="Arial"/>
                <w:sz w:val="21"/>
                <w:szCs w:val="21"/>
              </w:rPr>
              <w:t>a</w:t>
            </w:r>
            <w:r w:rsidRPr="00802FB4">
              <w:rPr>
                <w:rFonts w:ascii="Arial" w:hAnsi="Arial" w:cs="Arial"/>
                <w:sz w:val="21"/>
                <w:szCs w:val="21"/>
              </w:rPr>
              <w:t xml:space="preserve"> </w:t>
            </w:r>
            <w:r w:rsidR="00F65EAA" w:rsidRPr="00802FB4">
              <w:rPr>
                <w:rFonts w:ascii="Arial" w:hAnsi="Arial" w:cs="Arial"/>
                <w:sz w:val="21"/>
                <w:szCs w:val="21"/>
              </w:rPr>
              <w:t xml:space="preserve">se </w:t>
            </w:r>
            <w:r w:rsidRPr="00802FB4">
              <w:rPr>
                <w:rFonts w:ascii="Arial" w:hAnsi="Arial" w:cs="Arial"/>
                <w:sz w:val="21"/>
                <w:szCs w:val="21"/>
              </w:rPr>
              <w:t>establece el monto que podría capitalizarse</w:t>
            </w:r>
            <w:r w:rsidR="00E63738" w:rsidRPr="00802FB4">
              <w:rPr>
                <w:rFonts w:ascii="Arial" w:hAnsi="Arial" w:cs="Arial"/>
                <w:sz w:val="21"/>
                <w:szCs w:val="21"/>
              </w:rPr>
              <w:t>.</w:t>
            </w:r>
            <w:r w:rsidRPr="00802FB4">
              <w:rPr>
                <w:rFonts w:ascii="Arial" w:hAnsi="Arial" w:cs="Arial"/>
                <w:sz w:val="21"/>
                <w:szCs w:val="21"/>
              </w:rPr>
              <w:t xml:space="preserve"> </w:t>
            </w:r>
            <w:r w:rsidR="005531DD" w:rsidRPr="00802FB4">
              <w:rPr>
                <w:rFonts w:ascii="Arial" w:hAnsi="Arial" w:cs="Arial"/>
                <w:sz w:val="21"/>
                <w:szCs w:val="21"/>
              </w:rPr>
              <w:t>En caso de haber diferencia entre el monto a capitalizar y el costo del trabajo, el gestor define si será registrada como un gasto, provisión, gasto anticipado, cargo diferido o bien, deberá cubrirse por la reserva patrimonial del fondo.</w:t>
            </w:r>
            <w:r w:rsidR="00767A6C" w:rsidRPr="00802FB4">
              <w:rPr>
                <w:rFonts w:ascii="Arial" w:hAnsi="Arial" w:cs="Arial"/>
                <w:sz w:val="21"/>
                <w:szCs w:val="21"/>
              </w:rPr>
              <w:t xml:space="preserve"> En casos de uso de la reserva deberá contar con aprobación de la Gerencia de Carteras de Inversión y Gerencia General. </w:t>
            </w:r>
          </w:p>
          <w:p w14:paraId="11781D6F" w14:textId="77777777" w:rsidR="00A51FA7" w:rsidRPr="00802FB4" w:rsidRDefault="009A3D8B" w:rsidP="00B125DD">
            <w:pPr>
              <w:spacing w:before="240"/>
              <w:jc w:val="both"/>
              <w:rPr>
                <w:rFonts w:ascii="Arial" w:hAnsi="Arial" w:cs="Arial"/>
                <w:sz w:val="21"/>
                <w:szCs w:val="21"/>
              </w:rPr>
            </w:pPr>
            <w:r w:rsidRPr="00802FB4">
              <w:rPr>
                <w:rFonts w:ascii="Arial" w:hAnsi="Arial" w:cs="Arial"/>
                <w:sz w:val="21"/>
                <w:szCs w:val="21"/>
              </w:rPr>
              <w:t xml:space="preserve">En caso de trabajos de mantenimiento o reparaciones de inmuebles que superen los $3.000, se podría registrar como cargo diferido o gasto anticipado al plazo de vencimiento del contrato. Mismo procedimiento aplica para todos los gastos asociados a la formalización del contrato de arrendamiento, tales como: la comisión de corretaje por colocación y timbres legales. Esto debido a que el fondo debe entregar en buen estado de uso y conservación el inmueble, asegurando la generación de ingresos y rentabilidad de este. </w:t>
            </w:r>
          </w:p>
          <w:p w14:paraId="7E08EE77" w14:textId="20751747" w:rsidR="008F273A" w:rsidRPr="00802FB4" w:rsidRDefault="009A3D8B" w:rsidP="00EF629B">
            <w:pPr>
              <w:spacing w:before="240"/>
              <w:jc w:val="both"/>
              <w:rPr>
                <w:rFonts w:ascii="Arial" w:hAnsi="Arial" w:cs="Arial"/>
                <w:sz w:val="21"/>
                <w:szCs w:val="21"/>
              </w:rPr>
            </w:pPr>
            <w:r w:rsidRPr="00802FB4">
              <w:rPr>
                <w:rFonts w:ascii="Arial" w:hAnsi="Arial" w:cs="Arial"/>
                <w:sz w:val="21"/>
                <w:szCs w:val="21"/>
              </w:rPr>
              <w:br/>
              <w:t xml:space="preserve">Si la relación contractual finaliza de forma anticipada, el monto restante por amortizar se procederá a registrar como gasto. Del mismo modo, para los montos inferiores a $3.000. </w:t>
            </w:r>
            <w:r w:rsidRPr="00802FB4">
              <w:rPr>
                <w:rFonts w:ascii="Arial" w:hAnsi="Arial" w:cs="Arial"/>
                <w:sz w:val="21"/>
                <w:szCs w:val="21"/>
              </w:rPr>
              <w:br/>
            </w:r>
            <w:r w:rsidR="00F403A5" w:rsidRPr="00802FB4">
              <w:rPr>
                <w:rFonts w:ascii="Arial" w:hAnsi="Arial" w:cs="Arial"/>
                <w:sz w:val="21"/>
                <w:szCs w:val="21"/>
              </w:rPr>
              <w:t xml:space="preserve">El seguimiento al cumplimiento de los trabajos estará a cargo de los administradores del inmueble o quien </w:t>
            </w:r>
            <w:r w:rsidR="000C227C" w:rsidRPr="00802FB4">
              <w:rPr>
                <w:rFonts w:ascii="Arial" w:hAnsi="Arial" w:cs="Arial"/>
                <w:sz w:val="21"/>
                <w:szCs w:val="21"/>
              </w:rPr>
              <w:t>esté</w:t>
            </w:r>
            <w:r w:rsidR="00F403A5" w:rsidRPr="00802FB4">
              <w:rPr>
                <w:rFonts w:ascii="Arial" w:hAnsi="Arial" w:cs="Arial"/>
                <w:sz w:val="21"/>
                <w:szCs w:val="21"/>
              </w:rPr>
              <w:t xml:space="preserve"> a su vez defina, según la complejidad o magnitud del desarrollo de las obras a realizar. El administrador informará a la administración del fondo sobre el personal o empresa contratada para este fin. La evaluación física de los activos se realizará al menos una vez al año, </w:t>
            </w:r>
            <w:r w:rsidR="004328DC" w:rsidRPr="00802FB4">
              <w:rPr>
                <w:rFonts w:ascii="Arial" w:hAnsi="Arial" w:cs="Arial"/>
                <w:sz w:val="21"/>
                <w:szCs w:val="21"/>
              </w:rPr>
              <w:t xml:space="preserve">como parte de la valoración anual de los </w:t>
            </w:r>
            <w:r w:rsidR="00C84C04" w:rsidRPr="00802FB4">
              <w:rPr>
                <w:rFonts w:ascii="Arial" w:hAnsi="Arial" w:cs="Arial"/>
                <w:sz w:val="21"/>
                <w:szCs w:val="21"/>
              </w:rPr>
              <w:t>inmuebles</w:t>
            </w:r>
            <w:r w:rsidR="00F403A5" w:rsidRPr="00802FB4">
              <w:rPr>
                <w:rFonts w:ascii="Arial" w:hAnsi="Arial" w:cs="Arial"/>
                <w:sz w:val="21"/>
                <w:szCs w:val="21"/>
              </w:rPr>
              <w:t xml:space="preserve">. </w:t>
            </w:r>
          </w:p>
        </w:tc>
      </w:tr>
      <w:tr w:rsidR="008C5E1B" w:rsidRPr="00802FB4" w14:paraId="169A5D03" w14:textId="77777777" w:rsidTr="004D4ABE">
        <w:trPr>
          <w:trHeight w:val="978"/>
          <w:jc w:val="center"/>
        </w:trPr>
        <w:tc>
          <w:tcPr>
            <w:tcW w:w="2972" w:type="dxa"/>
            <w:vAlign w:val="center"/>
          </w:tcPr>
          <w:p w14:paraId="27F26FB6" w14:textId="77777777" w:rsidR="008C5E1B" w:rsidRPr="00802FB4" w:rsidRDefault="00CD73D1"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lastRenderedPageBreak/>
              <w:t>Políticas y l</w:t>
            </w:r>
            <w:r w:rsidR="008C5E1B" w:rsidRPr="00802FB4">
              <w:rPr>
                <w:rFonts w:ascii="Arial" w:hAnsi="Arial" w:cs="Arial"/>
                <w:b/>
                <w:sz w:val="21"/>
                <w:szCs w:val="21"/>
                <w:lang w:val="es-ES"/>
              </w:rPr>
              <w:t>ineamientos sobre la creación y uso de reservas</w:t>
            </w:r>
          </w:p>
        </w:tc>
        <w:tc>
          <w:tcPr>
            <w:tcW w:w="6379" w:type="dxa"/>
            <w:vAlign w:val="center"/>
          </w:tcPr>
          <w:p w14:paraId="1AB45B0F" w14:textId="77777777" w:rsidR="00D45433" w:rsidRPr="00802FB4" w:rsidRDefault="00D45433" w:rsidP="00D45433">
            <w:pPr>
              <w:autoSpaceDE w:val="0"/>
              <w:autoSpaceDN w:val="0"/>
              <w:adjustRightInd w:val="0"/>
              <w:jc w:val="both"/>
              <w:rPr>
                <w:rFonts w:ascii="Arial" w:hAnsi="Arial" w:cs="Arial"/>
                <w:sz w:val="21"/>
                <w:szCs w:val="21"/>
              </w:rPr>
            </w:pPr>
            <w:r w:rsidRPr="00802FB4">
              <w:rPr>
                <w:rFonts w:ascii="Arial" w:hAnsi="Arial" w:cs="Arial"/>
                <w:sz w:val="21"/>
                <w:szCs w:val="21"/>
              </w:rPr>
              <w:t xml:space="preserve">Multifondos podrá crear reservas de los fondos de inversión con el objetivo de mantener las buenas condiciones e incrementar la vida de los activos inmobiliarios que componen las carteras de los Fondos. El uso o no de este mecanismo será revelado en el prospecto de cada fondo de inversión. </w:t>
            </w:r>
          </w:p>
          <w:p w14:paraId="77B44F36" w14:textId="77777777" w:rsidR="00474CB6" w:rsidRPr="00802FB4" w:rsidRDefault="00D45433" w:rsidP="00EF629B">
            <w:pPr>
              <w:autoSpaceDE w:val="0"/>
              <w:autoSpaceDN w:val="0"/>
              <w:adjustRightInd w:val="0"/>
              <w:spacing w:before="240"/>
              <w:jc w:val="both"/>
              <w:rPr>
                <w:rFonts w:ascii="Arial" w:hAnsi="Arial" w:cs="Arial"/>
                <w:sz w:val="21"/>
                <w:szCs w:val="21"/>
              </w:rPr>
            </w:pPr>
            <w:r w:rsidRPr="00802FB4">
              <w:rPr>
                <w:rFonts w:ascii="Arial" w:hAnsi="Arial" w:cs="Arial"/>
                <w:sz w:val="21"/>
                <w:szCs w:val="21"/>
              </w:rPr>
              <w:t xml:space="preserve">La reserva de mantenimiento podrá alcanzar un porcentaje máximo del 2.5% sobre los activos netos administrados del fondo. El porcentaje de reserva aplicado por el fondo deberá ser revisado anualmente por el Comité de Inversiones, con base en información </w:t>
            </w:r>
            <w:r w:rsidRPr="00802FB4">
              <w:rPr>
                <w:rFonts w:ascii="Arial" w:hAnsi="Arial" w:cs="Arial"/>
                <w:sz w:val="21"/>
                <w:szCs w:val="21"/>
              </w:rPr>
              <w:lastRenderedPageBreak/>
              <w:t>suministrada por la administración del fondo con relación a los gastos de mantenimiento, reparaciones y necesidades de mantenimiento o remodelación futuros.</w:t>
            </w:r>
          </w:p>
          <w:p w14:paraId="1415FBEF" w14:textId="5E7633F6" w:rsidR="00D45433" w:rsidRPr="00802FB4" w:rsidRDefault="00D45433" w:rsidP="00EF629B">
            <w:pPr>
              <w:autoSpaceDE w:val="0"/>
              <w:autoSpaceDN w:val="0"/>
              <w:adjustRightInd w:val="0"/>
              <w:spacing w:before="240"/>
              <w:jc w:val="both"/>
              <w:rPr>
                <w:rFonts w:ascii="Arial" w:hAnsi="Arial" w:cs="Arial"/>
                <w:sz w:val="21"/>
                <w:szCs w:val="21"/>
              </w:rPr>
            </w:pPr>
            <w:r w:rsidRPr="00802FB4">
              <w:rPr>
                <w:rFonts w:ascii="Arial" w:hAnsi="Arial" w:cs="Arial"/>
                <w:sz w:val="21"/>
                <w:szCs w:val="21"/>
              </w:rPr>
              <w:t xml:space="preserve"> La reserva se irá incrementando de forma trimestral al final del período de distribución, de acuerdo con el monto que la administración determine aplicar para ese período. Cuando se considere conveniente, en caso de que el fondo cuente con algún ingreso o ganancia extraordinaria, la administración puede decidir pasar total o parcialmente ese monto a la reserva. En caso de que el rendimiento del fondo de un trimestre de pago determinado sea negativo, no se acumulará la reserva en ese trimestre en particular. Los dividendos pagados a los inversionistas serán netos después de deducir el porcentaje correspondiente a la reserva. Si la reserva patrimonial acumulada llega al porcen</w:t>
            </w:r>
            <w:r w:rsidR="005E1E56" w:rsidRPr="00802FB4">
              <w:rPr>
                <w:rFonts w:ascii="Arial" w:hAnsi="Arial" w:cs="Arial"/>
                <w:sz w:val="21"/>
                <w:szCs w:val="21"/>
              </w:rPr>
              <w:t>taje máximo establecido por el Comité de I</w:t>
            </w:r>
            <w:r w:rsidRPr="00802FB4">
              <w:rPr>
                <w:rFonts w:ascii="Arial" w:hAnsi="Arial" w:cs="Arial"/>
                <w:sz w:val="21"/>
                <w:szCs w:val="21"/>
              </w:rPr>
              <w:t>nversiones, no se registrarán más incrementos. Las decisiones de incrementos o usos de</w:t>
            </w:r>
            <w:r w:rsidR="007D6BC2" w:rsidRPr="00802FB4">
              <w:rPr>
                <w:rFonts w:ascii="Arial" w:hAnsi="Arial" w:cs="Arial"/>
                <w:sz w:val="21"/>
                <w:szCs w:val="21"/>
              </w:rPr>
              <w:t xml:space="preserve"> la reserva son tomad</w:t>
            </w:r>
            <w:r w:rsidR="00EE1D76" w:rsidRPr="00802FB4">
              <w:rPr>
                <w:rFonts w:ascii="Arial" w:hAnsi="Arial" w:cs="Arial"/>
                <w:sz w:val="21"/>
                <w:szCs w:val="21"/>
              </w:rPr>
              <w:t>as</w:t>
            </w:r>
            <w:r w:rsidR="007D6BC2" w:rsidRPr="00802FB4">
              <w:rPr>
                <w:rFonts w:ascii="Arial" w:hAnsi="Arial" w:cs="Arial"/>
                <w:sz w:val="21"/>
                <w:szCs w:val="21"/>
              </w:rPr>
              <w:t xml:space="preserve"> por el G</w:t>
            </w:r>
            <w:r w:rsidRPr="00802FB4">
              <w:rPr>
                <w:rFonts w:ascii="Arial" w:hAnsi="Arial" w:cs="Arial"/>
                <w:sz w:val="21"/>
                <w:szCs w:val="21"/>
              </w:rPr>
              <w:t>e</w:t>
            </w:r>
            <w:r w:rsidR="007D6BC2" w:rsidRPr="00802FB4">
              <w:rPr>
                <w:rFonts w:ascii="Arial" w:hAnsi="Arial" w:cs="Arial"/>
                <w:sz w:val="21"/>
                <w:szCs w:val="21"/>
              </w:rPr>
              <w:t>stor de P</w:t>
            </w:r>
            <w:r w:rsidRPr="00802FB4">
              <w:rPr>
                <w:rFonts w:ascii="Arial" w:hAnsi="Arial" w:cs="Arial"/>
                <w:sz w:val="21"/>
                <w:szCs w:val="21"/>
              </w:rPr>
              <w:t xml:space="preserve">ortafolios y deberá contar con la aprobación de la Gerencia de Carteras de Inversión. </w:t>
            </w:r>
            <w:r w:rsidR="005E1E56" w:rsidRPr="00802FB4">
              <w:rPr>
                <w:rFonts w:ascii="Arial" w:hAnsi="Arial" w:cs="Arial"/>
                <w:sz w:val="21"/>
                <w:szCs w:val="21"/>
              </w:rPr>
              <w:t>S</w:t>
            </w:r>
            <w:r w:rsidRPr="00802FB4">
              <w:rPr>
                <w:rFonts w:ascii="Arial" w:hAnsi="Arial" w:cs="Arial"/>
                <w:sz w:val="21"/>
                <w:szCs w:val="21"/>
              </w:rPr>
              <w:t xml:space="preserve">e presentará al Comité de Inversiones los ingresos y egresos que se hayan realizado de la reserva y en qué fue utilizada. </w:t>
            </w:r>
          </w:p>
          <w:p w14:paraId="2A6EBD1E" w14:textId="470AD2B6" w:rsidR="00D45433" w:rsidRDefault="00D45433" w:rsidP="00EF629B">
            <w:pPr>
              <w:autoSpaceDE w:val="0"/>
              <w:autoSpaceDN w:val="0"/>
              <w:adjustRightInd w:val="0"/>
              <w:spacing w:before="240"/>
              <w:jc w:val="both"/>
              <w:rPr>
                <w:rFonts w:ascii="Arial" w:hAnsi="Arial" w:cs="Arial"/>
                <w:sz w:val="21"/>
                <w:szCs w:val="21"/>
              </w:rPr>
            </w:pPr>
            <w:r w:rsidRPr="00802FB4">
              <w:rPr>
                <w:rFonts w:ascii="Arial" w:hAnsi="Arial" w:cs="Arial"/>
                <w:sz w:val="21"/>
                <w:szCs w:val="21"/>
              </w:rPr>
              <w:t>Las reservas podrán ser utilizadas para reparaciones y remodelaciones tales como: reparación e instalación de techos, pintura, reparación e instalaciones eléctricas, reparación o sustitución de bombas de agua y mantenimiento de las plantas eléctricas, sustitución o mantenimiento de alfombras, pisos, aires acondicionados, entre otros.</w:t>
            </w:r>
          </w:p>
          <w:p w14:paraId="626B90B4" w14:textId="77777777" w:rsidR="000C227C" w:rsidRPr="00802FB4" w:rsidRDefault="000C227C" w:rsidP="00EF629B">
            <w:pPr>
              <w:autoSpaceDE w:val="0"/>
              <w:autoSpaceDN w:val="0"/>
              <w:adjustRightInd w:val="0"/>
              <w:spacing w:before="240"/>
              <w:jc w:val="both"/>
              <w:rPr>
                <w:rFonts w:ascii="Arial" w:hAnsi="Arial" w:cs="Arial"/>
                <w:sz w:val="21"/>
                <w:szCs w:val="21"/>
              </w:rPr>
            </w:pPr>
          </w:p>
          <w:p w14:paraId="7559F1B3" w14:textId="77777777" w:rsidR="00BD7BE0" w:rsidRPr="00802FB4" w:rsidRDefault="00D45433" w:rsidP="00D45433">
            <w:pPr>
              <w:autoSpaceDE w:val="0"/>
              <w:autoSpaceDN w:val="0"/>
              <w:adjustRightInd w:val="0"/>
              <w:jc w:val="both"/>
              <w:rPr>
                <w:rFonts w:ascii="Arial" w:hAnsi="Arial" w:cs="Arial"/>
                <w:bCs/>
                <w:sz w:val="21"/>
                <w:szCs w:val="21"/>
              </w:rPr>
            </w:pPr>
            <w:r w:rsidRPr="00802FB4">
              <w:rPr>
                <w:rFonts w:ascii="Arial" w:hAnsi="Arial" w:cs="Arial"/>
                <w:sz w:val="21"/>
                <w:szCs w:val="21"/>
              </w:rPr>
              <w:t>La creación de las reservas tendrá un fin único y específico, que será contribuir a la administración de los riesgos presentes en la actividad inmobiliaria y nunca para garantizar a los inversionistas un rendimiento determinado.</w:t>
            </w:r>
          </w:p>
        </w:tc>
      </w:tr>
    </w:tbl>
    <w:p w14:paraId="3AEEEEAB" w14:textId="77777777" w:rsidR="001A7E01" w:rsidRPr="00802FB4" w:rsidRDefault="001A7E01" w:rsidP="00BA6892">
      <w:pPr>
        <w:rPr>
          <w:rFonts w:ascii="Arial" w:hAnsi="Arial" w:cs="Arial"/>
          <w:sz w:val="21"/>
          <w:szCs w:val="21"/>
        </w:rPr>
      </w:pPr>
    </w:p>
    <w:p w14:paraId="7B46E0E5" w14:textId="77777777" w:rsidR="008C5E1B" w:rsidRPr="00802FB4" w:rsidRDefault="00691324" w:rsidP="00C64838">
      <w:pPr>
        <w:pStyle w:val="Ttulo1"/>
        <w:numPr>
          <w:ilvl w:val="0"/>
          <w:numId w:val="1"/>
        </w:numPr>
        <w:ind w:left="142"/>
        <w:rPr>
          <w:rFonts w:ascii="Arial" w:hAnsi="Arial" w:cs="Arial"/>
          <w:sz w:val="24"/>
          <w:szCs w:val="21"/>
        </w:rPr>
      </w:pPr>
      <w:bookmarkStart w:id="15" w:name="_Toc34228946"/>
      <w:r w:rsidRPr="00802FB4">
        <w:rPr>
          <w:rFonts w:ascii="Arial" w:hAnsi="Arial" w:cs="Arial"/>
          <w:sz w:val="24"/>
          <w:szCs w:val="21"/>
        </w:rPr>
        <w:t>Riesgos del Fondo</w:t>
      </w:r>
      <w:bookmarkEnd w:id="15"/>
    </w:p>
    <w:p w14:paraId="692EBC08" w14:textId="77777777" w:rsidR="008C5E1B" w:rsidRPr="00802FB4" w:rsidRDefault="008C5E1B" w:rsidP="00A74579">
      <w:pPr>
        <w:jc w:val="both"/>
        <w:rPr>
          <w:rFonts w:ascii="Arial" w:hAnsi="Arial" w:cs="Arial"/>
          <w:vanish/>
          <w:sz w:val="21"/>
          <w:szCs w:val="21"/>
        </w:rPr>
      </w:pPr>
    </w:p>
    <w:p w14:paraId="40F06F13" w14:textId="77777777" w:rsidR="008C5E1B" w:rsidRPr="00802FB4" w:rsidRDefault="008C5E1B" w:rsidP="00D1432C">
      <w:pPr>
        <w:pStyle w:val="Prrafodelista"/>
        <w:ind w:left="0"/>
        <w:jc w:val="both"/>
        <w:rPr>
          <w:rFonts w:ascii="Arial" w:hAnsi="Arial" w:cs="Arial"/>
          <w:b/>
          <w:sz w:val="21"/>
          <w:szCs w:val="21"/>
          <w:u w:val="single"/>
        </w:rPr>
      </w:pPr>
      <w:r w:rsidRPr="00802FB4">
        <w:rPr>
          <w:rFonts w:ascii="Arial" w:hAnsi="Arial" w:cs="Arial"/>
          <w:b/>
          <w:sz w:val="21"/>
          <w:szCs w:val="21"/>
          <w:u w:val="single"/>
        </w:rPr>
        <w:t>Señor Inversionista:</w:t>
      </w:r>
    </w:p>
    <w:p w14:paraId="62E20285" w14:textId="77777777" w:rsidR="008C5E1B" w:rsidRPr="00802FB4" w:rsidRDefault="008C5E1B" w:rsidP="008C5E1B">
      <w:pPr>
        <w:jc w:val="both"/>
        <w:rPr>
          <w:rFonts w:ascii="Arial" w:hAnsi="Arial" w:cs="Arial"/>
          <w:vanish/>
          <w:sz w:val="21"/>
          <w:szCs w:val="21"/>
        </w:rPr>
      </w:pPr>
    </w:p>
    <w:p w14:paraId="13878142" w14:textId="77777777" w:rsidR="008C5E1B" w:rsidRPr="00802FB4" w:rsidRDefault="00D449FB" w:rsidP="008C5E1B">
      <w:pPr>
        <w:jc w:val="both"/>
        <w:rPr>
          <w:rFonts w:ascii="Arial" w:hAnsi="Arial" w:cs="Arial"/>
          <w:sz w:val="21"/>
          <w:szCs w:val="21"/>
        </w:rPr>
      </w:pPr>
      <w:r w:rsidRPr="00802FB4">
        <w:rPr>
          <w:rFonts w:ascii="Arial" w:hAnsi="Arial" w:cs="Arial"/>
          <w:sz w:val="21"/>
          <w:szCs w:val="21"/>
        </w:rPr>
        <w:t>“</w:t>
      </w:r>
      <w:r w:rsidR="008C5E1B" w:rsidRPr="00802FB4">
        <w:rPr>
          <w:rFonts w:ascii="Arial" w:hAnsi="Arial" w:cs="Arial"/>
          <w:sz w:val="21"/>
          <w:szCs w:val="21"/>
        </w:rPr>
        <w:t xml:space="preserve">Los riesgos son situaciones que, en caso de suceder, pueden afectar el cumplimiento de los objetivos del fondo, perturbar el valor de la cartera y de las inversiones, generar un rendimiento menor al </w:t>
      </w:r>
      <w:r w:rsidR="00C17E25" w:rsidRPr="00802FB4">
        <w:rPr>
          <w:rFonts w:ascii="Arial" w:hAnsi="Arial" w:cs="Arial"/>
          <w:sz w:val="21"/>
          <w:szCs w:val="21"/>
        </w:rPr>
        <w:t>esperado o, inclusive, causarle</w:t>
      </w:r>
      <w:r w:rsidR="008C5E1B" w:rsidRPr="00802FB4">
        <w:rPr>
          <w:rFonts w:ascii="Arial" w:hAnsi="Arial" w:cs="Arial"/>
          <w:sz w:val="21"/>
          <w:szCs w:val="21"/>
        </w:rPr>
        <w:t xml:space="preserve"> pérdida en sus inversiones. Se debe tener presente que el riesgo forma parte de cualquier inversión; sin embargo,</w:t>
      </w:r>
      <w:r w:rsidR="002F0299" w:rsidRPr="00802FB4">
        <w:rPr>
          <w:rFonts w:ascii="Arial" w:hAnsi="Arial" w:cs="Arial"/>
          <w:sz w:val="21"/>
          <w:szCs w:val="21"/>
        </w:rPr>
        <w:t xml:space="preserve"> en la mayoría de los casos</w:t>
      </w:r>
      <w:r w:rsidR="008C5E1B" w:rsidRPr="00802FB4">
        <w:rPr>
          <w:rFonts w:ascii="Arial" w:hAnsi="Arial" w:cs="Arial"/>
          <w:sz w:val="21"/>
          <w:szCs w:val="21"/>
        </w:rPr>
        <w:t xml:space="preserve"> puede medirse y gestionarse. Las siguientes anotaciones le servirán de orientación, para evaluar el efecto que tendrán posibles eventos en la inversión.</w:t>
      </w:r>
      <w:r w:rsidRPr="00802FB4">
        <w:rPr>
          <w:rFonts w:ascii="Arial" w:hAnsi="Arial" w:cs="Arial"/>
          <w:sz w:val="21"/>
          <w:szCs w:val="21"/>
        </w:rPr>
        <w:t>”</w:t>
      </w:r>
      <w:r w:rsidR="008C5E1B" w:rsidRPr="00802FB4">
        <w:rPr>
          <w:rFonts w:ascii="Arial" w:hAnsi="Arial" w:cs="Arial"/>
          <w:sz w:val="21"/>
          <w:szCs w:val="21"/>
        </w:rPr>
        <w:t xml:space="preserve"> </w:t>
      </w:r>
    </w:p>
    <w:p w14:paraId="50768BC1" w14:textId="77777777" w:rsidR="008C5E1B" w:rsidRPr="00802FB4" w:rsidRDefault="008C5E1B" w:rsidP="008C5E1B">
      <w:pPr>
        <w:jc w:val="both"/>
        <w:rPr>
          <w:rFonts w:ascii="Arial" w:hAnsi="Arial" w:cs="Arial"/>
          <w:vanish/>
          <w:sz w:val="21"/>
          <w:szCs w:val="21"/>
        </w:rPr>
      </w:pPr>
    </w:p>
    <w:p w14:paraId="14E643F3" w14:textId="3B79D483" w:rsidR="008C5E1B" w:rsidRPr="00802FB4" w:rsidRDefault="008C5E1B" w:rsidP="004D4ABE">
      <w:pPr>
        <w:ind w:left="1440" w:hanging="1440"/>
        <w:jc w:val="both"/>
        <w:rPr>
          <w:rFonts w:ascii="Arial" w:hAnsi="Arial" w:cs="Arial"/>
          <w:sz w:val="21"/>
          <w:szCs w:val="21"/>
        </w:rPr>
      </w:pPr>
      <w:r w:rsidRPr="00802FB4">
        <w:rPr>
          <w:rFonts w:ascii="Arial" w:hAnsi="Arial" w:cs="Arial"/>
          <w:sz w:val="21"/>
          <w:szCs w:val="21"/>
        </w:rPr>
        <w:t>Los principales riesgos a los que se puede ver enfrentado el fondo son:</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6538"/>
      </w:tblGrid>
      <w:tr w:rsidR="008C5E1B" w:rsidRPr="00802FB4" w14:paraId="2FC9B129" w14:textId="77777777" w:rsidTr="008D5638">
        <w:trPr>
          <w:trHeight w:val="582"/>
          <w:jc w:val="center"/>
        </w:trPr>
        <w:tc>
          <w:tcPr>
            <w:tcW w:w="9215" w:type="dxa"/>
            <w:gridSpan w:val="2"/>
          </w:tcPr>
          <w:p w14:paraId="60C990ED" w14:textId="77777777" w:rsidR="008C5E1B" w:rsidRPr="00802FB4" w:rsidRDefault="008C5E1B" w:rsidP="00D83795">
            <w:pPr>
              <w:spacing w:before="120" w:after="120"/>
              <w:ind w:left="295" w:hanging="295"/>
              <w:jc w:val="center"/>
              <w:rPr>
                <w:rFonts w:ascii="Arial" w:hAnsi="Arial" w:cs="Arial"/>
                <w:b/>
                <w:sz w:val="21"/>
                <w:szCs w:val="21"/>
              </w:rPr>
            </w:pPr>
            <w:r w:rsidRPr="00802FB4">
              <w:rPr>
                <w:rFonts w:ascii="Arial" w:hAnsi="Arial" w:cs="Arial"/>
                <w:b/>
                <w:sz w:val="21"/>
                <w:szCs w:val="21"/>
              </w:rPr>
              <w:lastRenderedPageBreak/>
              <w:t>Tipos de riesgo</w:t>
            </w:r>
          </w:p>
        </w:tc>
      </w:tr>
      <w:tr w:rsidR="008C5E1B" w:rsidRPr="00802FB4" w14:paraId="7FA29A01" w14:textId="77777777" w:rsidTr="00BA6892">
        <w:trPr>
          <w:trHeight w:val="389"/>
          <w:jc w:val="center"/>
        </w:trPr>
        <w:tc>
          <w:tcPr>
            <w:tcW w:w="2677" w:type="dxa"/>
            <w:vAlign w:val="center"/>
          </w:tcPr>
          <w:p w14:paraId="679E3C4C" w14:textId="77777777" w:rsidR="008C5E1B" w:rsidRPr="00802FB4" w:rsidRDefault="008C5E1B" w:rsidP="00D83795">
            <w:pPr>
              <w:ind w:left="72"/>
              <w:jc w:val="center"/>
              <w:rPr>
                <w:rFonts w:ascii="Arial" w:hAnsi="Arial" w:cs="Arial"/>
                <w:b/>
                <w:sz w:val="21"/>
                <w:szCs w:val="21"/>
              </w:rPr>
            </w:pPr>
            <w:r w:rsidRPr="00802FB4">
              <w:rPr>
                <w:rFonts w:ascii="Arial" w:hAnsi="Arial" w:cs="Arial"/>
                <w:b/>
                <w:sz w:val="21"/>
                <w:szCs w:val="21"/>
              </w:rPr>
              <w:t>Tipo</w:t>
            </w:r>
          </w:p>
        </w:tc>
        <w:tc>
          <w:tcPr>
            <w:tcW w:w="6538" w:type="dxa"/>
            <w:vAlign w:val="center"/>
          </w:tcPr>
          <w:p w14:paraId="3C7C179C" w14:textId="77777777" w:rsidR="008C5E1B" w:rsidRPr="00802FB4" w:rsidRDefault="008C5E1B" w:rsidP="00D83795">
            <w:pPr>
              <w:ind w:left="295" w:hanging="295"/>
              <w:jc w:val="center"/>
              <w:rPr>
                <w:rFonts w:ascii="Arial" w:hAnsi="Arial" w:cs="Arial"/>
                <w:b/>
                <w:sz w:val="21"/>
                <w:szCs w:val="21"/>
              </w:rPr>
            </w:pPr>
            <w:r w:rsidRPr="00802FB4">
              <w:rPr>
                <w:rFonts w:ascii="Arial" w:hAnsi="Arial" w:cs="Arial"/>
                <w:b/>
                <w:sz w:val="21"/>
                <w:szCs w:val="21"/>
              </w:rPr>
              <w:t>Descripción</w:t>
            </w:r>
          </w:p>
        </w:tc>
      </w:tr>
      <w:tr w:rsidR="00ED420D" w:rsidRPr="00802FB4" w14:paraId="7E0A0B10" w14:textId="77777777" w:rsidTr="0052630D">
        <w:trPr>
          <w:jc w:val="center"/>
        </w:trPr>
        <w:tc>
          <w:tcPr>
            <w:tcW w:w="2677" w:type="dxa"/>
            <w:vAlign w:val="center"/>
          </w:tcPr>
          <w:p w14:paraId="1BFB0C81" w14:textId="77777777" w:rsidR="00ED420D" w:rsidRPr="00802FB4" w:rsidRDefault="00ED420D" w:rsidP="00ED420D">
            <w:pPr>
              <w:ind w:left="72"/>
              <w:rPr>
                <w:rFonts w:ascii="Arial" w:hAnsi="Arial" w:cs="Arial"/>
                <w:b/>
                <w:sz w:val="21"/>
                <w:szCs w:val="21"/>
              </w:rPr>
            </w:pPr>
            <w:r w:rsidRPr="00802FB4">
              <w:rPr>
                <w:rFonts w:ascii="Arial" w:hAnsi="Arial" w:cs="Arial"/>
                <w:b/>
                <w:sz w:val="21"/>
                <w:szCs w:val="21"/>
              </w:rPr>
              <w:t>Riesgos de tasa de interés y de precio</w:t>
            </w:r>
          </w:p>
        </w:tc>
        <w:tc>
          <w:tcPr>
            <w:tcW w:w="6538" w:type="dxa"/>
            <w:vAlign w:val="center"/>
          </w:tcPr>
          <w:p w14:paraId="091B7953" w14:textId="77777777" w:rsidR="00ED420D" w:rsidRPr="00802FB4" w:rsidRDefault="00ED420D" w:rsidP="00283955">
            <w:pPr>
              <w:jc w:val="both"/>
              <w:rPr>
                <w:rFonts w:ascii="Arial" w:hAnsi="Arial" w:cs="Arial"/>
                <w:sz w:val="21"/>
                <w:szCs w:val="21"/>
              </w:rPr>
            </w:pPr>
            <w:r w:rsidRPr="00802FB4">
              <w:rPr>
                <w:rFonts w:ascii="Arial" w:hAnsi="Arial" w:cs="Arial"/>
                <w:sz w:val="21"/>
                <w:szCs w:val="21"/>
              </w:rPr>
              <w:t xml:space="preserve">Es el riesgo asociado al precio de los títulos valores.  Un aumento en la tasa de interés implica una eventual caída del precio de los valores con la consecuente disminución del valor de participación. </w:t>
            </w:r>
          </w:p>
        </w:tc>
      </w:tr>
      <w:tr w:rsidR="008C5E1B" w:rsidRPr="00802FB4" w14:paraId="335EA9EA" w14:textId="77777777" w:rsidTr="0052630D">
        <w:trPr>
          <w:jc w:val="center"/>
        </w:trPr>
        <w:tc>
          <w:tcPr>
            <w:tcW w:w="2677" w:type="dxa"/>
            <w:vAlign w:val="center"/>
          </w:tcPr>
          <w:p w14:paraId="62576191" w14:textId="77777777" w:rsidR="008C5E1B" w:rsidRPr="00802FB4" w:rsidRDefault="008C5E1B" w:rsidP="006E5521">
            <w:pPr>
              <w:ind w:left="72"/>
              <w:rPr>
                <w:rFonts w:ascii="Arial" w:hAnsi="Arial" w:cs="Arial"/>
                <w:b/>
                <w:sz w:val="21"/>
                <w:szCs w:val="21"/>
              </w:rPr>
            </w:pPr>
            <w:r w:rsidRPr="00802FB4">
              <w:rPr>
                <w:rFonts w:ascii="Arial" w:hAnsi="Arial" w:cs="Arial"/>
                <w:b/>
                <w:sz w:val="21"/>
                <w:szCs w:val="21"/>
              </w:rPr>
              <w:t>Riesgos de liquidez</w:t>
            </w:r>
          </w:p>
        </w:tc>
        <w:tc>
          <w:tcPr>
            <w:tcW w:w="6538" w:type="dxa"/>
          </w:tcPr>
          <w:p w14:paraId="4D46E226" w14:textId="719C1B10" w:rsidR="005A3844" w:rsidRPr="00802FB4" w:rsidRDefault="000C0995" w:rsidP="00B542DB">
            <w:pPr>
              <w:jc w:val="both"/>
              <w:rPr>
                <w:rFonts w:ascii="Arial" w:hAnsi="Arial" w:cs="Arial"/>
                <w:sz w:val="21"/>
                <w:szCs w:val="21"/>
              </w:rPr>
            </w:pPr>
            <w:r w:rsidRPr="00802FB4">
              <w:rPr>
                <w:rFonts w:ascii="Arial" w:hAnsi="Arial" w:cs="Arial"/>
                <w:sz w:val="21"/>
                <w:szCs w:val="21"/>
              </w:rPr>
              <w:t>Es el ligado a la falta de demanda de un valor y como consecuencia a su dificultad de venta y a la probabilidad de que, por motivos de las condiciones de oferta y demanda en el mercado, el fondo no pueda vender parte de su cartera de títulos valores en el momento en que requiera fondos o que deba incurrir en pérdidas de capital, pudiendo afectar el valor de la participación y los beneficios distribuidos por el fondo a los inversionistas.</w:t>
            </w:r>
          </w:p>
        </w:tc>
      </w:tr>
      <w:tr w:rsidR="008C5E1B" w:rsidRPr="00802FB4" w14:paraId="476C3B61" w14:textId="77777777" w:rsidTr="0052630D">
        <w:trPr>
          <w:jc w:val="center"/>
        </w:trPr>
        <w:tc>
          <w:tcPr>
            <w:tcW w:w="2677" w:type="dxa"/>
            <w:vAlign w:val="center"/>
          </w:tcPr>
          <w:p w14:paraId="51A9553E" w14:textId="77777777" w:rsidR="008C5E1B" w:rsidRPr="00802FB4" w:rsidRDefault="008C5E1B" w:rsidP="00A7779B">
            <w:pPr>
              <w:ind w:left="72"/>
              <w:rPr>
                <w:rFonts w:ascii="Arial" w:hAnsi="Arial" w:cs="Arial"/>
                <w:b/>
                <w:sz w:val="21"/>
                <w:szCs w:val="21"/>
              </w:rPr>
            </w:pPr>
            <w:r w:rsidRPr="00802FB4">
              <w:rPr>
                <w:rFonts w:ascii="Arial" w:hAnsi="Arial" w:cs="Arial"/>
                <w:b/>
                <w:sz w:val="21"/>
                <w:szCs w:val="21"/>
              </w:rPr>
              <w:t>Riesgos de crédito o no pago</w:t>
            </w:r>
          </w:p>
        </w:tc>
        <w:tc>
          <w:tcPr>
            <w:tcW w:w="6538" w:type="dxa"/>
          </w:tcPr>
          <w:p w14:paraId="68380031" w14:textId="61551941" w:rsidR="008C5E1B" w:rsidRPr="00802FB4" w:rsidRDefault="004C5896" w:rsidP="00C17E25">
            <w:pPr>
              <w:jc w:val="both"/>
              <w:rPr>
                <w:rFonts w:ascii="Arial" w:hAnsi="Arial" w:cs="Arial"/>
                <w:sz w:val="21"/>
                <w:szCs w:val="21"/>
              </w:rPr>
            </w:pPr>
            <w:r w:rsidRPr="00802FB4">
              <w:rPr>
                <w:rFonts w:ascii="Arial" w:hAnsi="Arial" w:cs="Arial"/>
                <w:sz w:val="21"/>
                <w:szCs w:val="21"/>
              </w:rPr>
              <w:t>Existe la posibilidad de incumplimiento de pago de alguno de los emisores en los que el fondo mantiene inversiones en la fecha pactada, trátese de los intereses, principal de la inversión o ambos. En caso de que un emisor deje de pagar sus obligaciones y la negociación de sus valores sea suspendida, los fondos de inversión deben registrar toda la pérdida que surja del cambio de valor del activo en el período que ocurra, según lo establece la NIIF 9 Instrumentos financieros, pudiendo afectar el valor de la participación y los beneficios distribuidos por el fondo a los inversionistas.</w:t>
            </w:r>
          </w:p>
        </w:tc>
      </w:tr>
      <w:tr w:rsidR="00ED420D" w:rsidRPr="00802FB4" w14:paraId="08FF0E2B" w14:textId="77777777" w:rsidTr="0052630D">
        <w:trPr>
          <w:jc w:val="center"/>
        </w:trPr>
        <w:tc>
          <w:tcPr>
            <w:tcW w:w="2677" w:type="dxa"/>
            <w:vAlign w:val="center"/>
          </w:tcPr>
          <w:p w14:paraId="1E2EE171" w14:textId="77777777" w:rsidR="00ED420D" w:rsidRPr="00802FB4" w:rsidRDefault="00ED420D" w:rsidP="00A7779B">
            <w:pPr>
              <w:ind w:left="72"/>
              <w:rPr>
                <w:rFonts w:ascii="Arial" w:hAnsi="Arial" w:cs="Arial"/>
                <w:b/>
                <w:sz w:val="21"/>
                <w:szCs w:val="21"/>
              </w:rPr>
            </w:pPr>
            <w:r w:rsidRPr="00802FB4">
              <w:rPr>
                <w:rFonts w:ascii="Arial" w:hAnsi="Arial" w:cs="Arial"/>
                <w:b/>
                <w:sz w:val="21"/>
                <w:szCs w:val="21"/>
              </w:rPr>
              <w:t>Riesgos cambiarios</w:t>
            </w:r>
          </w:p>
        </w:tc>
        <w:tc>
          <w:tcPr>
            <w:tcW w:w="6538" w:type="dxa"/>
          </w:tcPr>
          <w:p w14:paraId="078B606E" w14:textId="4DB68D18" w:rsidR="00ED420D" w:rsidRPr="00802FB4" w:rsidRDefault="00014D86" w:rsidP="00944FE3">
            <w:pPr>
              <w:jc w:val="both"/>
              <w:rPr>
                <w:rFonts w:ascii="Arial" w:hAnsi="Arial" w:cs="Arial"/>
                <w:sz w:val="21"/>
                <w:szCs w:val="21"/>
              </w:rPr>
            </w:pPr>
            <w:r w:rsidRPr="00802FB4">
              <w:rPr>
                <w:rFonts w:ascii="Arial" w:hAnsi="Arial" w:cs="Arial"/>
                <w:sz w:val="21"/>
                <w:szCs w:val="21"/>
              </w:rPr>
              <w:t>Es el riesgo de que el tipo de cambio se modifique adversamente dando como resultado un menor flujo de efectivo esperado.  Al tr</w:t>
            </w:r>
            <w:r w:rsidR="0091510D" w:rsidRPr="00802FB4">
              <w:rPr>
                <w:rFonts w:ascii="Arial" w:hAnsi="Arial" w:cs="Arial"/>
                <w:sz w:val="21"/>
                <w:szCs w:val="21"/>
              </w:rPr>
              <w:t xml:space="preserve">atarse de un fondo en dólares, </w:t>
            </w:r>
            <w:r w:rsidR="00C334EF" w:rsidRPr="00802FB4">
              <w:rPr>
                <w:rFonts w:ascii="Arial" w:hAnsi="Arial" w:cs="Arial"/>
                <w:sz w:val="21"/>
                <w:szCs w:val="21"/>
              </w:rPr>
              <w:t>una desvalorización del tipo de cambio o una apreciación del dólar con respecto al col</w:t>
            </w:r>
            <w:r w:rsidR="00944FE3" w:rsidRPr="00802FB4">
              <w:rPr>
                <w:rFonts w:ascii="Arial" w:hAnsi="Arial" w:cs="Arial"/>
                <w:sz w:val="21"/>
                <w:szCs w:val="21"/>
              </w:rPr>
              <w:t>ó</w:t>
            </w:r>
            <w:r w:rsidR="00C334EF" w:rsidRPr="00802FB4">
              <w:rPr>
                <w:rFonts w:ascii="Arial" w:hAnsi="Arial" w:cs="Arial"/>
                <w:sz w:val="21"/>
                <w:szCs w:val="21"/>
              </w:rPr>
              <w:t xml:space="preserve">n, provocaría que los flujos generados por aquellos contratos de alquiler en colones </w:t>
            </w:r>
            <w:r w:rsidR="00944FE3" w:rsidRPr="00802FB4">
              <w:rPr>
                <w:rFonts w:ascii="Arial" w:hAnsi="Arial" w:cs="Arial"/>
                <w:sz w:val="21"/>
                <w:szCs w:val="21"/>
              </w:rPr>
              <w:t>sufran</w:t>
            </w:r>
            <w:r w:rsidR="00C334EF" w:rsidRPr="00802FB4">
              <w:rPr>
                <w:rFonts w:ascii="Arial" w:hAnsi="Arial" w:cs="Arial"/>
                <w:sz w:val="21"/>
                <w:szCs w:val="21"/>
              </w:rPr>
              <w:t xml:space="preserve"> una pérdida por diferencial cambiario</w:t>
            </w:r>
            <w:r w:rsidR="002265CC" w:rsidRPr="00802FB4">
              <w:rPr>
                <w:rFonts w:ascii="Arial" w:hAnsi="Arial" w:cs="Arial"/>
                <w:sz w:val="21"/>
                <w:szCs w:val="21"/>
              </w:rPr>
              <w:t>,</w:t>
            </w:r>
            <w:r w:rsidR="00B85F41" w:rsidRPr="00802FB4">
              <w:rPr>
                <w:rFonts w:ascii="Arial" w:hAnsi="Arial" w:cs="Arial"/>
                <w:sz w:val="21"/>
                <w:szCs w:val="21"/>
              </w:rPr>
              <w:t xml:space="preserve"> pudiendo afectar el valor de </w:t>
            </w:r>
            <w:r w:rsidR="00C17EAC" w:rsidRPr="00802FB4">
              <w:rPr>
                <w:rFonts w:ascii="Arial" w:hAnsi="Arial" w:cs="Arial"/>
                <w:sz w:val="21"/>
                <w:szCs w:val="21"/>
              </w:rPr>
              <w:t xml:space="preserve">la </w:t>
            </w:r>
            <w:r w:rsidR="00B85F41" w:rsidRPr="00802FB4">
              <w:rPr>
                <w:rFonts w:ascii="Arial" w:hAnsi="Arial" w:cs="Arial"/>
                <w:sz w:val="21"/>
                <w:szCs w:val="21"/>
              </w:rPr>
              <w:t>participación y los beneficios distribuidos por el fondo a los inversionistas.</w:t>
            </w:r>
          </w:p>
        </w:tc>
      </w:tr>
      <w:tr w:rsidR="008C5E1B" w:rsidRPr="00802FB4" w14:paraId="4D17ABDD" w14:textId="77777777" w:rsidTr="0052630D">
        <w:trPr>
          <w:jc w:val="center"/>
        </w:trPr>
        <w:tc>
          <w:tcPr>
            <w:tcW w:w="2677" w:type="dxa"/>
            <w:vAlign w:val="center"/>
          </w:tcPr>
          <w:p w14:paraId="3BCF2F8F" w14:textId="77777777" w:rsidR="008C5E1B" w:rsidRPr="00802FB4" w:rsidRDefault="008C5E1B" w:rsidP="00A7779B">
            <w:pPr>
              <w:ind w:left="72"/>
              <w:rPr>
                <w:rFonts w:ascii="Arial" w:hAnsi="Arial" w:cs="Arial"/>
                <w:b/>
                <w:sz w:val="21"/>
                <w:szCs w:val="21"/>
              </w:rPr>
            </w:pPr>
            <w:r w:rsidRPr="00802FB4">
              <w:rPr>
                <w:rFonts w:ascii="Arial" w:hAnsi="Arial" w:cs="Arial"/>
                <w:b/>
                <w:sz w:val="21"/>
                <w:szCs w:val="21"/>
              </w:rPr>
              <w:t>Riesgos de las operaciones de reporto</w:t>
            </w:r>
          </w:p>
        </w:tc>
        <w:tc>
          <w:tcPr>
            <w:tcW w:w="6538" w:type="dxa"/>
          </w:tcPr>
          <w:p w14:paraId="166053AC" w14:textId="4480DF97" w:rsidR="00154756" w:rsidRPr="00802FB4" w:rsidRDefault="007D5307" w:rsidP="00154756">
            <w:pPr>
              <w:jc w:val="both"/>
              <w:rPr>
                <w:rFonts w:ascii="Arial" w:hAnsi="Arial" w:cs="Arial"/>
                <w:sz w:val="21"/>
                <w:szCs w:val="21"/>
              </w:rPr>
            </w:pPr>
            <w:bookmarkStart w:id="16" w:name="OLE_LINK1"/>
            <w:r w:rsidRPr="00802FB4">
              <w:rPr>
                <w:rFonts w:ascii="Arial" w:hAnsi="Arial" w:cs="Arial"/>
                <w:sz w:val="21"/>
                <w:szCs w:val="21"/>
                <w:lang w:val="es-CR"/>
              </w:rPr>
              <w:t xml:space="preserve">Si el fondo </w:t>
            </w:r>
            <w:r w:rsidR="00905DBD" w:rsidRPr="00802FB4">
              <w:rPr>
                <w:rFonts w:ascii="Arial" w:hAnsi="Arial" w:cs="Arial"/>
                <w:sz w:val="21"/>
                <w:szCs w:val="21"/>
                <w:lang w:val="es-CR"/>
              </w:rPr>
              <w:t>participa</w:t>
            </w:r>
            <w:r w:rsidRPr="00802FB4">
              <w:rPr>
                <w:rFonts w:ascii="Arial" w:hAnsi="Arial" w:cs="Arial"/>
                <w:sz w:val="21"/>
                <w:szCs w:val="21"/>
                <w:lang w:val="es-CR"/>
              </w:rPr>
              <w:t xml:space="preserve"> en operaciones de </w:t>
            </w:r>
            <w:r w:rsidR="009F0291" w:rsidRPr="00802FB4">
              <w:rPr>
                <w:rFonts w:ascii="Arial" w:hAnsi="Arial" w:cs="Arial"/>
                <w:sz w:val="21"/>
                <w:szCs w:val="21"/>
                <w:lang w:val="es-CR"/>
              </w:rPr>
              <w:t>reporto</w:t>
            </w:r>
            <w:r w:rsidRPr="00802FB4">
              <w:rPr>
                <w:rFonts w:ascii="Arial" w:hAnsi="Arial" w:cs="Arial"/>
                <w:sz w:val="21"/>
                <w:szCs w:val="21"/>
                <w:lang w:val="es-CR"/>
              </w:rPr>
              <w:t xml:space="preserve"> como vendedor a plazo (inversionista) o de comprador a plazo (deudor), puede darse el incumplimiento por cualquiera de las partes, en caso de materializarse dicho riesgo existen una serie de mecanismos para cancelar la operación, en cualquiera de los casos, se podrían generar pérdidas económicas para el fondo.</w:t>
            </w:r>
            <w:r w:rsidR="00154756" w:rsidRPr="00802FB4">
              <w:rPr>
                <w:rFonts w:ascii="Arial" w:hAnsi="Arial" w:cs="Arial"/>
                <w:sz w:val="21"/>
                <w:szCs w:val="21"/>
              </w:rPr>
              <w:t xml:space="preserve"> </w:t>
            </w:r>
          </w:p>
          <w:p w14:paraId="1600F928" w14:textId="77777777" w:rsidR="00363ECF" w:rsidRPr="00802FB4" w:rsidRDefault="00363ECF" w:rsidP="00154756">
            <w:pPr>
              <w:jc w:val="both"/>
              <w:rPr>
                <w:rFonts w:ascii="Arial" w:hAnsi="Arial" w:cs="Arial"/>
                <w:sz w:val="21"/>
                <w:szCs w:val="21"/>
              </w:rPr>
            </w:pPr>
          </w:p>
          <w:p w14:paraId="0876B558" w14:textId="77777777" w:rsidR="008C5E1B" w:rsidRPr="00802FB4" w:rsidRDefault="006C0F5E" w:rsidP="00154756">
            <w:pPr>
              <w:jc w:val="both"/>
              <w:rPr>
                <w:rFonts w:ascii="Arial" w:hAnsi="Arial" w:cs="Arial"/>
                <w:i/>
                <w:sz w:val="21"/>
                <w:szCs w:val="21"/>
              </w:rPr>
            </w:pPr>
            <w:r w:rsidRPr="00802FB4">
              <w:rPr>
                <w:rFonts w:ascii="Arial" w:hAnsi="Arial" w:cs="Arial"/>
                <w:sz w:val="21"/>
                <w:szCs w:val="21"/>
              </w:rPr>
              <w:t>Si la posición del fondo fuera la de comprador a plazo (deudor), fluctuaciones en el precio de mercado de los títulos valores otorgados en garantía podrían obligar a la administración a efectuar reposiciones de margen que podrían comprometer la posición de liquidez de la cartera</w:t>
            </w:r>
            <w:r w:rsidR="000E19B5" w:rsidRPr="00802FB4">
              <w:rPr>
                <w:rFonts w:ascii="Arial" w:hAnsi="Arial" w:cs="Arial"/>
                <w:sz w:val="21"/>
                <w:szCs w:val="21"/>
              </w:rPr>
              <w:t>.</w:t>
            </w:r>
            <w:bookmarkEnd w:id="16"/>
          </w:p>
        </w:tc>
      </w:tr>
      <w:tr w:rsidR="006C0F5E" w:rsidRPr="00802FB4" w14:paraId="789585E6" w14:textId="77777777" w:rsidTr="0052630D">
        <w:trPr>
          <w:jc w:val="center"/>
        </w:trPr>
        <w:tc>
          <w:tcPr>
            <w:tcW w:w="2677" w:type="dxa"/>
            <w:vAlign w:val="center"/>
          </w:tcPr>
          <w:p w14:paraId="20290E49" w14:textId="77777777" w:rsidR="006C0F5E" w:rsidRPr="00802FB4" w:rsidRDefault="006C0F5E" w:rsidP="00A7779B">
            <w:pPr>
              <w:ind w:left="72"/>
              <w:rPr>
                <w:rFonts w:ascii="Arial" w:hAnsi="Arial" w:cs="Arial"/>
                <w:b/>
                <w:sz w:val="21"/>
                <w:szCs w:val="21"/>
              </w:rPr>
            </w:pPr>
            <w:r w:rsidRPr="00802FB4">
              <w:rPr>
                <w:rFonts w:ascii="Arial" w:hAnsi="Arial" w:cs="Arial"/>
                <w:b/>
                <w:sz w:val="21"/>
                <w:szCs w:val="21"/>
              </w:rPr>
              <w:t xml:space="preserve">Riesgos operativos </w:t>
            </w:r>
          </w:p>
        </w:tc>
        <w:tc>
          <w:tcPr>
            <w:tcW w:w="6538" w:type="dxa"/>
          </w:tcPr>
          <w:p w14:paraId="6215C78E" w14:textId="6FFFFEDB" w:rsidR="006C0F5E" w:rsidRPr="00802FB4" w:rsidRDefault="006C0F5E" w:rsidP="00691324">
            <w:pPr>
              <w:jc w:val="both"/>
              <w:rPr>
                <w:rFonts w:ascii="Arial" w:hAnsi="Arial" w:cs="Arial"/>
                <w:sz w:val="21"/>
                <w:szCs w:val="21"/>
              </w:rPr>
            </w:pPr>
            <w:r w:rsidRPr="00802FB4">
              <w:rPr>
                <w:rFonts w:ascii="Arial" w:hAnsi="Arial" w:cs="Arial"/>
                <w:sz w:val="21"/>
                <w:szCs w:val="21"/>
              </w:rPr>
              <w:t xml:space="preserve">Existen diferentes situaciones de la administración, gestión y operativa de </w:t>
            </w:r>
            <w:r w:rsidR="00A865D7" w:rsidRPr="00802FB4">
              <w:rPr>
                <w:rFonts w:ascii="Arial" w:hAnsi="Arial" w:cs="Arial"/>
                <w:sz w:val="21"/>
                <w:szCs w:val="21"/>
              </w:rPr>
              <w:t>Multifondos</w:t>
            </w:r>
            <w:r w:rsidRPr="00802FB4">
              <w:rPr>
                <w:rFonts w:ascii="Arial" w:hAnsi="Arial" w:cs="Arial"/>
                <w:sz w:val="21"/>
                <w:szCs w:val="21"/>
              </w:rPr>
              <w:t xml:space="preserve"> que pueden generar riesgos al fondo de inversión, tales como incumplimiento de normas y procedimientos internos, fallas en sistemas de información, errores o faltas del personal, o generadas por eventos externos tales como algún problema que se pueda presentar con algún custodio o depositario </w:t>
            </w:r>
            <w:r w:rsidRPr="00802FB4">
              <w:rPr>
                <w:rFonts w:ascii="Arial" w:hAnsi="Arial" w:cs="Arial"/>
                <w:sz w:val="21"/>
                <w:szCs w:val="21"/>
              </w:rPr>
              <w:lastRenderedPageBreak/>
              <w:t>de los valores y/o efectivo.</w:t>
            </w:r>
            <w:r w:rsidR="00D2420C" w:rsidRPr="00802FB4">
              <w:rPr>
                <w:rFonts w:ascii="Arial" w:hAnsi="Arial" w:cs="Arial"/>
                <w:sz w:val="21"/>
                <w:szCs w:val="21"/>
              </w:rPr>
              <w:t xml:space="preserve">  En </w:t>
            </w:r>
            <w:r w:rsidR="00605136" w:rsidRPr="00802FB4">
              <w:rPr>
                <w:rFonts w:ascii="Arial" w:hAnsi="Arial" w:cs="Arial"/>
                <w:sz w:val="21"/>
                <w:szCs w:val="21"/>
              </w:rPr>
              <w:t>consecuencia,</w:t>
            </w:r>
            <w:r w:rsidR="00D2420C" w:rsidRPr="00802FB4">
              <w:rPr>
                <w:rFonts w:ascii="Arial" w:hAnsi="Arial" w:cs="Arial"/>
                <w:sz w:val="21"/>
                <w:szCs w:val="21"/>
              </w:rPr>
              <w:t xml:space="preserve"> </w:t>
            </w:r>
            <w:r w:rsidR="00DA23B2" w:rsidRPr="00802FB4">
              <w:rPr>
                <w:rFonts w:ascii="Arial" w:hAnsi="Arial" w:cs="Arial"/>
                <w:sz w:val="21"/>
                <w:szCs w:val="21"/>
              </w:rPr>
              <w:t xml:space="preserve">de </w:t>
            </w:r>
            <w:r w:rsidR="00D2420C" w:rsidRPr="00802FB4">
              <w:rPr>
                <w:rFonts w:ascii="Arial" w:hAnsi="Arial" w:cs="Arial"/>
                <w:sz w:val="21"/>
                <w:szCs w:val="21"/>
              </w:rPr>
              <w:t>materializa</w:t>
            </w:r>
            <w:r w:rsidR="00DA23B2" w:rsidRPr="00802FB4">
              <w:rPr>
                <w:rFonts w:ascii="Arial" w:hAnsi="Arial" w:cs="Arial"/>
                <w:sz w:val="21"/>
                <w:szCs w:val="21"/>
              </w:rPr>
              <w:t xml:space="preserve">rse </w:t>
            </w:r>
            <w:r w:rsidR="00D2420C" w:rsidRPr="00802FB4">
              <w:rPr>
                <w:rFonts w:ascii="Arial" w:hAnsi="Arial" w:cs="Arial"/>
                <w:sz w:val="21"/>
                <w:szCs w:val="21"/>
              </w:rPr>
              <w:t>este riesgo</w:t>
            </w:r>
            <w:r w:rsidR="00B85F41" w:rsidRPr="00802FB4">
              <w:rPr>
                <w:rFonts w:ascii="Arial" w:hAnsi="Arial" w:cs="Arial"/>
                <w:sz w:val="21"/>
                <w:szCs w:val="21"/>
              </w:rPr>
              <w:t>,</w:t>
            </w:r>
            <w:r w:rsidR="00D2420C" w:rsidRPr="00802FB4">
              <w:rPr>
                <w:rFonts w:ascii="Arial" w:hAnsi="Arial" w:cs="Arial"/>
                <w:sz w:val="21"/>
                <w:szCs w:val="21"/>
              </w:rPr>
              <w:t xml:space="preserve"> el inversionista podría experimentar desmejora </w:t>
            </w:r>
            <w:r w:rsidR="00DA23B2" w:rsidRPr="00802FB4">
              <w:rPr>
                <w:rFonts w:ascii="Arial" w:hAnsi="Arial" w:cs="Arial"/>
                <w:sz w:val="21"/>
                <w:szCs w:val="21"/>
              </w:rPr>
              <w:t xml:space="preserve">en </w:t>
            </w:r>
            <w:r w:rsidR="00D2420C" w:rsidRPr="00802FB4">
              <w:rPr>
                <w:rFonts w:ascii="Arial" w:hAnsi="Arial" w:cs="Arial"/>
                <w:sz w:val="21"/>
                <w:szCs w:val="21"/>
              </w:rPr>
              <w:t>el servicio contratado.</w:t>
            </w:r>
          </w:p>
        </w:tc>
      </w:tr>
      <w:tr w:rsidR="006C0F5E" w:rsidRPr="00802FB4" w14:paraId="4904C669" w14:textId="77777777" w:rsidTr="0052630D">
        <w:trPr>
          <w:jc w:val="center"/>
        </w:trPr>
        <w:tc>
          <w:tcPr>
            <w:tcW w:w="2677" w:type="dxa"/>
            <w:vAlign w:val="center"/>
          </w:tcPr>
          <w:p w14:paraId="1B3EB74D" w14:textId="77777777" w:rsidR="006C0F5E" w:rsidRPr="00802FB4" w:rsidRDefault="006C0F5E" w:rsidP="00D83795">
            <w:pPr>
              <w:ind w:left="72"/>
              <w:jc w:val="both"/>
              <w:rPr>
                <w:rFonts w:ascii="Arial" w:hAnsi="Arial" w:cs="Arial"/>
                <w:b/>
                <w:sz w:val="21"/>
                <w:szCs w:val="21"/>
              </w:rPr>
            </w:pPr>
            <w:r w:rsidRPr="00802FB4">
              <w:rPr>
                <w:rFonts w:ascii="Arial" w:hAnsi="Arial" w:cs="Arial"/>
                <w:b/>
                <w:sz w:val="21"/>
                <w:szCs w:val="21"/>
              </w:rPr>
              <w:lastRenderedPageBreak/>
              <w:t>Riesgos legales</w:t>
            </w:r>
          </w:p>
        </w:tc>
        <w:tc>
          <w:tcPr>
            <w:tcW w:w="6538" w:type="dxa"/>
          </w:tcPr>
          <w:p w14:paraId="500ACA6E" w14:textId="2EC8FE37" w:rsidR="006C0F5E" w:rsidRPr="00802FB4" w:rsidRDefault="006C0F5E" w:rsidP="00812E40">
            <w:pPr>
              <w:jc w:val="both"/>
              <w:rPr>
                <w:rFonts w:ascii="Arial" w:hAnsi="Arial" w:cs="Arial"/>
                <w:sz w:val="21"/>
                <w:szCs w:val="21"/>
              </w:rPr>
            </w:pPr>
            <w:r w:rsidRPr="00802FB4">
              <w:rPr>
                <w:rFonts w:ascii="Arial" w:hAnsi="Arial" w:cs="Arial"/>
                <w:sz w:val="21"/>
                <w:szCs w:val="21"/>
              </w:rPr>
              <w:t xml:space="preserve">Cambios en </w:t>
            </w:r>
            <w:r w:rsidRPr="00C65451">
              <w:rPr>
                <w:rFonts w:ascii="Arial" w:hAnsi="Arial" w:cs="Arial"/>
                <w:sz w:val="21"/>
                <w:szCs w:val="21"/>
              </w:rPr>
              <w:t>la Ley Reguladora del Mercado de Valores y otras leyes, Reglamento General sobre Sociedades Administradoras y Fondos de Inversión y otra normativa aplicable a los fondos de inversión, así como en los regímenes fiscales y disposiciones de política</w:t>
            </w:r>
            <w:r w:rsidRPr="00802FB4">
              <w:rPr>
                <w:rFonts w:ascii="Arial" w:hAnsi="Arial" w:cs="Arial"/>
                <w:sz w:val="21"/>
                <w:szCs w:val="21"/>
              </w:rPr>
              <w:t xml:space="preserve"> monetaria de los Bancos Centrales de Costa Rica y demás países en los que el fondo mantenga inversiones, pueden afectar el valor de las inversiones de la cartera. Todo esto podría traducirse en una depreciación de los valores de los activos del fondo, por lo tanto</w:t>
            </w:r>
            <w:r w:rsidR="00EE1D76" w:rsidRPr="00802FB4">
              <w:rPr>
                <w:rFonts w:ascii="Arial" w:hAnsi="Arial" w:cs="Arial"/>
                <w:sz w:val="21"/>
                <w:szCs w:val="21"/>
              </w:rPr>
              <w:t>,</w:t>
            </w:r>
            <w:r w:rsidRPr="00802FB4">
              <w:rPr>
                <w:rFonts w:ascii="Arial" w:hAnsi="Arial" w:cs="Arial"/>
                <w:sz w:val="21"/>
                <w:szCs w:val="21"/>
              </w:rPr>
              <w:t xml:space="preserve"> en el precio de la participación, pudiendo el inversionista enfrentarse a pérdidas en el valor de su inversión.</w:t>
            </w:r>
          </w:p>
        </w:tc>
      </w:tr>
      <w:tr w:rsidR="00ED420D" w:rsidRPr="00802FB4" w14:paraId="0FF51226" w14:textId="77777777" w:rsidTr="0052630D">
        <w:trPr>
          <w:jc w:val="center"/>
        </w:trPr>
        <w:tc>
          <w:tcPr>
            <w:tcW w:w="2677" w:type="dxa"/>
            <w:vAlign w:val="center"/>
          </w:tcPr>
          <w:p w14:paraId="573C8BED" w14:textId="77777777" w:rsidR="00ED420D" w:rsidRPr="00802FB4" w:rsidRDefault="00ED420D" w:rsidP="00EF7843">
            <w:pPr>
              <w:ind w:left="72"/>
              <w:rPr>
                <w:rFonts w:ascii="Arial" w:hAnsi="Arial" w:cs="Arial"/>
                <w:b/>
                <w:sz w:val="21"/>
                <w:szCs w:val="21"/>
              </w:rPr>
            </w:pPr>
            <w:r w:rsidRPr="00802FB4">
              <w:rPr>
                <w:rFonts w:ascii="Arial" w:hAnsi="Arial" w:cs="Arial"/>
                <w:b/>
                <w:sz w:val="21"/>
                <w:szCs w:val="21"/>
              </w:rPr>
              <w:t>Riesgo por desinscripción del fondo de inversión</w:t>
            </w:r>
          </w:p>
        </w:tc>
        <w:tc>
          <w:tcPr>
            <w:tcW w:w="6538" w:type="dxa"/>
          </w:tcPr>
          <w:p w14:paraId="48D0DE83" w14:textId="77777777" w:rsidR="00ED420D" w:rsidRPr="00802FB4" w:rsidRDefault="001D65F3" w:rsidP="00EB3861">
            <w:pPr>
              <w:jc w:val="both"/>
              <w:rPr>
                <w:rFonts w:ascii="Arial" w:hAnsi="Arial" w:cs="Arial"/>
                <w:sz w:val="21"/>
                <w:szCs w:val="21"/>
              </w:rPr>
            </w:pPr>
            <w:r w:rsidRPr="00802FB4">
              <w:rPr>
                <w:rFonts w:ascii="Arial" w:hAnsi="Arial" w:cs="Arial"/>
                <w:sz w:val="21"/>
                <w:szCs w:val="21"/>
              </w:rPr>
              <w:t>Este riesgo se presenta e</w:t>
            </w:r>
            <w:r w:rsidR="00ED420D" w:rsidRPr="00802FB4">
              <w:rPr>
                <w:rFonts w:ascii="Arial" w:hAnsi="Arial" w:cs="Arial"/>
                <w:sz w:val="21"/>
                <w:szCs w:val="21"/>
              </w:rPr>
              <w:t>n caso de que el fondo no alcance</w:t>
            </w:r>
            <w:r w:rsidR="00382566" w:rsidRPr="00802FB4">
              <w:rPr>
                <w:rFonts w:ascii="Arial" w:hAnsi="Arial" w:cs="Arial"/>
                <w:sz w:val="21"/>
                <w:szCs w:val="21"/>
              </w:rPr>
              <w:t xml:space="preserve"> </w:t>
            </w:r>
            <w:r w:rsidR="00ED420D" w:rsidRPr="00802FB4">
              <w:rPr>
                <w:rFonts w:ascii="Arial" w:hAnsi="Arial" w:cs="Arial"/>
                <w:sz w:val="21"/>
                <w:szCs w:val="21"/>
              </w:rPr>
              <w:t>el activo neto mínimo</w:t>
            </w:r>
            <w:r w:rsidRPr="00802FB4">
              <w:rPr>
                <w:rFonts w:ascii="Arial" w:hAnsi="Arial" w:cs="Arial"/>
                <w:sz w:val="21"/>
                <w:szCs w:val="21"/>
              </w:rPr>
              <w:t>,</w:t>
            </w:r>
            <w:r w:rsidR="00ED420D" w:rsidRPr="00802FB4">
              <w:rPr>
                <w:rFonts w:ascii="Arial" w:hAnsi="Arial" w:cs="Arial"/>
                <w:sz w:val="21"/>
                <w:szCs w:val="21"/>
              </w:rPr>
              <w:t xml:space="preserve"> el número de inversionistas mínimo</w:t>
            </w:r>
            <w:r w:rsidRPr="00802FB4">
              <w:rPr>
                <w:rFonts w:ascii="Arial" w:hAnsi="Arial" w:cs="Arial"/>
                <w:sz w:val="21"/>
                <w:szCs w:val="21"/>
              </w:rPr>
              <w:t>, los</w:t>
            </w:r>
            <w:r w:rsidR="003110F2" w:rsidRPr="00802FB4">
              <w:rPr>
                <w:rFonts w:ascii="Arial" w:hAnsi="Arial" w:cs="Arial"/>
                <w:sz w:val="21"/>
                <w:szCs w:val="21"/>
              </w:rPr>
              <w:t xml:space="preserve"> </w:t>
            </w:r>
            <w:r w:rsidRPr="00802FB4">
              <w:rPr>
                <w:rFonts w:ascii="Arial" w:hAnsi="Arial" w:cs="Arial"/>
                <w:sz w:val="21"/>
                <w:szCs w:val="21"/>
              </w:rPr>
              <w:t xml:space="preserve">niveles de diversificación </w:t>
            </w:r>
            <w:r w:rsidR="003110F2" w:rsidRPr="00802FB4">
              <w:rPr>
                <w:rFonts w:ascii="Arial" w:hAnsi="Arial" w:cs="Arial"/>
                <w:sz w:val="21"/>
                <w:szCs w:val="21"/>
              </w:rPr>
              <w:t xml:space="preserve">y otros requerimientos </w:t>
            </w:r>
            <w:r w:rsidR="00ED420D" w:rsidRPr="00802FB4">
              <w:rPr>
                <w:rFonts w:ascii="Arial" w:hAnsi="Arial" w:cs="Arial"/>
                <w:sz w:val="21"/>
                <w:szCs w:val="21"/>
              </w:rPr>
              <w:t>establecido</w:t>
            </w:r>
            <w:r w:rsidRPr="00802FB4">
              <w:rPr>
                <w:rFonts w:ascii="Arial" w:hAnsi="Arial" w:cs="Arial"/>
                <w:sz w:val="21"/>
                <w:szCs w:val="21"/>
              </w:rPr>
              <w:t>s</w:t>
            </w:r>
            <w:r w:rsidR="00ED420D" w:rsidRPr="00802FB4">
              <w:rPr>
                <w:rFonts w:ascii="Arial" w:hAnsi="Arial" w:cs="Arial"/>
                <w:sz w:val="21"/>
                <w:szCs w:val="21"/>
              </w:rPr>
              <w:t xml:space="preserve"> por la normativa </w:t>
            </w:r>
            <w:r w:rsidRPr="00802FB4">
              <w:rPr>
                <w:rFonts w:ascii="Arial" w:hAnsi="Arial" w:cs="Arial"/>
                <w:sz w:val="21"/>
                <w:szCs w:val="21"/>
              </w:rPr>
              <w:t xml:space="preserve">o </w:t>
            </w:r>
            <w:r w:rsidR="00ED420D" w:rsidRPr="00802FB4">
              <w:rPr>
                <w:rFonts w:ascii="Arial" w:hAnsi="Arial" w:cs="Arial"/>
                <w:sz w:val="21"/>
                <w:szCs w:val="21"/>
              </w:rPr>
              <w:t>que la desinscripción sea solicitada por parte de Multifondos, en cuyo caso el precio de venta de los inmuebles podría mejorar o perjudicar el rendimiento de los inversionistas que estén en ese momento en el fondo. De la misma forma el eventual proceso de venta de los inmuebles no puede ser claramente establecido, por lo que los inversionistas tendrían que esperar a que la venta se realice antes de recibir su dinero.</w:t>
            </w:r>
          </w:p>
        </w:tc>
      </w:tr>
      <w:tr w:rsidR="00ED420D" w:rsidRPr="00802FB4" w14:paraId="3CEEE962" w14:textId="77777777" w:rsidTr="0052630D">
        <w:trPr>
          <w:jc w:val="center"/>
        </w:trPr>
        <w:tc>
          <w:tcPr>
            <w:tcW w:w="2677" w:type="dxa"/>
            <w:vAlign w:val="center"/>
          </w:tcPr>
          <w:p w14:paraId="47C5E504" w14:textId="77777777" w:rsidR="00ED420D" w:rsidRPr="00802FB4" w:rsidRDefault="00ED420D" w:rsidP="00ED420D">
            <w:pPr>
              <w:ind w:left="72"/>
              <w:rPr>
                <w:rFonts w:ascii="Arial" w:hAnsi="Arial" w:cs="Arial"/>
                <w:b/>
                <w:sz w:val="21"/>
                <w:szCs w:val="21"/>
              </w:rPr>
            </w:pPr>
            <w:r w:rsidRPr="00802FB4">
              <w:rPr>
                <w:rFonts w:ascii="Arial" w:hAnsi="Arial" w:cs="Arial"/>
                <w:b/>
                <w:sz w:val="21"/>
                <w:szCs w:val="21"/>
              </w:rPr>
              <w:t>Riesgo sistémico</w:t>
            </w:r>
          </w:p>
        </w:tc>
        <w:tc>
          <w:tcPr>
            <w:tcW w:w="6538" w:type="dxa"/>
          </w:tcPr>
          <w:p w14:paraId="0DEFA08D" w14:textId="609C574B" w:rsidR="00ED420D" w:rsidRPr="00802FB4" w:rsidRDefault="00ED420D" w:rsidP="00ED420D">
            <w:pPr>
              <w:tabs>
                <w:tab w:val="left" w:pos="426"/>
              </w:tabs>
              <w:jc w:val="both"/>
              <w:rPr>
                <w:rFonts w:ascii="Arial" w:hAnsi="Arial" w:cs="Arial"/>
                <w:sz w:val="21"/>
                <w:szCs w:val="21"/>
              </w:rPr>
            </w:pPr>
            <w:r w:rsidRPr="00802FB4">
              <w:rPr>
                <w:rFonts w:ascii="Arial" w:hAnsi="Arial" w:cs="Arial"/>
                <w:sz w:val="21"/>
                <w:szCs w:val="21"/>
              </w:rPr>
              <w:t xml:space="preserve">Es aquel que afecta a todos los participantes del sector y que se presenta en función de la evolución de variables macroeconómicas como: tasas de interés, inflación, devaluación, diferencial cambiario, </w:t>
            </w:r>
            <w:r w:rsidR="00D2420C" w:rsidRPr="00802FB4">
              <w:rPr>
                <w:rFonts w:ascii="Arial" w:hAnsi="Arial" w:cs="Arial"/>
                <w:sz w:val="21"/>
                <w:szCs w:val="21"/>
              </w:rPr>
              <w:t>de</w:t>
            </w:r>
            <w:r w:rsidRPr="00802FB4">
              <w:rPr>
                <w:rFonts w:ascii="Arial" w:hAnsi="Arial" w:cs="Arial"/>
                <w:sz w:val="21"/>
                <w:szCs w:val="21"/>
              </w:rPr>
              <w:t>crecimiento de la actividad económica, etc., o un posible cambio en las leyes o reglamentos que condicionan la operación del negocio. Este riesgo no depende de la gestión realizada por el administrador del Fondo</w:t>
            </w:r>
            <w:r w:rsidR="00490E37" w:rsidRPr="00802FB4">
              <w:rPr>
                <w:rFonts w:ascii="Arial" w:hAnsi="Arial" w:cs="Arial"/>
                <w:sz w:val="21"/>
                <w:szCs w:val="21"/>
              </w:rPr>
              <w:t>,</w:t>
            </w:r>
            <w:r w:rsidR="00D2420C" w:rsidRPr="00802FB4">
              <w:rPr>
                <w:rFonts w:ascii="Arial" w:hAnsi="Arial" w:cs="Arial"/>
                <w:sz w:val="21"/>
                <w:szCs w:val="21"/>
              </w:rPr>
              <w:t xml:space="preserve"> sin embargo, en caso de materializarse</w:t>
            </w:r>
            <w:r w:rsidR="00653C98" w:rsidRPr="00802FB4">
              <w:rPr>
                <w:rFonts w:ascii="Arial" w:hAnsi="Arial" w:cs="Arial"/>
                <w:sz w:val="21"/>
                <w:szCs w:val="21"/>
              </w:rPr>
              <w:t>,</w:t>
            </w:r>
            <w:r w:rsidR="00D2420C" w:rsidRPr="00802FB4">
              <w:rPr>
                <w:rFonts w:ascii="Arial" w:hAnsi="Arial" w:cs="Arial"/>
                <w:sz w:val="21"/>
                <w:szCs w:val="21"/>
              </w:rPr>
              <w:t xml:space="preserve"> el inversionista podría exponerse</w:t>
            </w:r>
            <w:r w:rsidR="00DA23B2" w:rsidRPr="00802FB4">
              <w:rPr>
                <w:rFonts w:ascii="Arial" w:hAnsi="Arial" w:cs="Arial"/>
                <w:sz w:val="21"/>
                <w:szCs w:val="21"/>
              </w:rPr>
              <w:t xml:space="preserve"> a</w:t>
            </w:r>
            <w:r w:rsidR="00D2420C" w:rsidRPr="00802FB4">
              <w:rPr>
                <w:rFonts w:ascii="Arial" w:hAnsi="Arial" w:cs="Arial"/>
                <w:sz w:val="21"/>
                <w:szCs w:val="21"/>
              </w:rPr>
              <w:t xml:space="preserve"> posibles pérdidas de capital.</w:t>
            </w:r>
          </w:p>
        </w:tc>
      </w:tr>
      <w:tr w:rsidR="00ED420D" w:rsidRPr="00802FB4" w14:paraId="57898C7A" w14:textId="77777777" w:rsidTr="0052630D">
        <w:trPr>
          <w:jc w:val="center"/>
        </w:trPr>
        <w:tc>
          <w:tcPr>
            <w:tcW w:w="2677" w:type="dxa"/>
            <w:vAlign w:val="center"/>
          </w:tcPr>
          <w:p w14:paraId="347C3C3A" w14:textId="77777777" w:rsidR="00ED420D" w:rsidRPr="00802FB4" w:rsidRDefault="00ED420D" w:rsidP="00346989">
            <w:pPr>
              <w:ind w:left="72"/>
              <w:rPr>
                <w:rFonts w:ascii="Arial" w:hAnsi="Arial" w:cs="Arial"/>
                <w:b/>
                <w:sz w:val="21"/>
                <w:szCs w:val="21"/>
              </w:rPr>
            </w:pPr>
            <w:r w:rsidRPr="00802FB4">
              <w:rPr>
                <w:rFonts w:ascii="Arial" w:hAnsi="Arial" w:cs="Arial"/>
                <w:b/>
                <w:sz w:val="21"/>
                <w:szCs w:val="21"/>
              </w:rPr>
              <w:t xml:space="preserve">Otros riesgos: Riesgo no </w:t>
            </w:r>
            <w:r w:rsidR="00346989" w:rsidRPr="00802FB4">
              <w:rPr>
                <w:rFonts w:ascii="Arial" w:hAnsi="Arial" w:cs="Arial"/>
                <w:b/>
                <w:sz w:val="21"/>
                <w:szCs w:val="21"/>
              </w:rPr>
              <w:t>sistémico</w:t>
            </w:r>
          </w:p>
        </w:tc>
        <w:tc>
          <w:tcPr>
            <w:tcW w:w="6538" w:type="dxa"/>
          </w:tcPr>
          <w:p w14:paraId="1D1F5EEE" w14:textId="77777777" w:rsidR="00ED420D" w:rsidRPr="00802FB4" w:rsidRDefault="00ED420D" w:rsidP="008144D3">
            <w:pPr>
              <w:tabs>
                <w:tab w:val="left" w:pos="426"/>
              </w:tabs>
              <w:jc w:val="both"/>
              <w:rPr>
                <w:rFonts w:ascii="Arial" w:hAnsi="Arial" w:cs="Arial"/>
                <w:sz w:val="21"/>
                <w:szCs w:val="21"/>
              </w:rPr>
            </w:pPr>
            <w:r w:rsidRPr="00802FB4">
              <w:rPr>
                <w:rFonts w:ascii="Arial" w:hAnsi="Arial" w:cs="Arial"/>
                <w:sz w:val="21"/>
                <w:szCs w:val="21"/>
              </w:rPr>
              <w:t>Es el riesgo ligado a la situación económica y financie</w:t>
            </w:r>
            <w:r w:rsidR="008A4B6E" w:rsidRPr="00802FB4">
              <w:rPr>
                <w:rFonts w:ascii="Arial" w:hAnsi="Arial" w:cs="Arial"/>
                <w:sz w:val="21"/>
                <w:szCs w:val="21"/>
              </w:rPr>
              <w:t xml:space="preserve">ra de un emisor en particular. </w:t>
            </w:r>
            <w:r w:rsidRPr="00802FB4">
              <w:rPr>
                <w:rFonts w:ascii="Arial" w:hAnsi="Arial" w:cs="Arial"/>
                <w:sz w:val="21"/>
                <w:szCs w:val="21"/>
              </w:rPr>
              <w:t>Depende de las condiciones, funcionamiento, expectativas, resultados, y otros factores particulares del emisor de títulos valores.  Este riesgo incluye por ejemplo la posibilidad de que un emisor cuyos títulos valores forman parte del fondo resulte incapaz de pagar los intereses y principal en la fecha y condiciones pactadas</w:t>
            </w:r>
            <w:r w:rsidR="0091510D" w:rsidRPr="00802FB4">
              <w:rPr>
                <w:rFonts w:ascii="Arial" w:hAnsi="Arial" w:cs="Arial"/>
                <w:sz w:val="21"/>
                <w:szCs w:val="21"/>
              </w:rPr>
              <w:t>.</w:t>
            </w:r>
          </w:p>
        </w:tc>
      </w:tr>
      <w:tr w:rsidR="00ED420D" w:rsidRPr="00802FB4" w14:paraId="71BC0666" w14:textId="77777777" w:rsidTr="0052630D">
        <w:trPr>
          <w:jc w:val="center"/>
        </w:trPr>
        <w:tc>
          <w:tcPr>
            <w:tcW w:w="2677" w:type="dxa"/>
            <w:vAlign w:val="center"/>
          </w:tcPr>
          <w:p w14:paraId="52DF111E" w14:textId="77777777" w:rsidR="00ED420D" w:rsidRPr="00802FB4" w:rsidRDefault="00ED420D" w:rsidP="00A7779B">
            <w:pPr>
              <w:ind w:left="72"/>
              <w:rPr>
                <w:rFonts w:ascii="Arial" w:hAnsi="Arial" w:cs="Arial"/>
                <w:b/>
                <w:sz w:val="21"/>
                <w:szCs w:val="21"/>
              </w:rPr>
            </w:pPr>
            <w:r w:rsidRPr="00802FB4">
              <w:rPr>
                <w:rFonts w:ascii="Arial" w:hAnsi="Arial" w:cs="Arial"/>
                <w:b/>
                <w:sz w:val="21"/>
                <w:szCs w:val="21"/>
              </w:rPr>
              <w:t>Otros riesgos: El riesgo de iliquidez de los títulos de participación</w:t>
            </w:r>
          </w:p>
        </w:tc>
        <w:tc>
          <w:tcPr>
            <w:tcW w:w="6538" w:type="dxa"/>
          </w:tcPr>
          <w:p w14:paraId="52A07BD9" w14:textId="39401FBF" w:rsidR="004B0336" w:rsidRPr="00802FB4" w:rsidRDefault="002B0A02" w:rsidP="00330E3A">
            <w:pPr>
              <w:jc w:val="both"/>
              <w:rPr>
                <w:rFonts w:ascii="Arial" w:hAnsi="Arial" w:cs="Arial"/>
                <w:color w:val="000000"/>
                <w:sz w:val="21"/>
                <w:szCs w:val="21"/>
              </w:rPr>
            </w:pPr>
            <w:r w:rsidRPr="00802FB4">
              <w:rPr>
                <w:rFonts w:ascii="Arial" w:hAnsi="Arial" w:cs="Arial"/>
                <w:color w:val="000000"/>
                <w:sz w:val="21"/>
                <w:szCs w:val="21"/>
              </w:rPr>
              <w:t>Este se refiere al riesgo de que en algún momento existiera poca liquidez para negociar las participaciones del fondo de inversión, esto podría implicar que las participaciones puedan ser negociadas en un lapso de tiempo incierto o a un valor inferior al 100% del precio indicado mensualmente en los estados financieros del fondo. Esta situación podría implicar que en un momento determinado y dadas las condiciones del mercado el inversionista no pueda liquidar del todo sus participaciones.</w:t>
            </w:r>
          </w:p>
        </w:tc>
      </w:tr>
      <w:tr w:rsidR="009F18C3" w:rsidRPr="00802FB4" w14:paraId="0E645C2A" w14:textId="77777777" w:rsidTr="0052630D">
        <w:trPr>
          <w:jc w:val="center"/>
        </w:trPr>
        <w:tc>
          <w:tcPr>
            <w:tcW w:w="2677" w:type="dxa"/>
            <w:vAlign w:val="center"/>
          </w:tcPr>
          <w:p w14:paraId="554E7DB3" w14:textId="77777777" w:rsidR="009F18C3" w:rsidRPr="00802FB4" w:rsidRDefault="009564D0" w:rsidP="00A7779B">
            <w:pPr>
              <w:ind w:left="72"/>
              <w:rPr>
                <w:rFonts w:ascii="Arial" w:hAnsi="Arial" w:cs="Arial"/>
                <w:b/>
                <w:sz w:val="21"/>
                <w:szCs w:val="21"/>
              </w:rPr>
            </w:pPr>
            <w:r w:rsidRPr="00802FB4">
              <w:rPr>
                <w:rFonts w:ascii="Arial" w:hAnsi="Arial" w:cs="Arial"/>
                <w:b/>
                <w:sz w:val="21"/>
                <w:szCs w:val="21"/>
              </w:rPr>
              <w:t xml:space="preserve">Otros riesgos: </w:t>
            </w:r>
            <w:r w:rsidR="009F18C3" w:rsidRPr="00802FB4">
              <w:rPr>
                <w:rFonts w:ascii="Arial" w:hAnsi="Arial" w:cs="Arial"/>
                <w:b/>
                <w:sz w:val="21"/>
                <w:szCs w:val="21"/>
              </w:rPr>
              <w:t xml:space="preserve">Riesgo por cambio en el tratamiento tributario </w:t>
            </w:r>
            <w:r w:rsidR="009F18C3" w:rsidRPr="00802FB4">
              <w:rPr>
                <w:rFonts w:ascii="Arial" w:hAnsi="Arial" w:cs="Arial"/>
                <w:b/>
                <w:sz w:val="21"/>
                <w:szCs w:val="21"/>
              </w:rPr>
              <w:lastRenderedPageBreak/>
              <w:t>de los Fondos de Inversión</w:t>
            </w:r>
          </w:p>
        </w:tc>
        <w:tc>
          <w:tcPr>
            <w:tcW w:w="6538" w:type="dxa"/>
          </w:tcPr>
          <w:p w14:paraId="3F39259A" w14:textId="77777777" w:rsidR="009F18C3" w:rsidRPr="00802FB4" w:rsidRDefault="002B0A02" w:rsidP="00CA20C1">
            <w:pPr>
              <w:jc w:val="both"/>
              <w:rPr>
                <w:rFonts w:ascii="Arial" w:hAnsi="Arial" w:cs="Arial"/>
                <w:sz w:val="21"/>
                <w:szCs w:val="21"/>
              </w:rPr>
            </w:pPr>
            <w:r w:rsidRPr="00802FB4">
              <w:rPr>
                <w:rFonts w:ascii="Arial" w:hAnsi="Arial" w:cs="Arial"/>
                <w:sz w:val="21"/>
                <w:szCs w:val="21"/>
              </w:rPr>
              <w:lastRenderedPageBreak/>
              <w:t xml:space="preserve">Si se produjera en la legislación local una variación en el tratamiento fiscal estipulado para los fondos de inversión, este tipo de variación tendría un impacto directo sobre el beneficio líquido que recibe el inversionista por lo que un eventual incremento en la tasa impositiva </w:t>
            </w:r>
            <w:r w:rsidRPr="00802FB4">
              <w:rPr>
                <w:rFonts w:ascii="Arial" w:hAnsi="Arial" w:cs="Arial"/>
                <w:sz w:val="21"/>
                <w:szCs w:val="21"/>
              </w:rPr>
              <w:lastRenderedPageBreak/>
              <w:t>del fondo implicaría una disminución en el rendimiento para el inversionista.</w:t>
            </w:r>
          </w:p>
        </w:tc>
      </w:tr>
      <w:tr w:rsidR="0092214C" w:rsidRPr="00802FB4" w14:paraId="206C266E" w14:textId="77777777" w:rsidTr="0052630D">
        <w:trPr>
          <w:jc w:val="center"/>
        </w:trPr>
        <w:tc>
          <w:tcPr>
            <w:tcW w:w="2677" w:type="dxa"/>
            <w:vAlign w:val="center"/>
          </w:tcPr>
          <w:p w14:paraId="3B307B38" w14:textId="77777777" w:rsidR="0092214C" w:rsidRPr="00802FB4" w:rsidRDefault="009564D0" w:rsidP="00A7779B">
            <w:pPr>
              <w:ind w:left="72"/>
              <w:rPr>
                <w:rFonts w:ascii="Arial" w:hAnsi="Arial" w:cs="Arial"/>
                <w:b/>
                <w:sz w:val="21"/>
                <w:szCs w:val="21"/>
              </w:rPr>
            </w:pPr>
            <w:r w:rsidRPr="00802FB4">
              <w:rPr>
                <w:rFonts w:ascii="Arial" w:hAnsi="Arial" w:cs="Arial"/>
                <w:b/>
                <w:sz w:val="21"/>
                <w:szCs w:val="21"/>
              </w:rPr>
              <w:lastRenderedPageBreak/>
              <w:t xml:space="preserve">Otros riesgos: </w:t>
            </w:r>
            <w:r w:rsidR="0092214C" w:rsidRPr="00802FB4">
              <w:rPr>
                <w:rFonts w:ascii="Arial" w:hAnsi="Arial" w:cs="Arial"/>
                <w:b/>
                <w:sz w:val="21"/>
                <w:szCs w:val="21"/>
              </w:rPr>
              <w:t>Riesgo de moneda de redención de participaciones</w:t>
            </w:r>
          </w:p>
        </w:tc>
        <w:tc>
          <w:tcPr>
            <w:tcW w:w="6538" w:type="dxa"/>
          </w:tcPr>
          <w:p w14:paraId="4DF3E384" w14:textId="77777777" w:rsidR="0092214C" w:rsidRPr="00802FB4" w:rsidRDefault="0092214C" w:rsidP="00CA20C1">
            <w:pPr>
              <w:jc w:val="both"/>
              <w:rPr>
                <w:rFonts w:ascii="Arial" w:hAnsi="Arial" w:cs="Arial"/>
                <w:sz w:val="21"/>
                <w:szCs w:val="21"/>
              </w:rPr>
            </w:pPr>
            <w:r w:rsidRPr="00802FB4">
              <w:rPr>
                <w:rFonts w:ascii="Arial" w:hAnsi="Arial" w:cs="Arial"/>
                <w:color w:val="000000"/>
                <w:sz w:val="21"/>
                <w:szCs w:val="21"/>
              </w:rPr>
              <w:t xml:space="preserve">Este riesgo surge ante el hecho de que el artículo 48 de la Ley Orgánica del Banco Central de Costa Rica faculta a los emisores nacionales de los títulos que respaldan la cartera activa del Fondo a liquidarlos en colones, según el valor comercial que a la fecha de pago tuviera la moneda extranjera adeudada, lo que podría conllevar a que ante una escasez de divisas, </w:t>
            </w:r>
            <w:r w:rsidRPr="00802FB4">
              <w:rPr>
                <w:rFonts w:ascii="Arial" w:hAnsi="Arial" w:cs="Arial"/>
                <w:sz w:val="21"/>
                <w:szCs w:val="21"/>
              </w:rPr>
              <w:t>Multifondos</w:t>
            </w:r>
            <w:r w:rsidRPr="00802FB4">
              <w:rPr>
                <w:rFonts w:ascii="Arial" w:hAnsi="Arial" w:cs="Arial"/>
                <w:color w:val="000000"/>
                <w:sz w:val="21"/>
                <w:szCs w:val="21"/>
              </w:rPr>
              <w:t xml:space="preserve"> se vea obligado a pagar a los inversionistas en colones al tipo de cambio que establezca el Banco Central de Costa Rica para este tipo de transacciones, aunque los inversionistas no quisieran recibir sus pagos en colones.</w:t>
            </w:r>
          </w:p>
        </w:tc>
      </w:tr>
      <w:tr w:rsidR="0092214C" w:rsidRPr="00802FB4" w14:paraId="373A548B" w14:textId="77777777" w:rsidTr="0052630D">
        <w:trPr>
          <w:jc w:val="center"/>
        </w:trPr>
        <w:tc>
          <w:tcPr>
            <w:tcW w:w="2677" w:type="dxa"/>
            <w:vAlign w:val="center"/>
          </w:tcPr>
          <w:p w14:paraId="700B1DE1" w14:textId="77777777" w:rsidR="0092214C" w:rsidRPr="00802FB4" w:rsidRDefault="009564D0" w:rsidP="00A7779B">
            <w:pPr>
              <w:ind w:left="72"/>
              <w:rPr>
                <w:rFonts w:ascii="Arial" w:hAnsi="Arial" w:cs="Arial"/>
                <w:b/>
                <w:sz w:val="21"/>
                <w:szCs w:val="21"/>
              </w:rPr>
            </w:pPr>
            <w:r w:rsidRPr="00802FB4">
              <w:rPr>
                <w:rFonts w:ascii="Arial" w:hAnsi="Arial" w:cs="Arial"/>
                <w:b/>
                <w:sz w:val="21"/>
                <w:szCs w:val="21"/>
              </w:rPr>
              <w:t xml:space="preserve">Otros riesgos: </w:t>
            </w:r>
            <w:r w:rsidR="0092214C" w:rsidRPr="00802FB4">
              <w:rPr>
                <w:rFonts w:ascii="Arial" w:hAnsi="Arial" w:cs="Arial"/>
                <w:b/>
                <w:sz w:val="21"/>
                <w:szCs w:val="21"/>
              </w:rPr>
              <w:t>Riesgo por procesos judiciales y administrativos contra la Sociedad Administradora y el Fondo de Inversión</w:t>
            </w:r>
          </w:p>
        </w:tc>
        <w:tc>
          <w:tcPr>
            <w:tcW w:w="6538" w:type="dxa"/>
          </w:tcPr>
          <w:p w14:paraId="75862B5C" w14:textId="38ED1581" w:rsidR="0092214C" w:rsidRPr="00802FB4" w:rsidRDefault="00DF6D6E" w:rsidP="00657417">
            <w:pPr>
              <w:jc w:val="both"/>
              <w:rPr>
                <w:rFonts w:ascii="Arial" w:hAnsi="Arial" w:cs="Arial"/>
                <w:color w:val="000000"/>
                <w:sz w:val="21"/>
                <w:szCs w:val="21"/>
              </w:rPr>
            </w:pPr>
            <w:r w:rsidRPr="00802FB4">
              <w:rPr>
                <w:rFonts w:ascii="Arial" w:hAnsi="Arial" w:cs="Arial"/>
                <w:color w:val="000000"/>
                <w:sz w:val="21"/>
                <w:szCs w:val="21"/>
                <w:lang w:val="es-CR"/>
              </w:rPr>
              <w:t xml:space="preserve">Toda sociedad que realiza actividades de comercio en general puede o no estar sujeta a procesos o demandas judiciales en función de las consecuencias de sus actos y obligaciones. </w:t>
            </w:r>
            <w:r w:rsidRPr="00802FB4">
              <w:rPr>
                <w:rFonts w:ascii="Arial" w:hAnsi="Arial" w:cs="Arial"/>
                <w:sz w:val="21"/>
                <w:szCs w:val="21"/>
                <w:lang w:val="es-CR"/>
              </w:rPr>
              <w:t>Multifondos</w:t>
            </w:r>
            <w:r w:rsidRPr="00802FB4">
              <w:rPr>
                <w:rFonts w:ascii="Arial" w:hAnsi="Arial" w:cs="Arial"/>
                <w:color w:val="000000"/>
                <w:sz w:val="21"/>
                <w:szCs w:val="21"/>
                <w:lang w:val="es-CR"/>
              </w:rPr>
              <w:t xml:space="preserve">, cuyo objeto social está orientado a la </w:t>
            </w:r>
            <w:r w:rsidR="00657417" w:rsidRPr="00802FB4">
              <w:rPr>
                <w:rFonts w:ascii="Arial" w:hAnsi="Arial" w:cs="Arial"/>
                <w:color w:val="000000"/>
                <w:sz w:val="21"/>
                <w:szCs w:val="21"/>
                <w:lang w:val="es-CR"/>
              </w:rPr>
              <w:t>a</w:t>
            </w:r>
            <w:r w:rsidRPr="00802FB4">
              <w:rPr>
                <w:rFonts w:ascii="Arial" w:hAnsi="Arial" w:cs="Arial"/>
                <w:color w:val="000000"/>
                <w:sz w:val="21"/>
                <w:szCs w:val="21"/>
                <w:lang w:val="es-CR"/>
              </w:rPr>
              <w:t xml:space="preserve">dministración de </w:t>
            </w:r>
            <w:r w:rsidR="00657417" w:rsidRPr="00802FB4">
              <w:rPr>
                <w:rFonts w:ascii="Arial" w:hAnsi="Arial" w:cs="Arial"/>
                <w:color w:val="000000"/>
                <w:sz w:val="21"/>
                <w:szCs w:val="21"/>
                <w:lang w:val="es-CR"/>
              </w:rPr>
              <w:t>f</w:t>
            </w:r>
            <w:r w:rsidRPr="00802FB4">
              <w:rPr>
                <w:rFonts w:ascii="Arial" w:hAnsi="Arial" w:cs="Arial"/>
                <w:color w:val="000000"/>
                <w:sz w:val="21"/>
                <w:szCs w:val="21"/>
                <w:lang w:val="es-CR"/>
              </w:rPr>
              <w:t xml:space="preserve">ondos de </w:t>
            </w:r>
            <w:r w:rsidR="00657417" w:rsidRPr="00802FB4">
              <w:rPr>
                <w:rFonts w:ascii="Arial" w:hAnsi="Arial" w:cs="Arial"/>
                <w:color w:val="000000"/>
                <w:sz w:val="21"/>
                <w:szCs w:val="21"/>
                <w:lang w:val="es-CR"/>
              </w:rPr>
              <w:t>i</w:t>
            </w:r>
            <w:r w:rsidRPr="00802FB4">
              <w:rPr>
                <w:rFonts w:ascii="Arial" w:hAnsi="Arial" w:cs="Arial"/>
                <w:color w:val="000000"/>
                <w:sz w:val="21"/>
                <w:szCs w:val="21"/>
                <w:lang w:val="es-CR"/>
              </w:rPr>
              <w:t xml:space="preserve">nversión, que incluye la inversión en activos inmobiliarios y el arriendo de inmuebles por cuenta de los Fondos de Inversión Inmobiliarios que administra, podrá verse obligada a iniciar procesos judiciales contra los arrendatarios por el incumplimiento de las normas estipuladas en los contratos, y podría estar expuesta a ser sujeto de demandas interpuestas por los arrendatarios por las mismas causas. A su vez, </w:t>
            </w:r>
            <w:r w:rsidRPr="00802FB4">
              <w:rPr>
                <w:rFonts w:ascii="Arial" w:hAnsi="Arial" w:cs="Arial"/>
                <w:sz w:val="21"/>
                <w:szCs w:val="21"/>
                <w:lang w:val="es-CR"/>
              </w:rPr>
              <w:t>Multifondos</w:t>
            </w:r>
            <w:r w:rsidRPr="00802FB4">
              <w:rPr>
                <w:rFonts w:ascii="Arial" w:hAnsi="Arial" w:cs="Arial"/>
                <w:color w:val="000000"/>
                <w:sz w:val="21"/>
                <w:szCs w:val="21"/>
                <w:lang w:val="es-CR"/>
              </w:rPr>
              <w:t xml:space="preserve"> no está exenta de enfrentar procesos administrativos en su contra, en razón de la supervisión de que es objeto por la SUGEVAL, Contraloría General de la República, o de la administración tributaria y municipal en caso </w:t>
            </w:r>
            <w:r w:rsidR="00474CB6" w:rsidRPr="00802FB4">
              <w:rPr>
                <w:rFonts w:ascii="Arial" w:hAnsi="Arial" w:cs="Arial"/>
                <w:color w:val="000000"/>
                <w:sz w:val="21"/>
                <w:szCs w:val="21"/>
                <w:lang w:val="es-CR"/>
              </w:rPr>
              <w:t xml:space="preserve">de </w:t>
            </w:r>
            <w:r w:rsidRPr="00802FB4">
              <w:rPr>
                <w:rFonts w:ascii="Arial" w:hAnsi="Arial" w:cs="Arial"/>
                <w:color w:val="000000"/>
                <w:sz w:val="21"/>
                <w:szCs w:val="21"/>
                <w:lang w:val="es-CR"/>
              </w:rPr>
              <w:t>que se identifiquen posibles incumplimientos de normas de carácter reglamentari</w:t>
            </w:r>
            <w:r w:rsidR="00657417" w:rsidRPr="00802FB4">
              <w:rPr>
                <w:rFonts w:ascii="Arial" w:hAnsi="Arial" w:cs="Arial"/>
                <w:color w:val="000000"/>
                <w:sz w:val="21"/>
                <w:szCs w:val="21"/>
                <w:lang w:val="es-CR"/>
              </w:rPr>
              <w:t>o</w:t>
            </w:r>
            <w:r w:rsidRPr="00802FB4">
              <w:rPr>
                <w:rFonts w:ascii="Arial" w:hAnsi="Arial" w:cs="Arial"/>
                <w:color w:val="000000"/>
                <w:sz w:val="21"/>
                <w:szCs w:val="21"/>
                <w:lang w:val="es-CR"/>
              </w:rPr>
              <w:t xml:space="preserve"> o legal. Los procesos mencionados podrían conllevar al Fondo a experimentar gastos no previstos que podrían afectar el rendimiento </w:t>
            </w:r>
            <w:r w:rsidR="00657417" w:rsidRPr="00802FB4">
              <w:rPr>
                <w:rFonts w:ascii="Arial" w:hAnsi="Arial" w:cs="Arial"/>
                <w:color w:val="000000"/>
                <w:sz w:val="21"/>
                <w:szCs w:val="21"/>
                <w:lang w:val="es-CR"/>
              </w:rPr>
              <w:t>de la cartera</w:t>
            </w:r>
            <w:r w:rsidRPr="00802FB4">
              <w:rPr>
                <w:rFonts w:ascii="Arial" w:hAnsi="Arial" w:cs="Arial"/>
                <w:color w:val="000000"/>
                <w:sz w:val="21"/>
                <w:szCs w:val="21"/>
                <w:lang w:val="es-CR"/>
              </w:rPr>
              <w:t>.</w:t>
            </w:r>
          </w:p>
        </w:tc>
      </w:tr>
      <w:tr w:rsidR="001E6C07" w:rsidRPr="00802FB4" w14:paraId="15C7FD29" w14:textId="77777777" w:rsidTr="001E6C07">
        <w:trPr>
          <w:jc w:val="center"/>
        </w:trPr>
        <w:tc>
          <w:tcPr>
            <w:tcW w:w="2677" w:type="dxa"/>
            <w:tcBorders>
              <w:top w:val="single" w:sz="4" w:space="0" w:color="auto"/>
              <w:left w:val="single" w:sz="4" w:space="0" w:color="auto"/>
              <w:bottom w:val="single" w:sz="4" w:space="0" w:color="auto"/>
              <w:right w:val="single" w:sz="4" w:space="0" w:color="auto"/>
            </w:tcBorders>
            <w:vAlign w:val="center"/>
          </w:tcPr>
          <w:p w14:paraId="6FD43ADD" w14:textId="77777777" w:rsidR="001E6C07" w:rsidRPr="00802FB4" w:rsidRDefault="001E6C07" w:rsidP="009A72FE">
            <w:pPr>
              <w:ind w:left="72"/>
              <w:rPr>
                <w:rFonts w:ascii="Arial" w:hAnsi="Arial" w:cs="Arial"/>
                <w:b/>
                <w:sz w:val="21"/>
                <w:szCs w:val="21"/>
              </w:rPr>
            </w:pPr>
            <w:bookmarkStart w:id="17" w:name="_Hlk33089040"/>
            <w:r w:rsidRPr="00802FB4">
              <w:rPr>
                <w:rFonts w:ascii="Arial" w:hAnsi="Arial" w:cs="Arial"/>
                <w:b/>
                <w:sz w:val="21"/>
                <w:szCs w:val="21"/>
              </w:rPr>
              <w:t>Riesgo de afectación en el valor de las participaciones por la aplicación incorrecta de las normas contables</w:t>
            </w:r>
          </w:p>
        </w:tc>
        <w:tc>
          <w:tcPr>
            <w:tcW w:w="6538" w:type="dxa"/>
            <w:tcBorders>
              <w:top w:val="single" w:sz="4" w:space="0" w:color="auto"/>
              <w:left w:val="single" w:sz="4" w:space="0" w:color="auto"/>
              <w:bottom w:val="single" w:sz="4" w:space="0" w:color="auto"/>
              <w:right w:val="single" w:sz="4" w:space="0" w:color="auto"/>
            </w:tcBorders>
          </w:tcPr>
          <w:p w14:paraId="3BE3307D" w14:textId="3BA08042" w:rsidR="001E6C07" w:rsidRPr="000C227C" w:rsidRDefault="00A31510" w:rsidP="009A72FE">
            <w:pPr>
              <w:jc w:val="both"/>
              <w:rPr>
                <w:rFonts w:ascii="Arial" w:hAnsi="Arial" w:cs="Arial"/>
                <w:color w:val="000000"/>
                <w:sz w:val="21"/>
                <w:szCs w:val="21"/>
                <w:lang w:val="es-CR"/>
              </w:rPr>
            </w:pPr>
            <w:r w:rsidRPr="000C227C">
              <w:rPr>
                <w:rFonts w:ascii="Arial" w:hAnsi="Arial" w:cs="Arial"/>
                <w:color w:val="000000"/>
                <w:sz w:val="21"/>
                <w:szCs w:val="21"/>
                <w:lang w:val="es-CR"/>
              </w:rPr>
              <w:t>La aplicación incorrecta de la normativa contable puede incidir positiva o negativamente en el valor de los activos financieros del portafolio, obligando a realizar reclasificaciones o ajustes contables para reflejar su verdadero valor, por ende, pueden tener efectos en el valor de la participación.</w:t>
            </w:r>
          </w:p>
        </w:tc>
      </w:tr>
      <w:tr w:rsidR="001E6C07" w:rsidRPr="00802FB4" w14:paraId="5EE27C18" w14:textId="77777777" w:rsidTr="001E6C07">
        <w:trPr>
          <w:jc w:val="center"/>
        </w:trPr>
        <w:tc>
          <w:tcPr>
            <w:tcW w:w="2677" w:type="dxa"/>
            <w:tcBorders>
              <w:top w:val="single" w:sz="4" w:space="0" w:color="auto"/>
              <w:left w:val="single" w:sz="4" w:space="0" w:color="auto"/>
              <w:bottom w:val="single" w:sz="4" w:space="0" w:color="auto"/>
              <w:right w:val="single" w:sz="4" w:space="0" w:color="auto"/>
            </w:tcBorders>
            <w:vAlign w:val="center"/>
          </w:tcPr>
          <w:p w14:paraId="3447C7E4" w14:textId="77777777" w:rsidR="001E6C07" w:rsidRPr="00802FB4" w:rsidRDefault="001E6C07" w:rsidP="001E6C07">
            <w:pPr>
              <w:ind w:left="72"/>
              <w:rPr>
                <w:rFonts w:ascii="Arial" w:hAnsi="Arial" w:cs="Arial"/>
                <w:b/>
                <w:sz w:val="21"/>
                <w:szCs w:val="21"/>
              </w:rPr>
            </w:pPr>
            <w:r w:rsidRPr="00802FB4">
              <w:rPr>
                <w:rFonts w:ascii="Arial" w:hAnsi="Arial" w:cs="Arial"/>
                <w:b/>
                <w:sz w:val="21"/>
                <w:szCs w:val="21"/>
              </w:rPr>
              <w:t>Riesgo de valoración de activos a costo amortizado</w:t>
            </w:r>
          </w:p>
          <w:p w14:paraId="40CC3FEF" w14:textId="77777777" w:rsidR="001E6C07" w:rsidRPr="00802FB4" w:rsidRDefault="001E6C07" w:rsidP="001E6C07">
            <w:pPr>
              <w:ind w:left="72"/>
              <w:rPr>
                <w:rFonts w:ascii="Arial" w:hAnsi="Arial" w:cs="Arial"/>
                <w:b/>
                <w:sz w:val="21"/>
                <w:szCs w:val="21"/>
              </w:rPr>
            </w:pPr>
          </w:p>
        </w:tc>
        <w:tc>
          <w:tcPr>
            <w:tcW w:w="6538" w:type="dxa"/>
            <w:tcBorders>
              <w:top w:val="single" w:sz="4" w:space="0" w:color="auto"/>
              <w:left w:val="single" w:sz="4" w:space="0" w:color="auto"/>
              <w:bottom w:val="single" w:sz="4" w:space="0" w:color="auto"/>
              <w:right w:val="single" w:sz="4" w:space="0" w:color="auto"/>
            </w:tcBorders>
          </w:tcPr>
          <w:p w14:paraId="76BD7FF3" w14:textId="70FC8952" w:rsidR="001E6C07" w:rsidRPr="000C227C" w:rsidRDefault="00A31510" w:rsidP="001E6C07">
            <w:pPr>
              <w:jc w:val="both"/>
              <w:rPr>
                <w:rFonts w:ascii="Arial" w:hAnsi="Arial" w:cs="Arial"/>
                <w:color w:val="000000"/>
                <w:sz w:val="21"/>
                <w:szCs w:val="21"/>
                <w:lang w:val="es-CR"/>
              </w:rPr>
            </w:pPr>
            <w:r w:rsidRPr="000C227C">
              <w:rPr>
                <w:rFonts w:ascii="Arial" w:hAnsi="Arial" w:cs="Arial"/>
                <w:color w:val="000000"/>
                <w:sz w:val="21"/>
                <w:szCs w:val="21"/>
                <w:lang w:val="es-CR"/>
              </w:rPr>
              <w:t>La valoración a costo amortizado del activo financiero implica que el valor contable podría diferir de su valor a mercado (precio de negociación) situación que podría acentuarse en caso de reembolso masivos o escenarios de volatilidad en los precios del mercado originados por la liquidación de inversiones. En caso de ser necesaria la liquidación del activo financiero o el portafolio, se podría generar pérdidas al fondo.</w:t>
            </w:r>
          </w:p>
        </w:tc>
      </w:tr>
      <w:tr w:rsidR="001E6C07" w:rsidRPr="00802FB4" w14:paraId="349F6FB6" w14:textId="77777777" w:rsidTr="001E6C07">
        <w:trPr>
          <w:jc w:val="center"/>
        </w:trPr>
        <w:tc>
          <w:tcPr>
            <w:tcW w:w="2677" w:type="dxa"/>
            <w:tcBorders>
              <w:top w:val="single" w:sz="4" w:space="0" w:color="auto"/>
              <w:left w:val="single" w:sz="4" w:space="0" w:color="auto"/>
              <w:bottom w:val="single" w:sz="4" w:space="0" w:color="auto"/>
              <w:right w:val="single" w:sz="4" w:space="0" w:color="auto"/>
            </w:tcBorders>
            <w:vAlign w:val="center"/>
          </w:tcPr>
          <w:p w14:paraId="31BF976F" w14:textId="77777777" w:rsidR="001E6C07" w:rsidRPr="00802FB4" w:rsidRDefault="001E6C07" w:rsidP="001E6C07">
            <w:pPr>
              <w:ind w:left="72"/>
              <w:rPr>
                <w:rFonts w:ascii="Arial" w:hAnsi="Arial" w:cs="Arial"/>
                <w:b/>
                <w:sz w:val="21"/>
                <w:szCs w:val="21"/>
              </w:rPr>
            </w:pPr>
            <w:r w:rsidRPr="00802FB4">
              <w:rPr>
                <w:rFonts w:ascii="Arial" w:hAnsi="Arial" w:cs="Arial"/>
                <w:b/>
                <w:sz w:val="21"/>
                <w:szCs w:val="21"/>
              </w:rPr>
              <w:t>Riesgo por una incorrecta estimación del valor de deterioro de los activos</w:t>
            </w:r>
          </w:p>
          <w:p w14:paraId="1E215AB0" w14:textId="77777777" w:rsidR="001E6C07" w:rsidRPr="00802FB4" w:rsidRDefault="001E6C07" w:rsidP="001E6C07">
            <w:pPr>
              <w:ind w:left="72"/>
              <w:rPr>
                <w:rFonts w:ascii="Arial" w:hAnsi="Arial" w:cs="Arial"/>
                <w:b/>
                <w:sz w:val="21"/>
                <w:szCs w:val="21"/>
              </w:rPr>
            </w:pPr>
          </w:p>
        </w:tc>
        <w:tc>
          <w:tcPr>
            <w:tcW w:w="6538" w:type="dxa"/>
            <w:tcBorders>
              <w:top w:val="single" w:sz="4" w:space="0" w:color="auto"/>
              <w:left w:val="single" w:sz="4" w:space="0" w:color="auto"/>
              <w:bottom w:val="single" w:sz="4" w:space="0" w:color="auto"/>
              <w:right w:val="single" w:sz="4" w:space="0" w:color="auto"/>
            </w:tcBorders>
          </w:tcPr>
          <w:p w14:paraId="00A0D1DB" w14:textId="2FE9622E" w:rsidR="001E6C07" w:rsidRPr="000C227C" w:rsidRDefault="009A68ED" w:rsidP="009A72FE">
            <w:pPr>
              <w:jc w:val="both"/>
              <w:rPr>
                <w:rFonts w:ascii="Arial" w:hAnsi="Arial" w:cs="Arial"/>
                <w:color w:val="000000"/>
                <w:sz w:val="21"/>
                <w:szCs w:val="21"/>
                <w:lang w:val="es-CR"/>
              </w:rPr>
            </w:pPr>
            <w:r w:rsidRPr="000C227C">
              <w:rPr>
                <w:rFonts w:ascii="Arial" w:hAnsi="Arial" w:cs="Arial"/>
                <w:color w:val="000000"/>
                <w:sz w:val="21"/>
                <w:szCs w:val="21"/>
                <w:lang w:val="es-CR"/>
              </w:rPr>
              <w:t>En el caso de los activos financieros sujetos a estimación de pérdidas crediticias esperadas, si el modelo de cálculo estuviese parametrizado incorrectamente podrían generarse sobrevaloraciones o subvaloraciones en el valor total de la participación de los instrumentos clasificados, afectando positiva o negativamente el rendimiento del inversionista.</w:t>
            </w:r>
          </w:p>
        </w:tc>
      </w:tr>
      <w:tr w:rsidR="00E47168" w:rsidRPr="00802FB4" w14:paraId="7553C0DA" w14:textId="77777777" w:rsidTr="001E6C07">
        <w:trPr>
          <w:jc w:val="center"/>
        </w:trPr>
        <w:tc>
          <w:tcPr>
            <w:tcW w:w="2677" w:type="dxa"/>
            <w:tcBorders>
              <w:top w:val="single" w:sz="4" w:space="0" w:color="auto"/>
              <w:left w:val="single" w:sz="4" w:space="0" w:color="auto"/>
              <w:bottom w:val="single" w:sz="4" w:space="0" w:color="auto"/>
              <w:right w:val="single" w:sz="4" w:space="0" w:color="auto"/>
            </w:tcBorders>
            <w:vAlign w:val="center"/>
          </w:tcPr>
          <w:p w14:paraId="65B41933" w14:textId="0DB30EA8" w:rsidR="00E47168" w:rsidRPr="00802FB4" w:rsidRDefault="00E47168" w:rsidP="001E6C07">
            <w:pPr>
              <w:ind w:left="72"/>
              <w:rPr>
                <w:rFonts w:ascii="Arial" w:hAnsi="Arial" w:cs="Arial"/>
                <w:b/>
                <w:sz w:val="21"/>
                <w:szCs w:val="21"/>
              </w:rPr>
            </w:pPr>
            <w:r w:rsidRPr="000C227C">
              <w:rPr>
                <w:rFonts w:ascii="Arial" w:hAnsi="Arial" w:cs="Arial"/>
                <w:b/>
                <w:sz w:val="21"/>
                <w:szCs w:val="21"/>
              </w:rPr>
              <w:lastRenderedPageBreak/>
              <w:t>Riesgo de continuidad del negocio</w:t>
            </w:r>
          </w:p>
        </w:tc>
        <w:tc>
          <w:tcPr>
            <w:tcW w:w="6538" w:type="dxa"/>
            <w:tcBorders>
              <w:top w:val="single" w:sz="4" w:space="0" w:color="auto"/>
              <w:left w:val="single" w:sz="4" w:space="0" w:color="auto"/>
              <w:bottom w:val="single" w:sz="4" w:space="0" w:color="auto"/>
              <w:right w:val="single" w:sz="4" w:space="0" w:color="auto"/>
            </w:tcBorders>
          </w:tcPr>
          <w:p w14:paraId="49379B75" w14:textId="6C7F4C7D" w:rsidR="00E47168" w:rsidRPr="000C227C" w:rsidRDefault="00E47168" w:rsidP="00E47168">
            <w:pPr>
              <w:jc w:val="both"/>
              <w:rPr>
                <w:rFonts w:ascii="Arial" w:hAnsi="Arial" w:cs="Arial"/>
                <w:color w:val="000000"/>
                <w:sz w:val="21"/>
                <w:szCs w:val="21"/>
                <w:lang w:val="es-CR"/>
              </w:rPr>
            </w:pPr>
            <w:r w:rsidRPr="000C227C">
              <w:rPr>
                <w:rFonts w:ascii="Arial" w:hAnsi="Arial" w:cs="Arial"/>
                <w:color w:val="000000"/>
                <w:sz w:val="21"/>
                <w:szCs w:val="21"/>
                <w:lang w:val="es-CR"/>
              </w:rPr>
              <w:t xml:space="preserve">Son las amenazas a </w:t>
            </w:r>
            <w:r w:rsidR="00645A46" w:rsidRPr="000C227C">
              <w:rPr>
                <w:rFonts w:ascii="Arial" w:hAnsi="Arial" w:cs="Arial"/>
                <w:color w:val="000000"/>
                <w:sz w:val="21"/>
                <w:szCs w:val="21"/>
                <w:lang w:val="es-CR"/>
              </w:rPr>
              <w:t xml:space="preserve">las </w:t>
            </w:r>
            <w:r w:rsidRPr="000C227C">
              <w:rPr>
                <w:rFonts w:ascii="Arial" w:hAnsi="Arial" w:cs="Arial"/>
                <w:color w:val="000000"/>
                <w:sz w:val="21"/>
                <w:szCs w:val="21"/>
                <w:lang w:val="es-CR"/>
              </w:rPr>
              <w:t>que están expuestas las operaciones de la empresa, así como las consecuencias que provocarían dichos eventos centrándose en el impacto de la interrupción del negocio parcial o permanente. Estas amenazas podrían ser por eventos internos o externos</w:t>
            </w:r>
            <w:r w:rsidR="002E3084" w:rsidRPr="000C227C">
              <w:rPr>
                <w:rFonts w:ascii="Arial" w:hAnsi="Arial" w:cs="Arial"/>
                <w:color w:val="000000"/>
                <w:sz w:val="21"/>
                <w:szCs w:val="21"/>
                <w:lang w:val="es-CR"/>
              </w:rPr>
              <w:t>,</w:t>
            </w:r>
            <w:r w:rsidRPr="000C227C">
              <w:rPr>
                <w:rFonts w:ascii="Arial" w:hAnsi="Arial" w:cs="Arial"/>
                <w:color w:val="000000"/>
                <w:sz w:val="21"/>
                <w:szCs w:val="21"/>
                <w:lang w:val="es-CR"/>
              </w:rPr>
              <w:t xml:space="preserve"> de alto o bajo impacto, por ejemplo: desastres naturales, emergencias sanitarias, manifestaciones sociales, inhabilitación de las instalaciones, suspensión de servicios de tecnologías de información o cualquier otro factor que afecte a la entidad. En caso de que se materialice uno de estos eventos los inversionistas podrían experimentar un deterioro parcial o total del servicio contratado.</w:t>
            </w:r>
          </w:p>
        </w:tc>
      </w:tr>
      <w:tr w:rsidR="00E47168" w:rsidRPr="00802FB4" w14:paraId="0BD79D4C" w14:textId="77777777" w:rsidTr="001E6C07">
        <w:trPr>
          <w:jc w:val="center"/>
        </w:trPr>
        <w:tc>
          <w:tcPr>
            <w:tcW w:w="2677" w:type="dxa"/>
            <w:tcBorders>
              <w:top w:val="single" w:sz="4" w:space="0" w:color="auto"/>
              <w:left w:val="single" w:sz="4" w:space="0" w:color="auto"/>
              <w:bottom w:val="single" w:sz="4" w:space="0" w:color="auto"/>
              <w:right w:val="single" w:sz="4" w:space="0" w:color="auto"/>
            </w:tcBorders>
            <w:vAlign w:val="center"/>
          </w:tcPr>
          <w:p w14:paraId="74ACD1E1" w14:textId="3A959093" w:rsidR="00E47168" w:rsidRPr="00802FB4" w:rsidRDefault="00E47168" w:rsidP="001E6C07">
            <w:pPr>
              <w:ind w:left="72"/>
              <w:rPr>
                <w:rFonts w:ascii="Arial" w:hAnsi="Arial" w:cs="Arial"/>
                <w:b/>
                <w:sz w:val="21"/>
                <w:szCs w:val="21"/>
              </w:rPr>
            </w:pPr>
            <w:r w:rsidRPr="000C227C">
              <w:rPr>
                <w:rFonts w:ascii="Arial" w:hAnsi="Arial" w:cs="Arial"/>
                <w:b/>
                <w:sz w:val="21"/>
                <w:szCs w:val="21"/>
              </w:rPr>
              <w:t xml:space="preserve">Riesgo </w:t>
            </w:r>
            <w:r w:rsidR="00EF7BCD" w:rsidRPr="000C227C">
              <w:rPr>
                <w:rFonts w:ascii="Arial" w:hAnsi="Arial" w:cs="Arial"/>
                <w:b/>
                <w:sz w:val="21"/>
                <w:szCs w:val="21"/>
              </w:rPr>
              <w:t>r</w:t>
            </w:r>
            <w:r w:rsidRPr="000C227C">
              <w:rPr>
                <w:rFonts w:ascii="Arial" w:hAnsi="Arial" w:cs="Arial"/>
                <w:b/>
                <w:sz w:val="21"/>
                <w:szCs w:val="21"/>
              </w:rPr>
              <w:t>eputacional</w:t>
            </w:r>
          </w:p>
        </w:tc>
        <w:tc>
          <w:tcPr>
            <w:tcW w:w="6538" w:type="dxa"/>
            <w:tcBorders>
              <w:top w:val="single" w:sz="4" w:space="0" w:color="auto"/>
              <w:left w:val="single" w:sz="4" w:space="0" w:color="auto"/>
              <w:bottom w:val="single" w:sz="4" w:space="0" w:color="auto"/>
              <w:right w:val="single" w:sz="4" w:space="0" w:color="auto"/>
            </w:tcBorders>
          </w:tcPr>
          <w:p w14:paraId="24FCA877" w14:textId="7C63AB51" w:rsidR="00E47168" w:rsidRPr="000C227C" w:rsidRDefault="00A778E4" w:rsidP="000C227C">
            <w:pPr>
              <w:jc w:val="both"/>
              <w:rPr>
                <w:rFonts w:ascii="Arial" w:hAnsi="Arial" w:cs="Arial"/>
                <w:sz w:val="20"/>
                <w:szCs w:val="20"/>
              </w:rPr>
            </w:pPr>
            <w:r w:rsidRPr="000C227C">
              <w:rPr>
                <w:rFonts w:ascii="Arial" w:hAnsi="Arial" w:cs="Arial"/>
                <w:color w:val="000000"/>
                <w:sz w:val="21"/>
                <w:szCs w:val="21"/>
                <w:lang w:val="es-CR"/>
              </w:rPr>
              <w:t>Es la pérdida potencial de capital financiero, capital social o participación de mercado como resultado del daño a la reputación de una empresa, tales como: afectación derivada de rumores, comunicaciones masivas negativas, manejo administrativo deficiente, conductas contrarias a la ética de los funcionarios o representantes de la entidad, opiniones negativas de clientes, lavado de dinero o situaciones legales que afecten la imagen del fondo o de la sociedad administradora y actividades relacionadas con sus operaciones. En caso de que se materialice este riesgo con un impacto alto y que la empresa no cuente con los planes para mitigarlo, el inversionista podría verse afectado por otros riesgos derivados del evento principal tales como: riesgo de liquidez, de mercado o de crédito.</w:t>
            </w:r>
          </w:p>
        </w:tc>
      </w:tr>
      <w:tr w:rsidR="00BA30A7" w:rsidRPr="00802FB4" w14:paraId="0D1398FE" w14:textId="77777777" w:rsidTr="001E6C07">
        <w:trPr>
          <w:jc w:val="center"/>
        </w:trPr>
        <w:tc>
          <w:tcPr>
            <w:tcW w:w="2677" w:type="dxa"/>
            <w:tcBorders>
              <w:top w:val="single" w:sz="4" w:space="0" w:color="auto"/>
              <w:left w:val="single" w:sz="4" w:space="0" w:color="auto"/>
              <w:bottom w:val="single" w:sz="4" w:space="0" w:color="auto"/>
              <w:right w:val="single" w:sz="4" w:space="0" w:color="auto"/>
            </w:tcBorders>
            <w:vAlign w:val="center"/>
          </w:tcPr>
          <w:p w14:paraId="4B69537D" w14:textId="39F3772D" w:rsidR="00BA30A7" w:rsidRPr="000C227C" w:rsidRDefault="009A271C" w:rsidP="001E6C07">
            <w:pPr>
              <w:ind w:left="72"/>
              <w:rPr>
                <w:rFonts w:ascii="Arial" w:hAnsi="Arial" w:cs="Arial"/>
                <w:b/>
                <w:sz w:val="21"/>
                <w:szCs w:val="21"/>
              </w:rPr>
            </w:pPr>
            <w:r>
              <w:rPr>
                <w:rFonts w:ascii="Arial" w:hAnsi="Arial" w:cs="Arial"/>
                <w:b/>
                <w:sz w:val="21"/>
                <w:szCs w:val="21"/>
              </w:rPr>
              <w:t>R</w:t>
            </w:r>
            <w:r w:rsidRPr="009A271C">
              <w:rPr>
                <w:rFonts w:ascii="Arial" w:hAnsi="Arial" w:cs="Arial"/>
                <w:b/>
                <w:sz w:val="21"/>
                <w:szCs w:val="21"/>
              </w:rPr>
              <w:t>iesgo asociado a las operaciones de endeudamiento</w:t>
            </w:r>
          </w:p>
        </w:tc>
        <w:tc>
          <w:tcPr>
            <w:tcW w:w="6538" w:type="dxa"/>
            <w:tcBorders>
              <w:top w:val="single" w:sz="4" w:space="0" w:color="auto"/>
              <w:left w:val="single" w:sz="4" w:space="0" w:color="auto"/>
              <w:bottom w:val="single" w:sz="4" w:space="0" w:color="auto"/>
              <w:right w:val="single" w:sz="4" w:space="0" w:color="auto"/>
            </w:tcBorders>
          </w:tcPr>
          <w:p w14:paraId="22B4CC70" w14:textId="226FC55C" w:rsidR="00BA30A7" w:rsidRPr="000C227C" w:rsidRDefault="00A300E7" w:rsidP="000C227C">
            <w:pPr>
              <w:jc w:val="both"/>
              <w:rPr>
                <w:rFonts w:ascii="Arial" w:hAnsi="Arial" w:cs="Arial"/>
                <w:color w:val="000000"/>
                <w:sz w:val="21"/>
                <w:szCs w:val="21"/>
                <w:lang w:val="es-CR"/>
              </w:rPr>
            </w:pPr>
            <w:r w:rsidRPr="00A300E7">
              <w:rPr>
                <w:rFonts w:ascii="Arial" w:hAnsi="Arial" w:cs="Arial"/>
                <w:color w:val="000000"/>
                <w:sz w:val="21"/>
                <w:szCs w:val="21"/>
                <w:lang w:val="es-CR"/>
              </w:rPr>
              <w:t xml:space="preserve">Hace referencia a los riesgos financieros y operativos derivados del uso de endeudamiento (apalancamiento) por parte del fondo para financiar sus operaciones o inversiones. Este riesgo es relevante, </w:t>
            </w:r>
            <w:r w:rsidR="00915DD1" w:rsidRPr="00A300E7">
              <w:rPr>
                <w:rFonts w:ascii="Arial" w:hAnsi="Arial" w:cs="Arial"/>
                <w:color w:val="000000"/>
                <w:sz w:val="21"/>
                <w:szCs w:val="21"/>
                <w:lang w:val="es-CR"/>
              </w:rPr>
              <w:t>ya que,</w:t>
            </w:r>
            <w:r w:rsidRPr="00A300E7">
              <w:rPr>
                <w:rFonts w:ascii="Arial" w:hAnsi="Arial" w:cs="Arial"/>
                <w:color w:val="000000"/>
                <w:sz w:val="21"/>
                <w:szCs w:val="21"/>
                <w:lang w:val="es-CR"/>
              </w:rPr>
              <w:t xml:space="preserve"> si bien el apalancamiento puede incrementar la rentabilidad esperada, también implica una mayor exposición a posibles pérdidas, mayores gastos financieros y a variaciones en las tasas pasivas</w:t>
            </w:r>
            <w:r w:rsidR="00885B20">
              <w:rPr>
                <w:rFonts w:ascii="Arial" w:hAnsi="Arial" w:cs="Arial"/>
                <w:color w:val="000000"/>
                <w:sz w:val="21"/>
                <w:szCs w:val="21"/>
                <w:lang w:val="es-CR"/>
              </w:rPr>
              <w:t>,</w:t>
            </w:r>
            <w:r w:rsidR="00FF2CCE">
              <w:rPr>
                <w:rFonts w:ascii="Arial" w:hAnsi="Arial" w:cs="Arial"/>
                <w:color w:val="000000"/>
                <w:sz w:val="21"/>
                <w:szCs w:val="21"/>
                <w:lang w:val="es-CR"/>
              </w:rPr>
              <w:t xml:space="preserve"> </w:t>
            </w:r>
            <w:r w:rsidR="00FF2CCE">
              <w:rPr>
                <w:rFonts w:ascii="Arial" w:hAnsi="Arial" w:cs="Arial"/>
                <w:color w:val="000000"/>
                <w:sz w:val="21"/>
                <w:szCs w:val="21"/>
              </w:rPr>
              <w:t xml:space="preserve">afectando </w:t>
            </w:r>
            <w:r w:rsidR="00FF2CCE" w:rsidRPr="0057360C">
              <w:rPr>
                <w:rFonts w:ascii="Arial" w:hAnsi="Arial" w:cs="Arial"/>
                <w:sz w:val="21"/>
                <w:szCs w:val="21"/>
              </w:rPr>
              <w:t>positiva o negativamente el rendimiento del inversionista.</w:t>
            </w:r>
          </w:p>
        </w:tc>
      </w:tr>
      <w:bookmarkEnd w:id="17"/>
    </w:tbl>
    <w:p w14:paraId="39FA3951" w14:textId="77777777" w:rsidR="001E6C07" w:rsidRPr="00802FB4" w:rsidRDefault="001E6C07" w:rsidP="003755CC">
      <w:pPr>
        <w:rPr>
          <w:rFonts w:ascii="Arial" w:hAnsi="Arial" w:cs="Arial"/>
          <w:b/>
          <w:sz w:val="21"/>
          <w:szCs w:val="21"/>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6538"/>
      </w:tblGrid>
      <w:tr w:rsidR="007D6BC2" w:rsidRPr="000916C6" w14:paraId="4250BA46" w14:textId="77777777" w:rsidTr="00603CD8">
        <w:trPr>
          <w:jc w:val="center"/>
        </w:trPr>
        <w:tc>
          <w:tcPr>
            <w:tcW w:w="9215" w:type="dxa"/>
            <w:gridSpan w:val="2"/>
          </w:tcPr>
          <w:p w14:paraId="0F9AD7AD" w14:textId="77777777" w:rsidR="007D6BC2" w:rsidRPr="000916C6" w:rsidRDefault="007D6BC2" w:rsidP="00603CD8">
            <w:pPr>
              <w:spacing w:before="120" w:after="120"/>
              <w:ind w:left="74"/>
              <w:jc w:val="center"/>
              <w:rPr>
                <w:rFonts w:ascii="Arial" w:hAnsi="Arial" w:cs="Arial"/>
                <w:b/>
                <w:sz w:val="21"/>
                <w:szCs w:val="21"/>
              </w:rPr>
            </w:pPr>
            <w:r w:rsidRPr="000916C6">
              <w:rPr>
                <w:rFonts w:ascii="Arial" w:hAnsi="Arial" w:cs="Arial"/>
                <w:b/>
                <w:sz w:val="21"/>
                <w:szCs w:val="21"/>
              </w:rPr>
              <w:t>Riesgos propios de activos inmobiliarios</w:t>
            </w:r>
          </w:p>
        </w:tc>
      </w:tr>
      <w:tr w:rsidR="007D6BC2" w:rsidRPr="000916C6" w14:paraId="4F565962" w14:textId="77777777" w:rsidTr="00603CD8">
        <w:trPr>
          <w:jc w:val="center"/>
        </w:trPr>
        <w:tc>
          <w:tcPr>
            <w:tcW w:w="2677" w:type="dxa"/>
            <w:vAlign w:val="center"/>
          </w:tcPr>
          <w:p w14:paraId="2E06F2A3" w14:textId="77777777" w:rsidR="007D6BC2" w:rsidRPr="000916C6" w:rsidRDefault="007D6BC2" w:rsidP="00603CD8">
            <w:pPr>
              <w:rPr>
                <w:rFonts w:ascii="Arial" w:hAnsi="Arial" w:cs="Arial"/>
                <w:b/>
                <w:sz w:val="21"/>
                <w:szCs w:val="21"/>
              </w:rPr>
            </w:pPr>
            <w:r w:rsidRPr="000916C6">
              <w:rPr>
                <w:rFonts w:ascii="Arial" w:hAnsi="Arial" w:cs="Arial"/>
                <w:b/>
                <w:sz w:val="21"/>
                <w:szCs w:val="21"/>
              </w:rPr>
              <w:t>Riesgo de siniestros</w:t>
            </w:r>
          </w:p>
        </w:tc>
        <w:tc>
          <w:tcPr>
            <w:tcW w:w="6538" w:type="dxa"/>
          </w:tcPr>
          <w:p w14:paraId="5B971D92" w14:textId="3BD0A049" w:rsidR="007D6BC2" w:rsidRPr="000916C6" w:rsidRDefault="007D6BC2" w:rsidP="00603CD8">
            <w:pPr>
              <w:jc w:val="both"/>
              <w:rPr>
                <w:rFonts w:ascii="Arial" w:hAnsi="Arial" w:cs="Arial"/>
                <w:sz w:val="21"/>
                <w:szCs w:val="21"/>
              </w:rPr>
            </w:pPr>
            <w:r w:rsidRPr="000916C6">
              <w:rPr>
                <w:rFonts w:ascii="Arial" w:hAnsi="Arial" w:cs="Arial"/>
                <w:sz w:val="21"/>
                <w:szCs w:val="21"/>
              </w:rPr>
              <w:t xml:space="preserve">Se refiere a los riesgos propios de los activos inmobiliarios y que son asociados con </w:t>
            </w:r>
            <w:r w:rsidR="00EF7BCD" w:rsidRPr="000916C6">
              <w:rPr>
                <w:rFonts w:ascii="Arial" w:hAnsi="Arial" w:cs="Arial"/>
                <w:sz w:val="21"/>
                <w:szCs w:val="21"/>
              </w:rPr>
              <w:t>desastres</w:t>
            </w:r>
            <w:r w:rsidRPr="000916C6">
              <w:rPr>
                <w:rFonts w:ascii="Arial" w:hAnsi="Arial" w:cs="Arial"/>
                <w:sz w:val="21"/>
                <w:szCs w:val="21"/>
              </w:rPr>
              <w:t xml:space="preserve"> naturales y artificiales tales como incendio, terremoto, huracán conmoción civil o daños de personas malintencionadas.</w:t>
            </w:r>
            <w:r w:rsidR="00E36B41" w:rsidRPr="000916C6">
              <w:rPr>
                <w:rFonts w:ascii="Arial" w:hAnsi="Arial" w:cs="Arial"/>
                <w:sz w:val="21"/>
                <w:szCs w:val="21"/>
              </w:rPr>
              <w:t xml:space="preserve"> En caso de materializarse </w:t>
            </w:r>
            <w:r w:rsidR="00605136" w:rsidRPr="000916C6">
              <w:rPr>
                <w:rFonts w:ascii="Arial" w:hAnsi="Arial" w:cs="Arial"/>
                <w:sz w:val="21"/>
                <w:szCs w:val="21"/>
              </w:rPr>
              <w:t>el inversionista</w:t>
            </w:r>
            <w:r w:rsidR="00E36B41" w:rsidRPr="000916C6">
              <w:rPr>
                <w:rFonts w:ascii="Arial" w:hAnsi="Arial" w:cs="Arial"/>
                <w:sz w:val="21"/>
                <w:szCs w:val="21"/>
              </w:rPr>
              <w:t xml:space="preserve"> podría experimentar desmejoras en </w:t>
            </w:r>
            <w:r w:rsidR="00CA1CB3" w:rsidRPr="000916C6">
              <w:rPr>
                <w:rFonts w:ascii="Arial" w:hAnsi="Arial" w:cs="Arial"/>
                <w:sz w:val="21"/>
                <w:szCs w:val="21"/>
              </w:rPr>
              <w:t>el valor de participación y en los beneficios distribuidos por el fondo</w:t>
            </w:r>
            <w:r w:rsidR="00E36B41" w:rsidRPr="000916C6">
              <w:rPr>
                <w:rFonts w:ascii="Arial" w:hAnsi="Arial" w:cs="Arial"/>
                <w:sz w:val="21"/>
                <w:szCs w:val="21"/>
              </w:rPr>
              <w:t>.</w:t>
            </w:r>
          </w:p>
        </w:tc>
      </w:tr>
      <w:tr w:rsidR="007D6BC2" w:rsidRPr="000916C6" w14:paraId="78E5412F" w14:textId="77777777" w:rsidTr="00603CD8">
        <w:trPr>
          <w:jc w:val="center"/>
        </w:trPr>
        <w:tc>
          <w:tcPr>
            <w:tcW w:w="2677" w:type="dxa"/>
            <w:vAlign w:val="center"/>
          </w:tcPr>
          <w:p w14:paraId="3EAFDB4B" w14:textId="77777777" w:rsidR="007D6BC2" w:rsidRPr="000916C6" w:rsidRDefault="007D6BC2" w:rsidP="00603CD8">
            <w:pPr>
              <w:rPr>
                <w:rFonts w:ascii="Arial" w:hAnsi="Arial" w:cs="Arial"/>
                <w:b/>
                <w:sz w:val="21"/>
                <w:szCs w:val="21"/>
              </w:rPr>
            </w:pPr>
            <w:r w:rsidRPr="000916C6">
              <w:rPr>
                <w:rFonts w:ascii="Arial" w:hAnsi="Arial" w:cs="Arial"/>
                <w:b/>
                <w:sz w:val="21"/>
                <w:szCs w:val="21"/>
              </w:rPr>
              <w:t>Riesgo de desocupación</w:t>
            </w:r>
          </w:p>
        </w:tc>
        <w:tc>
          <w:tcPr>
            <w:tcW w:w="6538" w:type="dxa"/>
          </w:tcPr>
          <w:p w14:paraId="7B7CAC27" w14:textId="77777777" w:rsidR="007D6BC2" w:rsidRPr="000916C6" w:rsidRDefault="007D6BC2" w:rsidP="00603CD8">
            <w:pPr>
              <w:tabs>
                <w:tab w:val="left" w:pos="426"/>
              </w:tabs>
              <w:jc w:val="both"/>
              <w:rPr>
                <w:rFonts w:ascii="Arial" w:hAnsi="Arial" w:cs="Arial"/>
                <w:sz w:val="21"/>
                <w:szCs w:val="21"/>
              </w:rPr>
            </w:pPr>
            <w:r w:rsidRPr="000916C6">
              <w:rPr>
                <w:rFonts w:ascii="Arial" w:hAnsi="Arial" w:cs="Arial"/>
                <w:sz w:val="21"/>
                <w:szCs w:val="21"/>
              </w:rPr>
              <w:t>El fondo inmobiliario está expuesto a la desocupación de los inmuebles. Además</w:t>
            </w:r>
            <w:r w:rsidR="00EE1D76" w:rsidRPr="000916C6">
              <w:rPr>
                <w:rFonts w:ascii="Arial" w:hAnsi="Arial" w:cs="Arial"/>
                <w:sz w:val="21"/>
                <w:szCs w:val="21"/>
              </w:rPr>
              <w:t>,</w:t>
            </w:r>
            <w:r w:rsidRPr="000916C6">
              <w:rPr>
                <w:rFonts w:ascii="Arial" w:hAnsi="Arial" w:cs="Arial"/>
                <w:sz w:val="21"/>
                <w:szCs w:val="21"/>
              </w:rPr>
              <w:t xml:space="preserve"> un eventual incumplimiento contractual o retiro anticipado por parte de un arrendatario de inmueble podría afectar los ingresos del fondo y el precio de las participaciones, en aquellos casos en que la desocupación es por un periodo mayor al que cubre la garantía otorgada por el arrendatario, al igual que en los casos en que el fondo compre un inmueble que no está arrendado.</w:t>
            </w:r>
          </w:p>
        </w:tc>
      </w:tr>
      <w:tr w:rsidR="007D6BC2" w:rsidRPr="000916C6" w14:paraId="7CD82F4E" w14:textId="77777777" w:rsidTr="00603CD8">
        <w:trPr>
          <w:jc w:val="center"/>
        </w:trPr>
        <w:tc>
          <w:tcPr>
            <w:tcW w:w="2677" w:type="dxa"/>
            <w:vAlign w:val="center"/>
          </w:tcPr>
          <w:p w14:paraId="0E02B35F" w14:textId="77777777" w:rsidR="007D6BC2" w:rsidRPr="000916C6" w:rsidRDefault="007D6BC2" w:rsidP="00603CD8">
            <w:pPr>
              <w:rPr>
                <w:rFonts w:ascii="Arial" w:hAnsi="Arial" w:cs="Arial"/>
                <w:b/>
                <w:sz w:val="21"/>
                <w:szCs w:val="21"/>
              </w:rPr>
            </w:pPr>
            <w:r w:rsidRPr="000916C6">
              <w:rPr>
                <w:rFonts w:ascii="Arial" w:hAnsi="Arial" w:cs="Arial"/>
                <w:b/>
                <w:sz w:val="21"/>
                <w:szCs w:val="21"/>
              </w:rPr>
              <w:lastRenderedPageBreak/>
              <w:t>Riesgo de concentración por inmueble</w:t>
            </w:r>
          </w:p>
        </w:tc>
        <w:tc>
          <w:tcPr>
            <w:tcW w:w="6538" w:type="dxa"/>
          </w:tcPr>
          <w:p w14:paraId="18A7EA67" w14:textId="048E66AD" w:rsidR="007D6BC2" w:rsidRPr="000916C6" w:rsidRDefault="007D6BC2" w:rsidP="00603CD8">
            <w:pPr>
              <w:tabs>
                <w:tab w:val="left" w:pos="426"/>
                <w:tab w:val="num" w:pos="3060"/>
              </w:tabs>
              <w:jc w:val="both"/>
              <w:rPr>
                <w:rFonts w:ascii="Arial" w:hAnsi="Arial" w:cs="Arial"/>
                <w:sz w:val="21"/>
                <w:szCs w:val="21"/>
              </w:rPr>
            </w:pPr>
            <w:r w:rsidRPr="000916C6">
              <w:rPr>
                <w:rFonts w:ascii="Arial" w:hAnsi="Arial" w:cs="Arial"/>
                <w:sz w:val="21"/>
                <w:szCs w:val="21"/>
              </w:rPr>
              <w:t>Este riesgo se presenta al mantener toda la cartera de activos concentrada en un solo inmueble o unos pocos inmuebles</w:t>
            </w:r>
            <w:r w:rsidR="00605136" w:rsidRPr="000916C6">
              <w:rPr>
                <w:rFonts w:ascii="Arial" w:hAnsi="Arial" w:cs="Arial"/>
                <w:sz w:val="21"/>
                <w:szCs w:val="21"/>
              </w:rPr>
              <w:t xml:space="preserve">, o bien al tener poca diversificación en la actividad económica de los inquilinos. De forma tal que </w:t>
            </w:r>
            <w:r w:rsidRPr="000916C6">
              <w:rPr>
                <w:rFonts w:ascii="Arial" w:hAnsi="Arial" w:cs="Arial"/>
                <w:sz w:val="21"/>
                <w:szCs w:val="21"/>
              </w:rPr>
              <w:t>se produzca</w:t>
            </w:r>
            <w:r w:rsidR="00605136" w:rsidRPr="000916C6">
              <w:rPr>
                <w:rFonts w:ascii="Arial" w:hAnsi="Arial" w:cs="Arial"/>
                <w:sz w:val="21"/>
                <w:szCs w:val="21"/>
              </w:rPr>
              <w:t>n</w:t>
            </w:r>
            <w:r w:rsidRPr="000916C6">
              <w:rPr>
                <w:rFonts w:ascii="Arial" w:hAnsi="Arial" w:cs="Arial"/>
                <w:sz w:val="21"/>
                <w:szCs w:val="21"/>
              </w:rPr>
              <w:t xml:space="preserve"> evento</w:t>
            </w:r>
            <w:r w:rsidR="00605136" w:rsidRPr="000916C6">
              <w:rPr>
                <w:rFonts w:ascii="Arial" w:hAnsi="Arial" w:cs="Arial"/>
                <w:sz w:val="21"/>
                <w:szCs w:val="21"/>
              </w:rPr>
              <w:t>s adversos</w:t>
            </w:r>
            <w:r w:rsidRPr="000916C6">
              <w:rPr>
                <w:rFonts w:ascii="Arial" w:hAnsi="Arial" w:cs="Arial"/>
                <w:sz w:val="21"/>
                <w:szCs w:val="21"/>
              </w:rPr>
              <w:t xml:space="preserve"> que haga</w:t>
            </w:r>
            <w:r w:rsidR="00605136" w:rsidRPr="000916C6">
              <w:rPr>
                <w:rFonts w:ascii="Arial" w:hAnsi="Arial" w:cs="Arial"/>
                <w:sz w:val="21"/>
                <w:szCs w:val="21"/>
              </w:rPr>
              <w:t>n</w:t>
            </w:r>
            <w:r w:rsidRPr="000916C6">
              <w:rPr>
                <w:rFonts w:ascii="Arial" w:hAnsi="Arial" w:cs="Arial"/>
                <w:sz w:val="21"/>
                <w:szCs w:val="21"/>
              </w:rPr>
              <w:t xml:space="preserve"> caer en forma drástica el valor de ese activo desvalorizando la cartera</w:t>
            </w:r>
            <w:r w:rsidR="00605136" w:rsidRPr="000916C6">
              <w:rPr>
                <w:rFonts w:ascii="Arial" w:hAnsi="Arial" w:cs="Arial"/>
                <w:sz w:val="21"/>
                <w:szCs w:val="21"/>
              </w:rPr>
              <w:t xml:space="preserve"> o poniendo en riesgo la estabilidad de los ingresos futuros.</w:t>
            </w:r>
            <w:r w:rsidRPr="000916C6">
              <w:rPr>
                <w:rFonts w:ascii="Arial" w:hAnsi="Arial" w:cs="Arial"/>
                <w:sz w:val="21"/>
                <w:szCs w:val="21"/>
              </w:rPr>
              <w:t xml:space="preserve"> </w:t>
            </w:r>
            <w:r w:rsidR="00605136" w:rsidRPr="000916C6">
              <w:rPr>
                <w:rFonts w:ascii="Arial" w:hAnsi="Arial" w:cs="Arial"/>
                <w:sz w:val="21"/>
                <w:szCs w:val="21"/>
              </w:rPr>
              <w:t>Consecuente</w:t>
            </w:r>
            <w:r w:rsidR="00175B33" w:rsidRPr="000916C6">
              <w:rPr>
                <w:rFonts w:ascii="Arial" w:hAnsi="Arial" w:cs="Arial"/>
                <w:sz w:val="21"/>
                <w:szCs w:val="21"/>
              </w:rPr>
              <w:t>mente</w:t>
            </w:r>
            <w:r w:rsidR="00605136" w:rsidRPr="000916C6">
              <w:rPr>
                <w:rFonts w:ascii="Arial" w:hAnsi="Arial" w:cs="Arial"/>
                <w:sz w:val="21"/>
                <w:szCs w:val="21"/>
              </w:rPr>
              <w:t xml:space="preserve"> los inversionistas </w:t>
            </w:r>
            <w:r w:rsidR="00C352E9" w:rsidRPr="000916C6">
              <w:rPr>
                <w:rFonts w:ascii="Arial" w:hAnsi="Arial" w:cs="Arial"/>
                <w:sz w:val="21"/>
                <w:szCs w:val="21"/>
              </w:rPr>
              <w:t xml:space="preserve">podrían </w:t>
            </w:r>
            <w:r w:rsidR="00605136" w:rsidRPr="000916C6">
              <w:rPr>
                <w:rFonts w:ascii="Arial" w:hAnsi="Arial" w:cs="Arial"/>
                <w:sz w:val="21"/>
                <w:szCs w:val="21"/>
              </w:rPr>
              <w:t>experimentar</w:t>
            </w:r>
            <w:r w:rsidR="00C352E9" w:rsidRPr="000916C6">
              <w:rPr>
                <w:rFonts w:ascii="Arial" w:hAnsi="Arial" w:cs="Arial"/>
                <w:sz w:val="21"/>
                <w:szCs w:val="21"/>
              </w:rPr>
              <w:t xml:space="preserve"> una</w:t>
            </w:r>
            <w:r w:rsidR="00605136" w:rsidRPr="000916C6">
              <w:rPr>
                <w:rFonts w:ascii="Arial" w:hAnsi="Arial" w:cs="Arial"/>
                <w:sz w:val="21"/>
                <w:szCs w:val="21"/>
              </w:rPr>
              <w:t xml:space="preserve"> disminución </w:t>
            </w:r>
            <w:r w:rsidR="00C352E9" w:rsidRPr="000916C6">
              <w:rPr>
                <w:rFonts w:ascii="Arial" w:hAnsi="Arial" w:cs="Arial"/>
                <w:sz w:val="21"/>
                <w:szCs w:val="21"/>
              </w:rPr>
              <w:t>en el valor de participación y en los beneficios distribuidos.</w:t>
            </w:r>
          </w:p>
        </w:tc>
      </w:tr>
      <w:tr w:rsidR="007D6BC2" w:rsidRPr="000916C6" w14:paraId="126A4822" w14:textId="77777777" w:rsidTr="00603CD8">
        <w:trPr>
          <w:jc w:val="center"/>
        </w:trPr>
        <w:tc>
          <w:tcPr>
            <w:tcW w:w="2677" w:type="dxa"/>
            <w:vAlign w:val="center"/>
          </w:tcPr>
          <w:p w14:paraId="0C9BC4E4" w14:textId="77777777" w:rsidR="007D6BC2" w:rsidRPr="000916C6" w:rsidRDefault="007D6BC2" w:rsidP="00603CD8">
            <w:pPr>
              <w:rPr>
                <w:rFonts w:ascii="Arial" w:hAnsi="Arial" w:cs="Arial"/>
                <w:b/>
                <w:sz w:val="21"/>
                <w:szCs w:val="21"/>
              </w:rPr>
            </w:pPr>
            <w:r w:rsidRPr="000916C6">
              <w:rPr>
                <w:rFonts w:ascii="Arial" w:hAnsi="Arial" w:cs="Arial"/>
                <w:b/>
                <w:sz w:val="21"/>
                <w:szCs w:val="21"/>
              </w:rPr>
              <w:t>Riesgo de concentración por inquilino</w:t>
            </w:r>
          </w:p>
        </w:tc>
        <w:tc>
          <w:tcPr>
            <w:tcW w:w="6538" w:type="dxa"/>
          </w:tcPr>
          <w:p w14:paraId="4EDD148D" w14:textId="77777777" w:rsidR="007D6BC2" w:rsidRPr="000916C6" w:rsidRDefault="007D6BC2" w:rsidP="00603CD8">
            <w:pPr>
              <w:jc w:val="both"/>
              <w:rPr>
                <w:rFonts w:ascii="Arial" w:hAnsi="Arial" w:cs="Arial"/>
                <w:sz w:val="21"/>
                <w:szCs w:val="21"/>
              </w:rPr>
            </w:pPr>
            <w:r w:rsidRPr="000916C6">
              <w:rPr>
                <w:rFonts w:ascii="Arial" w:hAnsi="Arial" w:cs="Arial"/>
                <w:sz w:val="21"/>
                <w:szCs w:val="21"/>
              </w:rPr>
              <w:t>Este riesgo se presenta cuando existe una alta concentración en un solo o unos pocos arrendatarios, lo que implica un aumento en el riesgo de que el rendimiento del fondo se vea afectado por incumplimientos en el pago de alquileres o por tener que llevar a cabo procesos de desahucio.</w:t>
            </w:r>
          </w:p>
        </w:tc>
      </w:tr>
      <w:tr w:rsidR="007D6BC2" w:rsidRPr="000916C6" w14:paraId="7CC6DF72" w14:textId="77777777" w:rsidTr="00603CD8">
        <w:trPr>
          <w:jc w:val="center"/>
        </w:trPr>
        <w:tc>
          <w:tcPr>
            <w:tcW w:w="2677" w:type="dxa"/>
            <w:vAlign w:val="center"/>
          </w:tcPr>
          <w:p w14:paraId="125DEAD7" w14:textId="77777777" w:rsidR="007D6BC2" w:rsidRPr="000916C6" w:rsidRDefault="007D6BC2" w:rsidP="00603CD8">
            <w:pPr>
              <w:rPr>
                <w:rFonts w:ascii="Arial" w:hAnsi="Arial" w:cs="Arial"/>
                <w:b/>
                <w:sz w:val="21"/>
                <w:szCs w:val="21"/>
              </w:rPr>
            </w:pPr>
            <w:r w:rsidRPr="000916C6">
              <w:rPr>
                <w:rFonts w:ascii="Arial" w:hAnsi="Arial" w:cs="Arial"/>
                <w:b/>
                <w:sz w:val="21"/>
                <w:szCs w:val="21"/>
              </w:rPr>
              <w:t>Riesgo por la discrecionalidad de la sociedad administradora para la compra de activos</w:t>
            </w:r>
          </w:p>
        </w:tc>
        <w:tc>
          <w:tcPr>
            <w:tcW w:w="6538" w:type="dxa"/>
          </w:tcPr>
          <w:p w14:paraId="3806ED35" w14:textId="77777777" w:rsidR="007D6BC2" w:rsidRPr="000916C6" w:rsidRDefault="007D6BC2" w:rsidP="00603CD8">
            <w:pPr>
              <w:tabs>
                <w:tab w:val="left" w:pos="426"/>
              </w:tabs>
              <w:jc w:val="both"/>
              <w:rPr>
                <w:rFonts w:ascii="Arial" w:hAnsi="Arial" w:cs="Arial"/>
                <w:sz w:val="21"/>
                <w:szCs w:val="21"/>
              </w:rPr>
            </w:pPr>
            <w:r w:rsidRPr="000916C6">
              <w:rPr>
                <w:rFonts w:ascii="Arial" w:hAnsi="Arial" w:cs="Arial"/>
                <w:sz w:val="21"/>
                <w:szCs w:val="21"/>
              </w:rPr>
              <w:t>Multifondos de CR, Sociedad de Fondos de Inversión, S.A., tomará las decisiones de inversión en los diferentes inmuebles, según las políticas del Comité de Inversión y la asesoría de expertos en bienes inmuebles, por lo que dichas decisiones podrían afectar los rendimientos del fondo.</w:t>
            </w:r>
          </w:p>
        </w:tc>
      </w:tr>
      <w:tr w:rsidR="007D6BC2" w:rsidRPr="000916C6" w14:paraId="7B8F0392" w14:textId="77777777" w:rsidTr="00603CD8">
        <w:trPr>
          <w:jc w:val="center"/>
        </w:trPr>
        <w:tc>
          <w:tcPr>
            <w:tcW w:w="2677" w:type="dxa"/>
            <w:vAlign w:val="center"/>
          </w:tcPr>
          <w:p w14:paraId="74770668" w14:textId="77777777" w:rsidR="007D6BC2" w:rsidRPr="000916C6" w:rsidRDefault="007D6BC2" w:rsidP="00603CD8">
            <w:pPr>
              <w:rPr>
                <w:rFonts w:ascii="Arial" w:hAnsi="Arial" w:cs="Arial"/>
                <w:b/>
                <w:sz w:val="21"/>
                <w:szCs w:val="21"/>
              </w:rPr>
            </w:pPr>
            <w:r w:rsidRPr="000916C6">
              <w:rPr>
                <w:rFonts w:ascii="Arial" w:hAnsi="Arial" w:cs="Arial"/>
                <w:b/>
                <w:sz w:val="21"/>
                <w:szCs w:val="21"/>
              </w:rPr>
              <w:t>Otros riesgos: Riesgo por el arrendamiento de inmuebles a un nivel inferior al de mercado</w:t>
            </w:r>
          </w:p>
        </w:tc>
        <w:tc>
          <w:tcPr>
            <w:tcW w:w="6538" w:type="dxa"/>
          </w:tcPr>
          <w:p w14:paraId="153DB680" w14:textId="4AA29A6B" w:rsidR="007D6BC2" w:rsidRPr="000916C6" w:rsidRDefault="007D6BC2" w:rsidP="00603CD8">
            <w:pPr>
              <w:tabs>
                <w:tab w:val="left" w:pos="426"/>
                <w:tab w:val="num" w:pos="3060"/>
              </w:tabs>
              <w:jc w:val="both"/>
              <w:rPr>
                <w:rFonts w:ascii="Arial" w:hAnsi="Arial" w:cs="Arial"/>
                <w:sz w:val="21"/>
                <w:szCs w:val="21"/>
                <w:lang w:val="es-CR"/>
              </w:rPr>
            </w:pPr>
            <w:r w:rsidRPr="000916C6">
              <w:rPr>
                <w:rFonts w:ascii="Arial" w:hAnsi="Arial" w:cs="Arial"/>
                <w:sz w:val="21"/>
                <w:szCs w:val="21"/>
              </w:rPr>
              <w:t>Supone que alguno de los inmuebles de la cartera del Fondo sea arrendado a un nivel inferior al promedio de mercado, lo cual implicaría un eventual problema en la gestión de administración del inmueble y que eventualmente el inversionista estará recibiendo menos beneficios de lo que podría estar recibiendo</w:t>
            </w:r>
            <w:r w:rsidRPr="000916C6">
              <w:rPr>
                <w:rFonts w:ascii="Arial" w:hAnsi="Arial" w:cs="Arial"/>
                <w:sz w:val="21"/>
                <w:szCs w:val="21"/>
                <w:lang w:val="es-CR"/>
              </w:rPr>
              <w:t>.</w:t>
            </w:r>
          </w:p>
        </w:tc>
      </w:tr>
      <w:tr w:rsidR="007D6BC2" w:rsidRPr="000916C6" w14:paraId="495654F5" w14:textId="77777777" w:rsidTr="00603CD8">
        <w:trPr>
          <w:jc w:val="center"/>
        </w:trPr>
        <w:tc>
          <w:tcPr>
            <w:tcW w:w="2677" w:type="dxa"/>
            <w:vAlign w:val="center"/>
          </w:tcPr>
          <w:p w14:paraId="3888E549" w14:textId="77777777" w:rsidR="007D6BC2" w:rsidRPr="000916C6" w:rsidRDefault="007D6BC2" w:rsidP="00603CD8">
            <w:pPr>
              <w:rPr>
                <w:rFonts w:ascii="Arial" w:hAnsi="Arial" w:cs="Arial"/>
                <w:b/>
                <w:sz w:val="21"/>
                <w:szCs w:val="21"/>
              </w:rPr>
            </w:pPr>
            <w:r w:rsidRPr="000916C6">
              <w:rPr>
                <w:rFonts w:ascii="Arial" w:hAnsi="Arial" w:cs="Arial"/>
                <w:b/>
                <w:sz w:val="21"/>
                <w:szCs w:val="21"/>
              </w:rPr>
              <w:t>Otros riesgos</w:t>
            </w:r>
            <w:r w:rsidRPr="000916C6">
              <w:rPr>
                <w:rFonts w:ascii="Arial" w:hAnsi="Arial" w:cs="Arial"/>
                <w:sz w:val="21"/>
                <w:szCs w:val="21"/>
              </w:rPr>
              <w:t xml:space="preserve">: </w:t>
            </w:r>
            <w:r w:rsidRPr="000916C6">
              <w:rPr>
                <w:rFonts w:ascii="Arial" w:hAnsi="Arial" w:cs="Arial"/>
                <w:b/>
                <w:sz w:val="21"/>
                <w:szCs w:val="21"/>
              </w:rPr>
              <w:t>Riesgo por concentración geográfica</w:t>
            </w:r>
          </w:p>
        </w:tc>
        <w:tc>
          <w:tcPr>
            <w:tcW w:w="6538" w:type="dxa"/>
          </w:tcPr>
          <w:p w14:paraId="76D0F510" w14:textId="5C6461C0" w:rsidR="007D6BC2" w:rsidRPr="000916C6" w:rsidRDefault="007D6BC2" w:rsidP="00603CD8">
            <w:pPr>
              <w:tabs>
                <w:tab w:val="left" w:pos="426"/>
              </w:tabs>
              <w:jc w:val="both"/>
              <w:rPr>
                <w:rFonts w:ascii="Arial" w:hAnsi="Arial" w:cs="Arial"/>
                <w:sz w:val="21"/>
                <w:szCs w:val="21"/>
              </w:rPr>
            </w:pPr>
            <w:r w:rsidRPr="000916C6">
              <w:rPr>
                <w:rFonts w:ascii="Arial" w:hAnsi="Arial" w:cs="Arial"/>
                <w:sz w:val="21"/>
                <w:szCs w:val="21"/>
              </w:rPr>
              <w:t xml:space="preserve">En el caso de que se dé una concentración de la cartera de inmuebles en una misma zona geográfica genera un riesgo, ya que si eventualmente se produjera algún problema en la zona específica, como podría </w:t>
            </w:r>
            <w:r w:rsidR="00915642" w:rsidRPr="000916C6">
              <w:rPr>
                <w:rFonts w:ascii="Arial" w:hAnsi="Arial" w:cs="Arial"/>
                <w:sz w:val="21"/>
                <w:szCs w:val="21"/>
              </w:rPr>
              <w:t>ser,</w:t>
            </w:r>
            <w:r w:rsidRPr="000916C6">
              <w:rPr>
                <w:rFonts w:ascii="Arial" w:hAnsi="Arial" w:cs="Arial"/>
                <w:sz w:val="21"/>
                <w:szCs w:val="21"/>
              </w:rPr>
              <w:t xml:space="preserve"> pero no limitado a, pérdida de la plusvalía del sector, abandono de la infraestructura de la zona, pérdida de demanda por desarrollos en la Zona, cambio en la legislación o reglamentos establecidos para el desarrollo inmobiliario de la zona, podría generar una eventual pérdida de valor de la cartera del Fondo, disminuyendo también el valor del patrimonio de los inversionistas.</w:t>
            </w:r>
          </w:p>
        </w:tc>
      </w:tr>
      <w:tr w:rsidR="007D6BC2" w:rsidRPr="000916C6" w14:paraId="1F59B198" w14:textId="77777777" w:rsidTr="00603CD8">
        <w:trPr>
          <w:jc w:val="center"/>
        </w:trPr>
        <w:tc>
          <w:tcPr>
            <w:tcW w:w="2677" w:type="dxa"/>
            <w:vAlign w:val="center"/>
          </w:tcPr>
          <w:p w14:paraId="10061572" w14:textId="77777777" w:rsidR="007D6BC2" w:rsidRPr="000916C6" w:rsidRDefault="007D6BC2" w:rsidP="00603CD8">
            <w:pPr>
              <w:rPr>
                <w:rFonts w:ascii="Arial" w:hAnsi="Arial" w:cs="Arial"/>
                <w:b/>
                <w:sz w:val="21"/>
                <w:szCs w:val="21"/>
              </w:rPr>
            </w:pPr>
            <w:r w:rsidRPr="000916C6">
              <w:rPr>
                <w:rFonts w:ascii="Arial" w:hAnsi="Arial" w:cs="Arial"/>
                <w:b/>
                <w:sz w:val="21"/>
                <w:szCs w:val="21"/>
              </w:rPr>
              <w:t>Otros riesgos: Riesgo por valoraciones de las propiedades del fondo</w:t>
            </w:r>
          </w:p>
        </w:tc>
        <w:tc>
          <w:tcPr>
            <w:tcW w:w="6538" w:type="dxa"/>
          </w:tcPr>
          <w:p w14:paraId="5471731B" w14:textId="77777777" w:rsidR="007D6BC2" w:rsidRPr="000916C6" w:rsidRDefault="007D6BC2" w:rsidP="00603CD8">
            <w:pPr>
              <w:tabs>
                <w:tab w:val="left" w:pos="426"/>
                <w:tab w:val="num" w:pos="3060"/>
              </w:tabs>
              <w:jc w:val="both"/>
              <w:rPr>
                <w:rFonts w:ascii="Arial" w:hAnsi="Arial" w:cs="Arial"/>
                <w:sz w:val="21"/>
                <w:szCs w:val="21"/>
              </w:rPr>
            </w:pPr>
            <w:r w:rsidRPr="000916C6">
              <w:rPr>
                <w:rFonts w:ascii="Arial" w:hAnsi="Arial" w:cs="Arial"/>
                <w:sz w:val="21"/>
                <w:szCs w:val="21"/>
              </w:rPr>
              <w:t>Debido a que los fondos de inversión inmobiliarios están sujetos a valoraciones anuales de sus inmuebles, una eventual minusvalía podría generar pérdidas económicas a los inversionistas debido a que cualquier ajuste en el valor del activo inmobiliario implica un ajuste al valor de las participaciones del Fondo.</w:t>
            </w:r>
          </w:p>
        </w:tc>
      </w:tr>
      <w:tr w:rsidR="007D6BC2" w:rsidRPr="000916C6" w14:paraId="704DF839" w14:textId="77777777" w:rsidTr="00603CD8">
        <w:trPr>
          <w:jc w:val="center"/>
        </w:trPr>
        <w:tc>
          <w:tcPr>
            <w:tcW w:w="2677" w:type="dxa"/>
            <w:vAlign w:val="center"/>
          </w:tcPr>
          <w:p w14:paraId="4EFEE571" w14:textId="77777777" w:rsidR="007D6BC2" w:rsidRPr="000916C6" w:rsidRDefault="007D6BC2" w:rsidP="00603CD8">
            <w:pPr>
              <w:rPr>
                <w:rFonts w:ascii="Arial" w:hAnsi="Arial" w:cs="Arial"/>
                <w:b/>
                <w:sz w:val="21"/>
                <w:szCs w:val="21"/>
              </w:rPr>
            </w:pPr>
            <w:r w:rsidRPr="000916C6">
              <w:rPr>
                <w:rFonts w:ascii="Arial" w:hAnsi="Arial" w:cs="Arial"/>
                <w:b/>
                <w:sz w:val="21"/>
                <w:szCs w:val="21"/>
              </w:rPr>
              <w:t>Otros riesgos: Riesgo por pérdida de valor en el inmueble</w:t>
            </w:r>
          </w:p>
        </w:tc>
        <w:tc>
          <w:tcPr>
            <w:tcW w:w="6538" w:type="dxa"/>
          </w:tcPr>
          <w:p w14:paraId="23B4F5FF" w14:textId="77777777" w:rsidR="007D6BC2" w:rsidRPr="000916C6" w:rsidRDefault="007D6BC2" w:rsidP="00603CD8">
            <w:pPr>
              <w:jc w:val="both"/>
              <w:rPr>
                <w:rFonts w:ascii="Arial" w:hAnsi="Arial" w:cs="Arial"/>
                <w:sz w:val="21"/>
                <w:szCs w:val="21"/>
              </w:rPr>
            </w:pPr>
            <w:r w:rsidRPr="000916C6">
              <w:rPr>
                <w:rFonts w:ascii="Arial" w:hAnsi="Arial" w:cs="Arial"/>
                <w:sz w:val="21"/>
                <w:szCs w:val="21"/>
              </w:rPr>
              <w:t>El Fondo puede verse afectado por la pérdida de valor de alguno o algunos de los inmuebles que componen la cartera, provocando un deterioro en el valor de la participación.</w:t>
            </w:r>
          </w:p>
        </w:tc>
      </w:tr>
      <w:tr w:rsidR="007D6BC2" w:rsidRPr="000916C6" w14:paraId="4D762E99" w14:textId="77777777" w:rsidTr="00603CD8">
        <w:trPr>
          <w:jc w:val="center"/>
        </w:trPr>
        <w:tc>
          <w:tcPr>
            <w:tcW w:w="2677" w:type="dxa"/>
            <w:vAlign w:val="center"/>
          </w:tcPr>
          <w:p w14:paraId="7A389292" w14:textId="77777777" w:rsidR="007D6BC2" w:rsidRPr="000916C6" w:rsidRDefault="007D6BC2" w:rsidP="00603CD8">
            <w:pPr>
              <w:rPr>
                <w:rFonts w:ascii="Arial" w:hAnsi="Arial" w:cs="Arial"/>
                <w:b/>
                <w:sz w:val="21"/>
                <w:szCs w:val="21"/>
              </w:rPr>
            </w:pPr>
            <w:r w:rsidRPr="000916C6">
              <w:rPr>
                <w:rFonts w:ascii="Arial" w:hAnsi="Arial" w:cs="Arial"/>
                <w:b/>
                <w:sz w:val="21"/>
                <w:szCs w:val="21"/>
              </w:rPr>
              <w:t>Otros riesgos</w:t>
            </w:r>
            <w:r w:rsidRPr="000916C6">
              <w:rPr>
                <w:rFonts w:ascii="Arial" w:hAnsi="Arial" w:cs="Arial"/>
                <w:sz w:val="21"/>
                <w:szCs w:val="21"/>
              </w:rPr>
              <w:t xml:space="preserve">: </w:t>
            </w:r>
            <w:r w:rsidRPr="000916C6">
              <w:rPr>
                <w:rFonts w:ascii="Arial" w:hAnsi="Arial" w:cs="Arial"/>
                <w:b/>
                <w:sz w:val="21"/>
                <w:szCs w:val="21"/>
              </w:rPr>
              <w:t>Riesgo por variaciones en la estructura de costos del Fondo</w:t>
            </w:r>
          </w:p>
        </w:tc>
        <w:tc>
          <w:tcPr>
            <w:tcW w:w="6538" w:type="dxa"/>
          </w:tcPr>
          <w:p w14:paraId="675BF295" w14:textId="77777777" w:rsidR="007D6BC2" w:rsidRPr="000916C6" w:rsidRDefault="007D6BC2" w:rsidP="00603CD8">
            <w:pPr>
              <w:tabs>
                <w:tab w:val="left" w:pos="426"/>
              </w:tabs>
              <w:jc w:val="both"/>
              <w:rPr>
                <w:rFonts w:ascii="Arial" w:hAnsi="Arial" w:cs="Arial"/>
                <w:sz w:val="21"/>
                <w:szCs w:val="21"/>
              </w:rPr>
            </w:pPr>
            <w:r w:rsidRPr="000916C6">
              <w:rPr>
                <w:rFonts w:ascii="Arial" w:hAnsi="Arial" w:cs="Arial"/>
                <w:sz w:val="21"/>
                <w:szCs w:val="21"/>
              </w:rPr>
              <w:t>Este riesgo se refiere a la posibilidad de que alguno de los costos asociados con la administración, aseguramiento y mantenimiento de uno o varios de los inmuebles que componen la cartera del Fondo, experimente un drástico incremento lo cual implicaría una automática disminución del rendimiento líquido que recibe el inversionista.</w:t>
            </w:r>
          </w:p>
        </w:tc>
      </w:tr>
    </w:tbl>
    <w:p w14:paraId="49E66FB5" w14:textId="77777777" w:rsidR="007D6BC2" w:rsidRPr="000916C6" w:rsidRDefault="007D6BC2" w:rsidP="003755CC">
      <w:pPr>
        <w:rPr>
          <w:rFonts w:ascii="Arial" w:hAnsi="Arial" w:cs="Arial"/>
          <w:b/>
          <w:sz w:val="21"/>
          <w:szCs w:val="21"/>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3755CC" w:rsidRPr="000916C6" w14:paraId="61A410AD" w14:textId="77777777" w:rsidTr="00603CD8">
        <w:trPr>
          <w:jc w:val="center"/>
        </w:trPr>
        <w:tc>
          <w:tcPr>
            <w:tcW w:w="9215" w:type="dxa"/>
          </w:tcPr>
          <w:p w14:paraId="28586193" w14:textId="77777777" w:rsidR="003755CC" w:rsidRPr="000916C6" w:rsidRDefault="003755CC" w:rsidP="00603CD8">
            <w:pPr>
              <w:spacing w:before="120" w:after="120"/>
              <w:ind w:left="23"/>
              <w:jc w:val="center"/>
              <w:rPr>
                <w:rFonts w:ascii="Arial" w:hAnsi="Arial" w:cs="Arial"/>
                <w:b/>
                <w:sz w:val="21"/>
                <w:szCs w:val="21"/>
              </w:rPr>
            </w:pPr>
            <w:r w:rsidRPr="000916C6">
              <w:rPr>
                <w:rFonts w:ascii="Arial" w:hAnsi="Arial" w:cs="Arial"/>
                <w:sz w:val="21"/>
                <w:szCs w:val="21"/>
              </w:rPr>
              <w:br w:type="page"/>
            </w:r>
            <w:r w:rsidRPr="000916C6">
              <w:rPr>
                <w:rFonts w:ascii="Arial" w:hAnsi="Arial" w:cs="Arial"/>
                <w:b/>
                <w:sz w:val="21"/>
                <w:szCs w:val="21"/>
              </w:rPr>
              <w:t>Administración de los riesgos</w:t>
            </w:r>
          </w:p>
        </w:tc>
      </w:tr>
      <w:tr w:rsidR="003755CC" w:rsidRPr="000916C6" w14:paraId="1104C5A5" w14:textId="77777777" w:rsidTr="00603CD8">
        <w:trPr>
          <w:jc w:val="center"/>
        </w:trPr>
        <w:tc>
          <w:tcPr>
            <w:tcW w:w="9215" w:type="dxa"/>
          </w:tcPr>
          <w:p w14:paraId="6E20B99A" w14:textId="77777777" w:rsidR="003755CC" w:rsidRPr="000916C6" w:rsidRDefault="003755CC" w:rsidP="00603CD8">
            <w:pPr>
              <w:spacing w:before="120" w:after="120"/>
              <w:jc w:val="both"/>
              <w:rPr>
                <w:rFonts w:ascii="Arial" w:hAnsi="Arial" w:cs="Arial"/>
                <w:color w:val="000000"/>
                <w:sz w:val="21"/>
                <w:szCs w:val="21"/>
              </w:rPr>
            </w:pPr>
            <w:r w:rsidRPr="000916C6">
              <w:rPr>
                <w:rFonts w:ascii="Arial" w:hAnsi="Arial" w:cs="Arial"/>
                <w:color w:val="000000"/>
                <w:sz w:val="21"/>
                <w:szCs w:val="21"/>
              </w:rPr>
              <w:lastRenderedPageBreak/>
              <w:t>Multifondos cuenta con la “Política de Gestión de Riesgos de los Fondos Inmobiliarios y de Desarrollo Inmobiliario” la cual es verificada periódicamente por el proceso de Riesgos e incluye las medidas que se muestran a continuación para la administración efectiva de los riesgos de los fondos de inversión:</w:t>
            </w:r>
          </w:p>
          <w:p w14:paraId="787D3357" w14:textId="7930E861" w:rsidR="003755CC" w:rsidRPr="000916C6" w:rsidRDefault="003755CC" w:rsidP="00603CD8">
            <w:pPr>
              <w:spacing w:before="120" w:after="120"/>
              <w:jc w:val="both"/>
              <w:rPr>
                <w:rFonts w:ascii="Arial" w:hAnsi="Arial" w:cs="Arial"/>
                <w:b/>
                <w:sz w:val="21"/>
                <w:szCs w:val="21"/>
              </w:rPr>
            </w:pPr>
            <w:r w:rsidRPr="000916C6">
              <w:rPr>
                <w:rFonts w:ascii="Arial" w:hAnsi="Arial" w:cs="Arial"/>
                <w:b/>
                <w:sz w:val="21"/>
                <w:szCs w:val="21"/>
              </w:rPr>
              <w:t>Riesgo de tasas de interés y de precio:</w:t>
            </w:r>
            <w:r w:rsidRPr="000916C6">
              <w:rPr>
                <w:rFonts w:ascii="Arial" w:hAnsi="Arial" w:cs="Arial"/>
                <w:color w:val="000000"/>
                <w:sz w:val="21"/>
                <w:szCs w:val="21"/>
              </w:rPr>
              <w:t xml:space="preserve"> Para reducir el impacto de este riesgo, la sociedad administradora debe velar por una adecuada diversificación de los títulos valores en los que invierte el fondo, de acuerdo </w:t>
            </w:r>
            <w:r w:rsidR="00474CB6" w:rsidRPr="000916C6">
              <w:rPr>
                <w:rFonts w:ascii="Arial" w:hAnsi="Arial" w:cs="Arial"/>
                <w:color w:val="000000"/>
                <w:sz w:val="21"/>
                <w:szCs w:val="21"/>
              </w:rPr>
              <w:t>con</w:t>
            </w:r>
            <w:r w:rsidRPr="000916C6">
              <w:rPr>
                <w:rFonts w:ascii="Arial" w:hAnsi="Arial" w:cs="Arial"/>
                <w:color w:val="000000"/>
                <w:sz w:val="21"/>
                <w:szCs w:val="21"/>
              </w:rPr>
              <w:t xml:space="preserve"> lo establecido en el prospecto.</w:t>
            </w:r>
          </w:p>
          <w:p w14:paraId="76278E1B" w14:textId="77777777"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t>Riesgo de liquidez:</w:t>
            </w:r>
            <w:r w:rsidRPr="000916C6">
              <w:rPr>
                <w:rFonts w:ascii="Arial" w:hAnsi="Arial" w:cs="Arial"/>
                <w:sz w:val="21"/>
                <w:szCs w:val="21"/>
              </w:rPr>
              <w:t xml:space="preserve"> </w:t>
            </w:r>
            <w:r w:rsidRPr="000916C6">
              <w:rPr>
                <w:rFonts w:ascii="Arial" w:hAnsi="Arial" w:cs="Arial"/>
                <w:color w:val="000000"/>
                <w:sz w:val="21"/>
                <w:szCs w:val="21"/>
              </w:rPr>
              <w:t>La administración del fondo realiza un seguimiento diario de los flujos de efectivo y las necesidades financieras futuras del fondo. Periódicamente, las condiciones del mercado y cualquier otra variable que pueda afectar la liquidez son analizadas por medio de indicadores financieros, con el fin de diseñar estrategias que puedan mejorar la capacidad del fondo para generar efectivo</w:t>
            </w:r>
            <w:r w:rsidRPr="000916C6">
              <w:rPr>
                <w:rFonts w:ascii="Arial" w:hAnsi="Arial" w:cs="Arial"/>
                <w:sz w:val="21"/>
                <w:szCs w:val="21"/>
              </w:rPr>
              <w:t>.</w:t>
            </w:r>
          </w:p>
          <w:p w14:paraId="6683AB9A" w14:textId="77777777" w:rsidR="003755CC" w:rsidRPr="000916C6" w:rsidRDefault="003755CC" w:rsidP="00603CD8">
            <w:pPr>
              <w:spacing w:before="120" w:after="120"/>
              <w:jc w:val="both"/>
              <w:rPr>
                <w:rFonts w:ascii="Arial" w:hAnsi="Arial" w:cs="Arial"/>
                <w:b/>
                <w:sz w:val="21"/>
                <w:szCs w:val="21"/>
              </w:rPr>
            </w:pPr>
            <w:r w:rsidRPr="000916C6">
              <w:rPr>
                <w:rFonts w:ascii="Arial" w:hAnsi="Arial" w:cs="Arial"/>
                <w:b/>
                <w:sz w:val="21"/>
                <w:szCs w:val="21"/>
              </w:rPr>
              <w:t xml:space="preserve">Riesgo de crédito o no pago: </w:t>
            </w:r>
            <w:r w:rsidRPr="000916C6">
              <w:rPr>
                <w:rFonts w:ascii="Arial" w:hAnsi="Arial" w:cs="Arial"/>
                <w:color w:val="000000"/>
                <w:sz w:val="21"/>
                <w:szCs w:val="21"/>
              </w:rPr>
              <w:t>Todos los emisores de títulos valores en los que invierta el fondo deben cumplir con los ratings crediticios y las políticas establecidas en el prospecto, el Proceso de Gestión de Riesgos dará seguimiento al cumplimiento de lo establecido en dichas políticas.</w:t>
            </w:r>
            <w:r w:rsidRPr="000916C6" w:rsidDel="00691C51">
              <w:rPr>
                <w:rFonts w:ascii="Arial" w:hAnsi="Arial" w:cs="Arial"/>
                <w:color w:val="000000"/>
                <w:sz w:val="21"/>
                <w:szCs w:val="21"/>
              </w:rPr>
              <w:t xml:space="preserve"> </w:t>
            </w:r>
            <w:r w:rsidRPr="000916C6">
              <w:rPr>
                <w:rFonts w:ascii="Arial" w:hAnsi="Arial" w:cs="Arial"/>
                <w:color w:val="000000"/>
                <w:sz w:val="21"/>
                <w:szCs w:val="21"/>
              </w:rPr>
              <w:t>La sociedad administradora debe velar por una adecuada diversificación de la cartera de títulos valores, el comité de inversiones realiza un seguimiento periódico de las inversiones del fondo con el fin de definir políticas y nuevas estrategias de inversión en instrumentos financieros</w:t>
            </w:r>
            <w:r w:rsidRPr="000916C6">
              <w:rPr>
                <w:rFonts w:ascii="Arial" w:hAnsi="Arial" w:cs="Arial"/>
                <w:sz w:val="21"/>
                <w:szCs w:val="21"/>
              </w:rPr>
              <w:t>.</w:t>
            </w:r>
          </w:p>
          <w:p w14:paraId="645B0E48" w14:textId="77777777"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t xml:space="preserve">Riesgos cambiarios: </w:t>
            </w:r>
            <w:r w:rsidRPr="000916C6">
              <w:rPr>
                <w:rFonts w:ascii="Arial" w:hAnsi="Arial" w:cs="Arial"/>
                <w:sz w:val="21"/>
                <w:szCs w:val="21"/>
              </w:rPr>
              <w:t>El Fondo procura negociar sus contratos (</w:t>
            </w:r>
            <w:r w:rsidRPr="000916C6">
              <w:rPr>
                <w:rFonts w:ascii="Arial" w:hAnsi="Arial" w:cs="Arial"/>
                <w:i/>
                <w:sz w:val="21"/>
                <w:szCs w:val="21"/>
              </w:rPr>
              <w:t xml:space="preserve">incluye los de arrendamiento de los inmuebles), </w:t>
            </w:r>
            <w:r w:rsidRPr="000916C6">
              <w:rPr>
                <w:rFonts w:ascii="Arial" w:hAnsi="Arial" w:cs="Arial"/>
                <w:sz w:val="21"/>
                <w:szCs w:val="21"/>
              </w:rPr>
              <w:t>liquidar sus participaciones, mantener sus inversiones y realizar todos los pagos en dólares, que es la moneda de denominación del fondo, para minimizar el riesgo cambiario.</w:t>
            </w:r>
          </w:p>
          <w:p w14:paraId="143FCA1C" w14:textId="54B68B6B" w:rsidR="003755CC" w:rsidRPr="000916C6" w:rsidRDefault="003755CC" w:rsidP="00603CD8">
            <w:pPr>
              <w:tabs>
                <w:tab w:val="left" w:pos="426"/>
              </w:tabs>
              <w:jc w:val="both"/>
              <w:rPr>
                <w:rFonts w:ascii="Arial" w:hAnsi="Arial" w:cs="Arial"/>
                <w:color w:val="000000"/>
                <w:sz w:val="21"/>
                <w:szCs w:val="21"/>
              </w:rPr>
            </w:pPr>
            <w:r w:rsidRPr="000916C6">
              <w:rPr>
                <w:rFonts w:ascii="Arial" w:hAnsi="Arial" w:cs="Arial"/>
                <w:b/>
                <w:sz w:val="21"/>
                <w:szCs w:val="21"/>
              </w:rPr>
              <w:t>Riesgo de las operaciones de reporto:</w:t>
            </w:r>
            <w:r w:rsidRPr="000916C6">
              <w:rPr>
                <w:rFonts w:ascii="Arial" w:hAnsi="Arial" w:cs="Arial"/>
                <w:sz w:val="21"/>
                <w:szCs w:val="21"/>
              </w:rPr>
              <w:t xml:space="preserve"> </w:t>
            </w:r>
            <w:r w:rsidRPr="000916C6">
              <w:rPr>
                <w:rFonts w:ascii="Arial" w:hAnsi="Arial" w:cs="Arial"/>
                <w:color w:val="000000"/>
                <w:sz w:val="21"/>
                <w:szCs w:val="21"/>
              </w:rPr>
              <w:t xml:space="preserve">Para gestionar el riesgo por operaciones de reporto la administración del fondo establece límites máximos en los cuáles se puede invertir o apalancar a través de operaciones de este tipo. Por otro lado, el Puesto de Bolsa a través del cual el fondo realizan estas operaciones posee mecanismos de control, cuidando las contrapartes de las operaciones, el respaldo patrimonial con el que cuentan, situación de mercado y la liquidez de los valores utilizados como garantía, estableciendo cuando considere necesario, márgenes de garantía superiores a los requeridos por la Bolsa. El Grupo Financiero cuenta con una política de </w:t>
            </w:r>
            <w:r w:rsidR="00A91702" w:rsidRPr="000916C6">
              <w:rPr>
                <w:rFonts w:ascii="Arial" w:hAnsi="Arial" w:cs="Arial"/>
                <w:color w:val="000000"/>
                <w:sz w:val="21"/>
                <w:szCs w:val="21"/>
              </w:rPr>
              <w:t>reporto</w:t>
            </w:r>
            <w:r w:rsidRPr="000916C6">
              <w:rPr>
                <w:rFonts w:ascii="Arial" w:hAnsi="Arial" w:cs="Arial"/>
                <w:color w:val="000000"/>
                <w:sz w:val="21"/>
                <w:szCs w:val="21"/>
              </w:rPr>
              <w:t>s donde se definen los puntos mencionados y el Proceso de Riesgos verifica su cumplimiento.</w:t>
            </w:r>
          </w:p>
          <w:p w14:paraId="6E394180" w14:textId="77777777"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t>Riesgos operativos:</w:t>
            </w:r>
            <w:r w:rsidRPr="000916C6">
              <w:rPr>
                <w:rFonts w:ascii="Arial" w:hAnsi="Arial" w:cs="Arial"/>
                <w:sz w:val="21"/>
                <w:szCs w:val="21"/>
              </w:rPr>
              <w:t xml:space="preserve"> </w:t>
            </w:r>
            <w:r w:rsidRPr="000916C6">
              <w:rPr>
                <w:rFonts w:ascii="Arial" w:hAnsi="Arial" w:cs="Arial"/>
                <w:color w:val="000000"/>
                <w:sz w:val="21"/>
                <w:szCs w:val="21"/>
              </w:rPr>
              <w:t>El Grupo Financiero cuenta con un departamento de Gestión de Riesgos que se encarga de elaborar un marco de trabajo que documenta un nivel común y acordado de los riesgos de la entidad, estrategias de mitigación y riesgos residuales acordados. Cualquier evento que genere un impacto potencial sobre las metas de la organización, causado por alguna falla en la operación, se debe identificar, documentar, analizar y evaluar.</w:t>
            </w:r>
          </w:p>
          <w:p w14:paraId="2592C795" w14:textId="030FBC78"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t xml:space="preserve">Riesgos legales: </w:t>
            </w:r>
            <w:r w:rsidRPr="000916C6">
              <w:rPr>
                <w:rFonts w:ascii="Arial" w:hAnsi="Arial" w:cs="Arial"/>
                <w:color w:val="000000"/>
                <w:sz w:val="21"/>
                <w:szCs w:val="21"/>
              </w:rPr>
              <w:t>Multifondos cuenta con la asesoría de expertos en temas de derecho bursátil, el Grupo Financiero posee un departamento de auditoría interna y es sometida a constantes auditorías externas que permiten reducir los riesgos asociados a demandas legales. Multifondos velará que el fondo cumpla con todos los requerimientos establecidos por la normativa vigente, así como el cumplimiento de los demás factores que pueden tener un impacto sobre la continuidad del fondo y/o la sociedad administradora. El Proceso de Gestión de Riesgos realizará evaluaciones periódicas del cumplimiento de la normativa</w:t>
            </w:r>
            <w:r w:rsidRPr="000916C6">
              <w:rPr>
                <w:rFonts w:ascii="Arial" w:hAnsi="Arial" w:cs="Arial"/>
                <w:sz w:val="21"/>
                <w:szCs w:val="21"/>
              </w:rPr>
              <w:t>.</w:t>
            </w:r>
          </w:p>
          <w:p w14:paraId="20300667" w14:textId="3053EDC8" w:rsidR="009E2FF7" w:rsidRPr="000916C6" w:rsidRDefault="009E2FF7" w:rsidP="009E2FF7">
            <w:pPr>
              <w:jc w:val="both"/>
              <w:rPr>
                <w:rFonts w:ascii="Arial" w:hAnsi="Arial" w:cs="Arial"/>
                <w:sz w:val="21"/>
                <w:szCs w:val="21"/>
              </w:rPr>
            </w:pPr>
            <w:r w:rsidRPr="000916C6">
              <w:rPr>
                <w:rFonts w:ascii="Arial" w:hAnsi="Arial" w:cs="Arial"/>
                <w:b/>
                <w:sz w:val="21"/>
                <w:szCs w:val="21"/>
              </w:rPr>
              <w:t>Riesgo de afectación en el valor de las participaciones por la aplicación incorrecta de las normas contables:</w:t>
            </w:r>
            <w:r w:rsidRPr="000916C6">
              <w:rPr>
                <w:rFonts w:ascii="Arial" w:hAnsi="Arial" w:cs="Arial"/>
                <w:sz w:val="21"/>
                <w:szCs w:val="21"/>
              </w:rPr>
              <w:t xml:space="preserve"> </w:t>
            </w:r>
            <w:r w:rsidR="00B97D15" w:rsidRPr="000916C6">
              <w:rPr>
                <w:rFonts w:ascii="Arial" w:hAnsi="Arial" w:cs="Arial"/>
                <w:sz w:val="21"/>
                <w:szCs w:val="21"/>
              </w:rPr>
              <w:t xml:space="preserve">se administra por medio de control cruzado entre los procesos de fondos de inversión y contabilidad.  Los procedimientos contables por parte del proceso respectivo están </w:t>
            </w:r>
            <w:r w:rsidR="00B97D15" w:rsidRPr="000916C6">
              <w:rPr>
                <w:rFonts w:ascii="Arial" w:hAnsi="Arial" w:cs="Arial"/>
                <w:sz w:val="21"/>
                <w:szCs w:val="21"/>
              </w:rPr>
              <w:lastRenderedPageBreak/>
              <w:t>claramente definidos. Adicionalmente, la aplicación de los modelos de negocios y sus parámetros son validados por la Unidad de Riesgos.</w:t>
            </w:r>
          </w:p>
          <w:p w14:paraId="285E9631" w14:textId="77777777" w:rsidR="006511AF" w:rsidRPr="000916C6" w:rsidRDefault="009E2FF7" w:rsidP="009E2FF7">
            <w:pPr>
              <w:spacing w:before="120" w:after="120"/>
              <w:jc w:val="both"/>
              <w:rPr>
                <w:rFonts w:ascii="Arial" w:hAnsi="Arial" w:cs="Arial"/>
                <w:sz w:val="21"/>
                <w:szCs w:val="21"/>
              </w:rPr>
            </w:pPr>
            <w:r w:rsidRPr="000916C6">
              <w:rPr>
                <w:rFonts w:ascii="Arial" w:hAnsi="Arial" w:cs="Arial"/>
                <w:b/>
                <w:sz w:val="21"/>
                <w:szCs w:val="21"/>
              </w:rPr>
              <w:t xml:space="preserve">Riesgo de valoración de activos a costo amortizado: </w:t>
            </w:r>
            <w:r w:rsidR="006511AF" w:rsidRPr="000916C6">
              <w:rPr>
                <w:rFonts w:ascii="Arial" w:hAnsi="Arial" w:cs="Arial"/>
                <w:sz w:val="21"/>
                <w:szCs w:val="21"/>
              </w:rPr>
              <w:t>se administra por medio de una adecuada gestión del flujo de caja para pago de beneficios y obligaciones, de manera que se minimice la posibilidad del fondo de realizar ventas para cubrir necesidades de liquidez.</w:t>
            </w:r>
          </w:p>
          <w:p w14:paraId="772B00CD" w14:textId="77777777" w:rsidR="00B97D15" w:rsidRPr="000916C6" w:rsidRDefault="009E2FF7" w:rsidP="00603CD8">
            <w:pPr>
              <w:spacing w:before="120" w:after="120"/>
              <w:jc w:val="both"/>
              <w:rPr>
                <w:rFonts w:ascii="Arial" w:hAnsi="Arial" w:cs="Arial"/>
                <w:sz w:val="21"/>
                <w:szCs w:val="21"/>
              </w:rPr>
            </w:pPr>
            <w:r w:rsidRPr="000916C6">
              <w:rPr>
                <w:rFonts w:ascii="Arial" w:hAnsi="Arial" w:cs="Arial"/>
                <w:b/>
                <w:sz w:val="21"/>
                <w:szCs w:val="21"/>
              </w:rPr>
              <w:t xml:space="preserve">Riesgo por una incorrecta estimación del valor de deterioro de los activos: </w:t>
            </w:r>
            <w:r w:rsidR="00B97D15" w:rsidRPr="000916C6">
              <w:rPr>
                <w:rFonts w:ascii="Arial" w:hAnsi="Arial" w:cs="Arial"/>
                <w:sz w:val="21"/>
                <w:szCs w:val="21"/>
              </w:rPr>
              <w:t xml:space="preserve">se administra por medio de la evaluación, revisión y cálculos del modelo y los parámetros de la metodología de pérdidas crediticias, en coordinación con la Unidad de Riesgos, conforme a los procedimientos internos de control de riesgos operativos.  </w:t>
            </w:r>
          </w:p>
          <w:p w14:paraId="0AFF712E" w14:textId="31B13AD6"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t xml:space="preserve">Riesgo por desinscripción del fondo de inversión del registro nacional de valores e intermediarios: </w:t>
            </w:r>
            <w:r w:rsidRPr="000916C6">
              <w:rPr>
                <w:rFonts w:ascii="Arial" w:hAnsi="Arial" w:cs="Arial"/>
                <w:sz w:val="21"/>
                <w:szCs w:val="21"/>
              </w:rPr>
              <w:t>Multifondos velará que el fondo cumpla con todos los requerimientos establecidos por la normativa vigente, así como el cumplimiento de los demás factores que pueden tener un impacto sobre la continuidad del fondo y/o la sociedad administradora. Para la gestión de los riesgos, la empresa cuenta con una estructura organizacional que le permite ejercer un control sobre estos factores, para esto, la entidad cuenta con el apoyo del Proceso de Gestión de Riesgos y el departamento de Auditoría Interna.</w:t>
            </w:r>
          </w:p>
          <w:p w14:paraId="04A5A138" w14:textId="77777777"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t>Riesgos sistémicos:</w:t>
            </w:r>
            <w:r w:rsidRPr="000916C6">
              <w:rPr>
                <w:rFonts w:ascii="Arial" w:hAnsi="Arial" w:cs="Arial"/>
                <w:sz w:val="21"/>
                <w:szCs w:val="21"/>
              </w:rPr>
              <w:t xml:space="preserve"> La sociedad administradora y el Comité de Inversiones realizan evaluaciones periódicas de las principales variables macroeconómicas que afectan las condiciones del mercado y pueden generar efectos adversos en las inversiones del fondo, para esto cuentan con el apoyo de analistas especializados.  El Proceso de Gestión de Riesgos realizará informes periódicos sobre el cumplimiento de las políticas de inversión y el impacto de diferentes variables macroeconómicas sobre la rentabilidad del fondo.</w:t>
            </w:r>
          </w:p>
          <w:p w14:paraId="61269AF6" w14:textId="644FB8CA"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t>Riesgos no sistémicos</w:t>
            </w:r>
            <w:r w:rsidRPr="000916C6">
              <w:rPr>
                <w:rFonts w:ascii="Arial" w:hAnsi="Arial" w:cs="Arial"/>
                <w:sz w:val="21"/>
                <w:szCs w:val="21"/>
              </w:rPr>
              <w:t xml:space="preserve"> del Fondo, puede aminorarse mediante una apropiada diversificación de la cartera de valores, de la misma forma las políticas de diversificación de inmuebles y arrendatarios procurarán minimizar el riesgo de desocupación del fondo.</w:t>
            </w:r>
          </w:p>
          <w:p w14:paraId="2113C35C" w14:textId="516A1E17" w:rsidR="003755CC" w:rsidRPr="000916C6" w:rsidRDefault="003755CC" w:rsidP="00603CD8">
            <w:pPr>
              <w:spacing w:before="120" w:after="120"/>
              <w:jc w:val="both"/>
              <w:rPr>
                <w:rFonts w:ascii="Arial" w:hAnsi="Arial" w:cs="Arial"/>
                <w:color w:val="000000"/>
                <w:sz w:val="21"/>
                <w:szCs w:val="21"/>
              </w:rPr>
            </w:pPr>
            <w:r w:rsidRPr="000916C6">
              <w:rPr>
                <w:rFonts w:ascii="Arial" w:hAnsi="Arial" w:cs="Arial"/>
                <w:b/>
                <w:sz w:val="21"/>
                <w:szCs w:val="21"/>
              </w:rPr>
              <w:t>Riesgo de iliquidez de los títulos de participación:</w:t>
            </w:r>
            <w:r w:rsidRPr="000916C6">
              <w:rPr>
                <w:rFonts w:ascii="Arial" w:hAnsi="Arial" w:cs="Arial"/>
                <w:color w:val="000000"/>
                <w:sz w:val="21"/>
                <w:szCs w:val="21"/>
                <w:lang w:val="es-CR"/>
              </w:rPr>
              <w:t xml:space="preserve"> </w:t>
            </w:r>
            <w:r w:rsidRPr="000916C6">
              <w:rPr>
                <w:rFonts w:ascii="Arial" w:hAnsi="Arial" w:cs="Arial"/>
                <w:color w:val="000000"/>
                <w:sz w:val="21"/>
                <w:szCs w:val="21"/>
              </w:rPr>
              <w:t>Multifondos y el comité de inversiones realizan evaluaciones periódicas de las condiciones del mercado bursátil y la industria inmobiliaria, así como las demás variables que pueden incidir negativamente sobre la negociación de las participaciones del fondo. La sociedad administradora cuenta con estrategias de mercadeo y ventas, así como con entes comercializadores que facilitan la negociación de los títulos de participación.</w:t>
            </w:r>
            <w:r w:rsidR="0075167F" w:rsidRPr="000916C6">
              <w:rPr>
                <w:rFonts w:ascii="Arial" w:hAnsi="Arial" w:cs="Arial"/>
                <w:sz w:val="21"/>
                <w:szCs w:val="21"/>
              </w:rPr>
              <w:t xml:space="preserve"> </w:t>
            </w:r>
            <w:r w:rsidR="0075167F" w:rsidRPr="000916C6">
              <w:rPr>
                <w:rFonts w:ascii="Arial" w:hAnsi="Arial" w:cs="Arial"/>
                <w:color w:val="000000"/>
                <w:sz w:val="21"/>
                <w:szCs w:val="21"/>
              </w:rPr>
              <w:t>Adicionalmente, conforme a la normativa vigente, los fondos cerrados pueden realizar la recompra de participaciones en situaciones de iliquidez de mercado, previa aprobación de la Asamblea de Inversionistas y</w:t>
            </w:r>
            <w:r w:rsidR="00964B6A" w:rsidRPr="000916C6">
              <w:rPr>
                <w:rFonts w:ascii="Arial" w:hAnsi="Arial" w:cs="Arial"/>
                <w:color w:val="000000"/>
                <w:sz w:val="21"/>
                <w:szCs w:val="21"/>
              </w:rPr>
              <w:t xml:space="preserve"> de la SUGEVAL</w:t>
            </w:r>
            <w:r w:rsidR="0045779D" w:rsidRPr="000916C6">
              <w:rPr>
                <w:rFonts w:ascii="Arial" w:hAnsi="Arial" w:cs="Arial"/>
                <w:color w:val="000000"/>
                <w:sz w:val="21"/>
                <w:szCs w:val="21"/>
              </w:rPr>
              <w:t>,</w:t>
            </w:r>
            <w:r w:rsidR="0075167F" w:rsidRPr="000916C6">
              <w:rPr>
                <w:rFonts w:ascii="Arial" w:hAnsi="Arial" w:cs="Arial"/>
                <w:color w:val="000000"/>
                <w:sz w:val="21"/>
                <w:szCs w:val="21"/>
              </w:rPr>
              <w:t xml:space="preserve"> siguiendo el procedimiento establecido.</w:t>
            </w:r>
          </w:p>
          <w:p w14:paraId="0E3A5ACB" w14:textId="77777777" w:rsidR="003755CC" w:rsidRPr="000916C6" w:rsidRDefault="003755CC" w:rsidP="00603CD8">
            <w:pPr>
              <w:spacing w:before="120" w:after="120"/>
              <w:jc w:val="both"/>
              <w:rPr>
                <w:rFonts w:ascii="Arial" w:hAnsi="Arial" w:cs="Arial"/>
                <w:b/>
                <w:sz w:val="21"/>
                <w:szCs w:val="21"/>
                <w:lang w:val="es-CR"/>
              </w:rPr>
            </w:pPr>
            <w:r w:rsidRPr="000916C6">
              <w:rPr>
                <w:rFonts w:ascii="Arial" w:hAnsi="Arial" w:cs="Arial"/>
                <w:b/>
                <w:sz w:val="21"/>
                <w:szCs w:val="21"/>
              </w:rPr>
              <w:t>Riesgo por cambio en el tratamiento tributario de los Fondos de Inversión:</w:t>
            </w:r>
            <w:r w:rsidRPr="000916C6">
              <w:rPr>
                <w:rFonts w:ascii="Arial" w:hAnsi="Arial" w:cs="Arial"/>
                <w:color w:val="000000"/>
                <w:sz w:val="21"/>
                <w:szCs w:val="21"/>
                <w:lang w:val="es-CR"/>
              </w:rPr>
              <w:t xml:space="preserve"> </w:t>
            </w:r>
            <w:r w:rsidRPr="000916C6">
              <w:rPr>
                <w:rFonts w:ascii="Arial" w:hAnsi="Arial" w:cs="Arial"/>
                <w:sz w:val="21"/>
                <w:szCs w:val="21"/>
              </w:rPr>
              <w:t>La sociedad administradora gestiona este riesgo mediante la asesoría de expertos en materia tributaria y legal que brindan informes cuando existan propuestas de cambio a la legislación que le permiten a la empresa estar informada del acontecer actual de las regulaciones en materia tributaria.</w:t>
            </w:r>
          </w:p>
          <w:p w14:paraId="6FB9E453" w14:textId="77777777" w:rsidR="003755CC" w:rsidRPr="000916C6" w:rsidRDefault="003755CC" w:rsidP="00603CD8">
            <w:pPr>
              <w:spacing w:before="120" w:after="120"/>
              <w:jc w:val="both"/>
              <w:rPr>
                <w:rFonts w:ascii="Arial" w:hAnsi="Arial" w:cs="Arial"/>
                <w:sz w:val="21"/>
                <w:szCs w:val="21"/>
                <w:lang w:val="es-CR"/>
              </w:rPr>
            </w:pPr>
            <w:r w:rsidRPr="000916C6">
              <w:rPr>
                <w:rFonts w:ascii="Arial" w:hAnsi="Arial" w:cs="Arial"/>
                <w:b/>
                <w:sz w:val="21"/>
                <w:szCs w:val="21"/>
                <w:lang w:val="es-CR"/>
              </w:rPr>
              <w:t>Riesgo por la moneda de redención de las participaciones</w:t>
            </w:r>
            <w:r w:rsidRPr="000916C6">
              <w:rPr>
                <w:rFonts w:ascii="Arial" w:hAnsi="Arial" w:cs="Arial"/>
                <w:sz w:val="21"/>
                <w:szCs w:val="21"/>
                <w:lang w:val="es-CR"/>
              </w:rPr>
              <w:t xml:space="preserve"> lo enfrenta el inversionista, Multifondos no lo puede gestionar dado que dependería de variables legales y coyunturales del país, ordenadas por las autoridades gubernamentales y monetarias de turno.</w:t>
            </w:r>
          </w:p>
          <w:p w14:paraId="49794867" w14:textId="77777777" w:rsidR="003755CC" w:rsidRPr="000916C6" w:rsidRDefault="003755CC" w:rsidP="00603CD8">
            <w:pPr>
              <w:spacing w:before="120" w:after="120"/>
              <w:jc w:val="both"/>
              <w:rPr>
                <w:rFonts w:ascii="Arial" w:hAnsi="Arial" w:cs="Arial"/>
                <w:sz w:val="21"/>
                <w:szCs w:val="21"/>
                <w:lang w:val="es-CR"/>
              </w:rPr>
            </w:pPr>
            <w:r w:rsidRPr="000916C6">
              <w:rPr>
                <w:rFonts w:ascii="Arial" w:hAnsi="Arial" w:cs="Arial"/>
                <w:b/>
                <w:sz w:val="21"/>
                <w:szCs w:val="21"/>
                <w:lang w:val="es-CR"/>
              </w:rPr>
              <w:t xml:space="preserve">Riesgo por procesos judiciales y administrativos en contra de la sociedad administradora y del fondo de inversión: </w:t>
            </w:r>
            <w:r w:rsidRPr="000916C6">
              <w:rPr>
                <w:rFonts w:ascii="Arial" w:hAnsi="Arial" w:cs="Arial"/>
                <w:sz w:val="21"/>
                <w:szCs w:val="21"/>
                <w:lang w:val="es-CR"/>
              </w:rPr>
              <w:t>Multifondos cuenta con la asesoría de expertos en temas de derecho, la empresa posee un departamento de Auditoría Interna y es sometida a constantes auditorías externas que permiten reducir los riesgos asociados a demandas legales.</w:t>
            </w:r>
          </w:p>
          <w:p w14:paraId="4CDB61D2" w14:textId="77777777"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lastRenderedPageBreak/>
              <w:t>Riesgos de siniestros:</w:t>
            </w:r>
            <w:r w:rsidRPr="000916C6">
              <w:rPr>
                <w:rFonts w:ascii="Arial" w:hAnsi="Arial" w:cs="Arial"/>
                <w:sz w:val="21"/>
                <w:szCs w:val="21"/>
              </w:rPr>
              <w:t xml:space="preserve"> Todos los activos que formen parte del proyecto, así como los inmuebles adquiridos o terminados, deben contar con seguros suficientes para la cobertura de siniestros.  Estos deben ser contratados con una empresa autorizada por la SUGESE.  La sociedad administradora será responsable de suscribir, con cargo al fondo, todos los seguros contratados. Anualmente, Multifondos debe realizar actualizaciones de las coberturas con base en el valor de los activos administrados. Para esto, se evaluarán aspectos como: exclusiones, deducibles o coberturas insuficientes.  Adicionalmente, se podrá contar con asesorías de peritos que permitan eliminar casi totalmente la exposición a este riesgo.</w:t>
            </w:r>
          </w:p>
          <w:p w14:paraId="17449D4B" w14:textId="77777777" w:rsidR="003755CC" w:rsidRPr="000916C6" w:rsidRDefault="003755CC" w:rsidP="00603CD8">
            <w:pPr>
              <w:spacing w:before="120" w:after="120"/>
              <w:jc w:val="both"/>
              <w:rPr>
                <w:rFonts w:ascii="Arial" w:hAnsi="Arial" w:cs="Arial"/>
                <w:sz w:val="21"/>
                <w:szCs w:val="21"/>
              </w:rPr>
            </w:pPr>
            <w:r w:rsidRPr="000916C6">
              <w:rPr>
                <w:rFonts w:ascii="Arial" w:hAnsi="Arial" w:cs="Arial"/>
                <w:b/>
                <w:sz w:val="21"/>
                <w:szCs w:val="21"/>
              </w:rPr>
              <w:t>Riesgo de desocupación de los inmuebles:</w:t>
            </w:r>
            <w:r w:rsidRPr="000916C6">
              <w:rPr>
                <w:rFonts w:ascii="Arial" w:hAnsi="Arial" w:cs="Arial"/>
                <w:sz w:val="21"/>
                <w:szCs w:val="21"/>
              </w:rPr>
              <w:t xml:space="preserve"> </w:t>
            </w:r>
            <w:r w:rsidRPr="000916C6">
              <w:rPr>
                <w:rFonts w:ascii="Arial" w:hAnsi="Arial" w:cs="Arial"/>
                <w:color w:val="000000"/>
                <w:sz w:val="21"/>
                <w:szCs w:val="21"/>
              </w:rPr>
              <w:t>Para gestionar este riesgo, Multifondos velará por mantener una cartera de corredores de bienes raíces que permitan una recolocación de los ingresos en caso de ser necesario, se realizarán análisis continuos de las condiciones del mercado inmobiliario para la implantación de estrategias de mercadeo y publicidad</w:t>
            </w:r>
            <w:r w:rsidRPr="000916C6">
              <w:rPr>
                <w:rFonts w:ascii="Arial" w:hAnsi="Arial" w:cs="Arial"/>
                <w:sz w:val="21"/>
                <w:szCs w:val="21"/>
              </w:rPr>
              <w:t>.</w:t>
            </w:r>
          </w:p>
          <w:p w14:paraId="3E52FE38" w14:textId="77777777" w:rsidR="003755CC" w:rsidRPr="000916C6" w:rsidRDefault="003755CC" w:rsidP="00603CD8">
            <w:pPr>
              <w:jc w:val="both"/>
              <w:rPr>
                <w:rFonts w:ascii="Arial" w:hAnsi="Arial" w:cs="Arial"/>
                <w:sz w:val="21"/>
                <w:szCs w:val="21"/>
              </w:rPr>
            </w:pPr>
            <w:r w:rsidRPr="000916C6">
              <w:rPr>
                <w:rFonts w:ascii="Arial" w:hAnsi="Arial" w:cs="Arial"/>
                <w:b/>
                <w:sz w:val="21"/>
                <w:szCs w:val="21"/>
              </w:rPr>
              <w:t>Riesgo por la concentración de inmuebles:</w:t>
            </w:r>
            <w:r w:rsidRPr="000916C6">
              <w:rPr>
                <w:rFonts w:ascii="Arial" w:hAnsi="Arial" w:cs="Arial"/>
                <w:sz w:val="21"/>
                <w:szCs w:val="21"/>
              </w:rPr>
              <w:t xml:space="preserve"> </w:t>
            </w:r>
            <w:r w:rsidRPr="000916C6">
              <w:rPr>
                <w:rFonts w:ascii="Arial" w:hAnsi="Arial" w:cs="Arial"/>
                <w:color w:val="000000"/>
                <w:sz w:val="21"/>
                <w:szCs w:val="21"/>
              </w:rPr>
              <w:t>La sociedad administradora debe velar por una adecuada diversificación seleccionando propiedades con un proceso de debida diligencia que permita evaluar a profundidad las adquisiciones tomando en cuenta variables como diversificación geográfica, ubicación en zonas de alta plusvalía, estado del inmueble, antigüedad de la construcción y posibilidades de recolocación de los espacios.</w:t>
            </w:r>
          </w:p>
          <w:p w14:paraId="10EF781F" w14:textId="77777777" w:rsidR="003755CC" w:rsidRPr="000916C6" w:rsidRDefault="003755CC" w:rsidP="00603CD8">
            <w:pPr>
              <w:spacing w:before="120" w:after="120"/>
              <w:jc w:val="both"/>
              <w:rPr>
                <w:rFonts w:ascii="Arial" w:hAnsi="Arial" w:cs="Arial"/>
                <w:color w:val="000000"/>
                <w:sz w:val="21"/>
                <w:szCs w:val="21"/>
              </w:rPr>
            </w:pPr>
            <w:r w:rsidRPr="000916C6">
              <w:rPr>
                <w:rFonts w:ascii="Arial" w:hAnsi="Arial" w:cs="Arial"/>
                <w:b/>
                <w:sz w:val="21"/>
                <w:szCs w:val="21"/>
              </w:rPr>
              <w:t>Riesgo por la concentración de arrendatarios:</w:t>
            </w:r>
            <w:r w:rsidRPr="000916C6">
              <w:rPr>
                <w:rFonts w:ascii="Arial" w:hAnsi="Arial" w:cs="Arial"/>
                <w:sz w:val="21"/>
                <w:szCs w:val="21"/>
              </w:rPr>
              <w:t xml:space="preserve"> </w:t>
            </w:r>
            <w:r w:rsidRPr="000916C6">
              <w:rPr>
                <w:rFonts w:ascii="Arial" w:hAnsi="Arial" w:cs="Arial"/>
                <w:color w:val="000000"/>
                <w:sz w:val="21"/>
                <w:szCs w:val="21"/>
              </w:rPr>
              <w:t>Para minimizar este riesgo, la sociedad administradora debe asegurarse de mantener una adecuada diversificación de la cartera de inquilinos identificando diferentes sectores de arrendamiento. Asimismo, se verificará porque estos no tengan actividades productivas similares.</w:t>
            </w:r>
          </w:p>
          <w:p w14:paraId="4DE00591" w14:textId="77777777" w:rsidR="003755CC" w:rsidRPr="000916C6" w:rsidRDefault="003755CC" w:rsidP="00603CD8">
            <w:pPr>
              <w:spacing w:before="120" w:after="120"/>
              <w:jc w:val="both"/>
              <w:rPr>
                <w:rFonts w:ascii="Arial" w:hAnsi="Arial" w:cs="Arial"/>
                <w:sz w:val="21"/>
                <w:szCs w:val="21"/>
              </w:rPr>
            </w:pPr>
            <w:r w:rsidRPr="000916C6">
              <w:rPr>
                <w:rFonts w:ascii="Arial" w:hAnsi="Arial" w:cs="Arial"/>
                <w:b/>
                <w:color w:val="000000"/>
                <w:sz w:val="21"/>
                <w:szCs w:val="21"/>
              </w:rPr>
              <w:t>Riesgo por la discreción de la sociedad administradora</w:t>
            </w:r>
            <w:r w:rsidRPr="000916C6">
              <w:rPr>
                <w:rFonts w:ascii="Arial" w:hAnsi="Arial" w:cs="Arial"/>
                <w:b/>
                <w:sz w:val="21"/>
                <w:szCs w:val="21"/>
              </w:rPr>
              <w:t xml:space="preserve"> para la compra de los bienes inmuebles:</w:t>
            </w:r>
            <w:r w:rsidRPr="000916C6">
              <w:rPr>
                <w:rFonts w:ascii="Arial" w:hAnsi="Arial" w:cs="Arial"/>
                <w:sz w:val="21"/>
                <w:szCs w:val="21"/>
              </w:rPr>
              <w:t xml:space="preserve"> Las inversiones en inmuebles por parte del fondo deben ser justificadas mediante un análisis detallado realizado por profesionales expertos en el sector inmobiliario. Toda adquisición de activos debe ser aprobada por el Comité de Inversiones, Multifondos debe asegurarse de que en la integración de los órganos de decisión se cuente con al menos un miembro capacitado.</w:t>
            </w:r>
          </w:p>
          <w:p w14:paraId="26427062" w14:textId="3D6FBCC7" w:rsidR="003755CC" w:rsidRPr="000916C6" w:rsidRDefault="003755CC" w:rsidP="00603CD8">
            <w:pPr>
              <w:spacing w:before="120" w:after="120"/>
              <w:jc w:val="both"/>
              <w:rPr>
                <w:rFonts w:ascii="Arial" w:hAnsi="Arial" w:cs="Arial"/>
                <w:color w:val="000000"/>
                <w:sz w:val="21"/>
                <w:szCs w:val="21"/>
                <w:lang w:val="es-CR"/>
              </w:rPr>
            </w:pPr>
            <w:r w:rsidRPr="000916C6">
              <w:rPr>
                <w:rFonts w:ascii="Arial" w:hAnsi="Arial" w:cs="Arial"/>
                <w:b/>
                <w:color w:val="000000"/>
                <w:sz w:val="21"/>
                <w:szCs w:val="21"/>
                <w:lang w:val="es-CR"/>
              </w:rPr>
              <w:t xml:space="preserve">Riesgo por el arrendamiento de inmuebles a un nivel inferior al de mercado: </w:t>
            </w:r>
            <w:r w:rsidRPr="000916C6">
              <w:rPr>
                <w:rFonts w:ascii="Arial" w:hAnsi="Arial" w:cs="Arial"/>
                <w:color w:val="000000"/>
                <w:sz w:val="21"/>
                <w:szCs w:val="21"/>
                <w:lang w:val="es-CR"/>
              </w:rPr>
              <w:t>La sociedad administradora se encargará de evaluar e informar al Comité de Inversiones, con la periodicidad que se estime necesaria, las condiciones de arrendamiento de los distintos sectores de la economía para establecer benchmarks que permitan dar seguimiento a las tendencias del mercado y una mejor toma de decisiones.</w:t>
            </w:r>
          </w:p>
          <w:p w14:paraId="5DDE17DF" w14:textId="77777777" w:rsidR="003755CC" w:rsidRPr="000916C6" w:rsidRDefault="003755CC" w:rsidP="00603CD8">
            <w:pPr>
              <w:ind w:left="-32"/>
              <w:jc w:val="both"/>
              <w:rPr>
                <w:rFonts w:ascii="Arial" w:hAnsi="Arial" w:cs="Arial"/>
                <w:color w:val="000000"/>
                <w:sz w:val="21"/>
                <w:szCs w:val="21"/>
              </w:rPr>
            </w:pPr>
            <w:r w:rsidRPr="000916C6">
              <w:rPr>
                <w:rFonts w:ascii="Arial" w:hAnsi="Arial" w:cs="Arial"/>
                <w:b/>
                <w:color w:val="000000"/>
                <w:sz w:val="21"/>
                <w:szCs w:val="21"/>
              </w:rPr>
              <w:t>Riesgo por concentración geográfica:</w:t>
            </w:r>
            <w:r w:rsidRPr="000916C6">
              <w:rPr>
                <w:rFonts w:ascii="Arial" w:hAnsi="Arial" w:cs="Arial"/>
                <w:color w:val="000000"/>
                <w:sz w:val="21"/>
                <w:szCs w:val="21"/>
              </w:rPr>
              <w:t xml:space="preserve"> Según la normativa vigente, los fondos inmobiliarios pueden invertir en inmuebles construidos, ya sea dentro o fuera del territorio nacional. Para reducir el impacto de este riesgo, la sociedad administradora debe asegurarse de mantener una adecuada diversificación seleccionando propiedades con un proceso de debida diligencia que permita evaluar a profundidad las adquisiciones tomando en cuenta variables como diversificación geográfica, ubicación en zonas de alta plusvalía, estado del inmueble, antigüedad de la construcción y posibilidades de recolocación de los espacios de los activos administrados, Multifondos y el Comité de Inversiones evalúan los aspectos anteriormente señalados cada vez que se vaya a ser una nueva adquisición por parte del fondo.</w:t>
            </w:r>
          </w:p>
          <w:p w14:paraId="2C46AFAA" w14:textId="6FECDBA2" w:rsidR="003755CC" w:rsidRPr="000916C6" w:rsidRDefault="003755CC" w:rsidP="00603CD8">
            <w:pPr>
              <w:spacing w:before="120" w:after="120"/>
              <w:jc w:val="both"/>
              <w:rPr>
                <w:rFonts w:ascii="Arial" w:hAnsi="Arial" w:cs="Arial"/>
                <w:color w:val="000000"/>
                <w:sz w:val="21"/>
                <w:szCs w:val="21"/>
                <w:lang w:val="es-CR"/>
              </w:rPr>
            </w:pPr>
            <w:r w:rsidRPr="000916C6">
              <w:rPr>
                <w:rFonts w:ascii="Arial" w:hAnsi="Arial" w:cs="Arial"/>
                <w:b/>
                <w:color w:val="000000"/>
                <w:sz w:val="21"/>
                <w:szCs w:val="21"/>
                <w:lang w:val="es-CR"/>
              </w:rPr>
              <w:t xml:space="preserve">Riesgo por valoraciones de las propiedades del fondo: </w:t>
            </w:r>
            <w:r w:rsidRPr="000916C6">
              <w:rPr>
                <w:rFonts w:ascii="Arial" w:hAnsi="Arial" w:cs="Arial"/>
                <w:color w:val="000000"/>
                <w:sz w:val="21"/>
                <w:szCs w:val="21"/>
                <w:lang w:val="es-CR"/>
              </w:rPr>
              <w:t>Multifondos velará por</w:t>
            </w:r>
            <w:r w:rsidR="00F65EAA" w:rsidRPr="000916C6">
              <w:rPr>
                <w:rFonts w:ascii="Arial" w:hAnsi="Arial" w:cs="Arial"/>
                <w:color w:val="000000"/>
                <w:sz w:val="21"/>
                <w:szCs w:val="21"/>
                <w:lang w:val="es-CR"/>
              </w:rPr>
              <w:t xml:space="preserve"> contratar</w:t>
            </w:r>
            <w:r w:rsidR="00D377CA" w:rsidRPr="000916C6">
              <w:rPr>
                <w:rFonts w:ascii="Arial" w:hAnsi="Arial" w:cs="Arial"/>
                <w:color w:val="000000"/>
                <w:sz w:val="21"/>
                <w:szCs w:val="21"/>
                <w:lang w:val="es-CR"/>
              </w:rPr>
              <w:t xml:space="preserve"> firmas profesionales</w:t>
            </w:r>
            <w:r w:rsidRPr="000916C6">
              <w:rPr>
                <w:rFonts w:ascii="Arial" w:hAnsi="Arial" w:cs="Arial"/>
                <w:color w:val="000000"/>
                <w:sz w:val="21"/>
                <w:szCs w:val="21"/>
                <w:lang w:val="es-CR"/>
              </w:rPr>
              <w:t xml:space="preserve"> </w:t>
            </w:r>
            <w:r w:rsidR="00F65EAA" w:rsidRPr="000916C6">
              <w:rPr>
                <w:rFonts w:ascii="Arial" w:hAnsi="Arial" w:cs="Arial"/>
                <w:color w:val="000000"/>
                <w:sz w:val="21"/>
                <w:szCs w:val="21"/>
                <w:lang w:val="es-CR"/>
              </w:rPr>
              <w:t xml:space="preserve">para </w:t>
            </w:r>
            <w:r w:rsidRPr="000916C6">
              <w:rPr>
                <w:rFonts w:ascii="Arial" w:hAnsi="Arial" w:cs="Arial"/>
                <w:color w:val="000000"/>
                <w:sz w:val="21"/>
                <w:szCs w:val="21"/>
                <w:lang w:val="es-CR"/>
              </w:rPr>
              <w:t>valora</w:t>
            </w:r>
            <w:r w:rsidR="00F65EAA" w:rsidRPr="000916C6">
              <w:rPr>
                <w:rFonts w:ascii="Arial" w:hAnsi="Arial" w:cs="Arial"/>
                <w:color w:val="000000"/>
                <w:sz w:val="21"/>
                <w:szCs w:val="21"/>
                <w:lang w:val="es-CR"/>
              </w:rPr>
              <w:t xml:space="preserve">r </w:t>
            </w:r>
            <w:r w:rsidRPr="000916C6">
              <w:rPr>
                <w:rFonts w:ascii="Arial" w:hAnsi="Arial" w:cs="Arial"/>
                <w:color w:val="000000"/>
                <w:sz w:val="21"/>
                <w:szCs w:val="21"/>
                <w:lang w:val="es-CR"/>
              </w:rPr>
              <w:t>los inmuebles</w:t>
            </w:r>
            <w:r w:rsidR="00F65EAA" w:rsidRPr="000916C6">
              <w:rPr>
                <w:rFonts w:ascii="Arial" w:hAnsi="Arial" w:cs="Arial"/>
                <w:color w:val="000000"/>
                <w:sz w:val="21"/>
                <w:szCs w:val="21"/>
                <w:lang w:val="es-CR"/>
              </w:rPr>
              <w:t xml:space="preserve"> del fondo</w:t>
            </w:r>
            <w:r w:rsidRPr="000916C6">
              <w:rPr>
                <w:rFonts w:ascii="Arial" w:hAnsi="Arial" w:cs="Arial"/>
                <w:color w:val="000000"/>
                <w:sz w:val="21"/>
                <w:szCs w:val="21"/>
                <w:lang w:val="es-CR"/>
              </w:rPr>
              <w:t xml:space="preserve"> </w:t>
            </w:r>
            <w:r w:rsidR="00F65EAA" w:rsidRPr="000916C6">
              <w:rPr>
                <w:rFonts w:ascii="Arial" w:hAnsi="Arial" w:cs="Arial"/>
                <w:color w:val="000000"/>
                <w:sz w:val="21"/>
                <w:szCs w:val="21"/>
                <w:lang w:val="es-CR"/>
              </w:rPr>
              <w:t xml:space="preserve">que </w:t>
            </w:r>
            <w:r w:rsidRPr="000916C6">
              <w:rPr>
                <w:rFonts w:ascii="Arial" w:hAnsi="Arial" w:cs="Arial"/>
                <w:color w:val="000000"/>
                <w:sz w:val="21"/>
                <w:szCs w:val="21"/>
                <w:lang w:val="es-CR"/>
              </w:rPr>
              <w:t xml:space="preserve">cuenten con </w:t>
            </w:r>
            <w:r w:rsidR="00F45247" w:rsidRPr="000916C6">
              <w:rPr>
                <w:rFonts w:ascii="Arial" w:hAnsi="Arial" w:cs="Arial"/>
                <w:color w:val="000000"/>
                <w:sz w:val="21"/>
                <w:szCs w:val="21"/>
                <w:lang w:val="es-CR"/>
              </w:rPr>
              <w:t xml:space="preserve">los </w:t>
            </w:r>
            <w:r w:rsidR="00F65EAA" w:rsidRPr="000916C6">
              <w:rPr>
                <w:rFonts w:ascii="Arial" w:hAnsi="Arial" w:cs="Arial"/>
                <w:color w:val="000000"/>
                <w:sz w:val="21"/>
                <w:szCs w:val="21"/>
                <w:lang w:val="es-CR"/>
              </w:rPr>
              <w:t xml:space="preserve">atestados </w:t>
            </w:r>
            <w:r w:rsidR="00F45247" w:rsidRPr="000916C6">
              <w:rPr>
                <w:rFonts w:ascii="Arial" w:hAnsi="Arial" w:cs="Arial"/>
                <w:color w:val="000000"/>
                <w:sz w:val="21"/>
                <w:szCs w:val="21"/>
                <w:lang w:val="es-CR"/>
              </w:rPr>
              <w:t>técnicos y regulatorios</w:t>
            </w:r>
            <w:r w:rsidRPr="000916C6">
              <w:rPr>
                <w:rFonts w:ascii="Arial" w:hAnsi="Arial" w:cs="Arial"/>
                <w:color w:val="000000"/>
                <w:sz w:val="21"/>
                <w:szCs w:val="21"/>
                <w:lang w:val="es-CR"/>
              </w:rPr>
              <w:t xml:space="preserve"> necesari</w:t>
            </w:r>
            <w:r w:rsidR="00F45247" w:rsidRPr="000916C6">
              <w:rPr>
                <w:rFonts w:ascii="Arial" w:hAnsi="Arial" w:cs="Arial"/>
                <w:color w:val="000000"/>
                <w:sz w:val="21"/>
                <w:szCs w:val="21"/>
                <w:lang w:val="es-CR"/>
              </w:rPr>
              <w:t>os</w:t>
            </w:r>
            <w:r w:rsidRPr="000916C6">
              <w:rPr>
                <w:rFonts w:ascii="Arial" w:hAnsi="Arial" w:cs="Arial"/>
                <w:color w:val="000000"/>
                <w:sz w:val="21"/>
                <w:szCs w:val="21"/>
                <w:lang w:val="es-CR"/>
              </w:rPr>
              <w:t xml:space="preserve"> para realizar estas funciones</w:t>
            </w:r>
            <w:r w:rsidR="006839A3" w:rsidRPr="000916C6">
              <w:rPr>
                <w:rFonts w:ascii="Arial" w:hAnsi="Arial" w:cs="Arial"/>
                <w:color w:val="000000"/>
                <w:sz w:val="21"/>
                <w:szCs w:val="21"/>
                <w:lang w:val="es-CR"/>
              </w:rPr>
              <w:t>.  Los</w:t>
            </w:r>
            <w:r w:rsidRPr="000916C6">
              <w:rPr>
                <w:rFonts w:ascii="Arial" w:hAnsi="Arial" w:cs="Arial"/>
                <w:color w:val="000000"/>
                <w:sz w:val="21"/>
                <w:szCs w:val="21"/>
                <w:lang w:val="es-CR"/>
              </w:rPr>
              <w:t xml:space="preserve"> </w:t>
            </w:r>
            <w:r w:rsidR="00F65EAA" w:rsidRPr="000916C6">
              <w:rPr>
                <w:rFonts w:ascii="Arial" w:hAnsi="Arial" w:cs="Arial"/>
                <w:color w:val="000000"/>
                <w:sz w:val="21"/>
                <w:szCs w:val="21"/>
                <w:lang w:val="es-CR"/>
              </w:rPr>
              <w:t xml:space="preserve">principales </w:t>
            </w:r>
            <w:r w:rsidRPr="000916C6">
              <w:rPr>
                <w:rFonts w:ascii="Arial" w:hAnsi="Arial" w:cs="Arial"/>
                <w:color w:val="000000"/>
                <w:sz w:val="21"/>
                <w:szCs w:val="21"/>
                <w:lang w:val="es-CR"/>
              </w:rPr>
              <w:t xml:space="preserve">criterios que inciden en la valoración de un inmueble serán </w:t>
            </w:r>
            <w:r w:rsidR="00F65EAA" w:rsidRPr="000916C6">
              <w:rPr>
                <w:rFonts w:ascii="Arial" w:hAnsi="Arial" w:cs="Arial"/>
                <w:color w:val="000000"/>
                <w:sz w:val="21"/>
                <w:szCs w:val="21"/>
                <w:lang w:val="es-CR"/>
              </w:rPr>
              <w:t xml:space="preserve">de conocimiento del </w:t>
            </w:r>
            <w:r w:rsidRPr="000916C6">
              <w:rPr>
                <w:rFonts w:ascii="Arial" w:hAnsi="Arial" w:cs="Arial"/>
                <w:color w:val="000000"/>
                <w:sz w:val="21"/>
                <w:szCs w:val="21"/>
                <w:lang w:val="es-CR"/>
              </w:rPr>
              <w:t>Comité de Inversiones.</w:t>
            </w:r>
          </w:p>
          <w:p w14:paraId="2ECDC495" w14:textId="77777777" w:rsidR="003755CC" w:rsidRPr="000916C6" w:rsidRDefault="003755CC" w:rsidP="00603CD8">
            <w:pPr>
              <w:spacing w:before="120" w:after="120"/>
              <w:jc w:val="both"/>
              <w:rPr>
                <w:rFonts w:ascii="Arial" w:hAnsi="Arial" w:cs="Arial"/>
                <w:sz w:val="21"/>
                <w:szCs w:val="21"/>
                <w:lang w:val="es-CR"/>
              </w:rPr>
            </w:pPr>
            <w:r w:rsidRPr="000916C6">
              <w:rPr>
                <w:rFonts w:ascii="Arial" w:hAnsi="Arial" w:cs="Arial"/>
                <w:b/>
                <w:color w:val="000000"/>
                <w:sz w:val="21"/>
                <w:szCs w:val="21"/>
                <w:lang w:val="es-CR"/>
              </w:rPr>
              <w:t xml:space="preserve">Riesgo por pérdida de valor en el inmueble: </w:t>
            </w:r>
            <w:r w:rsidRPr="000916C6">
              <w:rPr>
                <w:rFonts w:ascii="Arial" w:hAnsi="Arial" w:cs="Arial"/>
                <w:color w:val="000000"/>
                <w:sz w:val="21"/>
                <w:szCs w:val="21"/>
                <w:lang w:val="es-CR"/>
              </w:rPr>
              <w:t xml:space="preserve">La sociedad administradora y el comité de inversiones identificará las mejores oportunidades de inversión analizando la situación política y </w:t>
            </w:r>
            <w:r w:rsidRPr="000916C6">
              <w:rPr>
                <w:rFonts w:ascii="Arial" w:hAnsi="Arial" w:cs="Arial"/>
                <w:color w:val="000000"/>
                <w:sz w:val="21"/>
                <w:szCs w:val="21"/>
                <w:lang w:val="es-CR"/>
              </w:rPr>
              <w:lastRenderedPageBreak/>
              <w:t>macroeconómica pasada, actual y esperada de cada uno de los sectores en los cuáles el fondo mantiene inversiones, así como su grado de liquidez, su comparación relativa vs otr</w:t>
            </w:r>
            <w:r w:rsidR="00EE1D76" w:rsidRPr="000916C6">
              <w:rPr>
                <w:rFonts w:ascii="Arial" w:hAnsi="Arial" w:cs="Arial"/>
                <w:color w:val="000000"/>
                <w:sz w:val="21"/>
                <w:szCs w:val="21"/>
                <w:lang w:val="es-CR"/>
              </w:rPr>
              <w:t>a</w:t>
            </w:r>
            <w:r w:rsidRPr="000916C6">
              <w:rPr>
                <w:rFonts w:ascii="Arial" w:hAnsi="Arial" w:cs="Arial"/>
                <w:color w:val="000000"/>
                <w:sz w:val="21"/>
                <w:szCs w:val="21"/>
                <w:lang w:val="es-CR"/>
              </w:rPr>
              <w:t>s emisiones en el mercado y las perspectivas futuras.</w:t>
            </w:r>
            <w:r w:rsidRPr="000916C6" w:rsidDel="00D84CE0">
              <w:rPr>
                <w:rFonts w:ascii="Arial" w:hAnsi="Arial" w:cs="Arial"/>
                <w:sz w:val="21"/>
                <w:szCs w:val="21"/>
                <w:lang w:val="es-CR"/>
              </w:rPr>
              <w:t xml:space="preserve"> </w:t>
            </w:r>
          </w:p>
          <w:p w14:paraId="5FD90E3E" w14:textId="77777777" w:rsidR="003755CC" w:rsidRPr="000916C6" w:rsidRDefault="003755CC" w:rsidP="00603CD8">
            <w:pPr>
              <w:spacing w:before="120" w:after="120"/>
              <w:jc w:val="both"/>
              <w:rPr>
                <w:rFonts w:ascii="Arial" w:hAnsi="Arial" w:cs="Arial"/>
                <w:color w:val="000000"/>
                <w:sz w:val="21"/>
                <w:szCs w:val="21"/>
                <w:lang w:val="es-CR"/>
              </w:rPr>
            </w:pPr>
            <w:r w:rsidRPr="000916C6">
              <w:rPr>
                <w:rFonts w:ascii="Arial" w:hAnsi="Arial" w:cs="Arial"/>
                <w:b/>
                <w:color w:val="000000"/>
                <w:sz w:val="21"/>
                <w:szCs w:val="21"/>
                <w:lang w:val="es-CR"/>
              </w:rPr>
              <w:t>Riesgo por variaciones en la estructura de costos del fondo:</w:t>
            </w:r>
            <w:r w:rsidRPr="000916C6">
              <w:rPr>
                <w:rFonts w:ascii="Arial" w:hAnsi="Arial" w:cs="Arial"/>
                <w:color w:val="000000"/>
                <w:sz w:val="21"/>
                <w:szCs w:val="21"/>
                <w:lang w:val="es-CR"/>
              </w:rPr>
              <w:t xml:space="preserve"> Todos los costos a los que se enfrenta el fondo deben encontrarse formalmente identificados. Para gestionar correctamente este riesgo, la administración realizará proyecciones anuales sobre los ingresos y gastos que espera obtener el fondo.  La sociedad administradora realiza un mantenimiento preventivo constante a sus inmuebles con el fin de minimizar la posibilidad de que se originen gastos extraordinarios. El fondo registra en forma diaria la proporción correspondiente a los gastos que conlleva la operación normal de las propiedades y del fondo, tales como impuestos, seguros, intereses bancarios, etc. Cualquier variación significativa en la estructura de costos deberá ser informada y justificada al Comité de Inversión, el cual se encargará de definir las estrategias para que las diferentes partidas se mantengan dentro de sus rangos normales.  En caso de ser necesario, se convocará a la Asamblea de Inversionistas.</w:t>
            </w:r>
          </w:p>
          <w:p w14:paraId="63EADEF3" w14:textId="10931E8A" w:rsidR="00E47168" w:rsidRPr="000916C6" w:rsidRDefault="00E47168" w:rsidP="00603CD8">
            <w:pPr>
              <w:spacing w:before="120" w:after="120"/>
              <w:jc w:val="both"/>
              <w:rPr>
                <w:rFonts w:ascii="Arial" w:hAnsi="Arial" w:cs="Arial"/>
                <w:color w:val="000000"/>
                <w:sz w:val="21"/>
                <w:szCs w:val="21"/>
                <w:lang w:val="es-CR"/>
              </w:rPr>
            </w:pPr>
            <w:r w:rsidRPr="000916C6">
              <w:rPr>
                <w:rFonts w:ascii="Arial" w:hAnsi="Arial" w:cs="Arial"/>
                <w:b/>
                <w:bCs/>
                <w:color w:val="000000"/>
                <w:sz w:val="21"/>
                <w:szCs w:val="21"/>
                <w:lang w:val="es-CR"/>
              </w:rPr>
              <w:t>Riesgo de continuidad del negocio:</w:t>
            </w:r>
            <w:r w:rsidRPr="000916C6">
              <w:rPr>
                <w:rFonts w:ascii="Arial" w:hAnsi="Arial" w:cs="Arial"/>
                <w:color w:val="000000"/>
                <w:sz w:val="21"/>
                <w:szCs w:val="21"/>
                <w:lang w:val="es-CR"/>
              </w:rPr>
              <w:t xml:space="preserve"> Multifondos posee un plan de continuidad del negocio</w:t>
            </w:r>
            <w:r w:rsidR="00C352E9" w:rsidRPr="000916C6">
              <w:rPr>
                <w:rFonts w:ascii="Arial" w:hAnsi="Arial" w:cs="Arial"/>
                <w:color w:val="000000"/>
                <w:sz w:val="21"/>
                <w:szCs w:val="21"/>
                <w:lang w:val="es-CR"/>
              </w:rPr>
              <w:t xml:space="preserve"> </w:t>
            </w:r>
            <w:r w:rsidR="00D26833" w:rsidRPr="000916C6">
              <w:rPr>
                <w:rFonts w:ascii="Arial" w:hAnsi="Arial" w:cs="Arial"/>
                <w:color w:val="000000"/>
                <w:sz w:val="21"/>
                <w:szCs w:val="21"/>
                <w:lang w:val="es-CR"/>
              </w:rPr>
              <w:t xml:space="preserve">probado y </w:t>
            </w:r>
            <w:r w:rsidR="00C352E9" w:rsidRPr="000916C6">
              <w:rPr>
                <w:rFonts w:ascii="Arial" w:hAnsi="Arial" w:cs="Arial"/>
                <w:color w:val="000000"/>
                <w:sz w:val="21"/>
                <w:szCs w:val="21"/>
                <w:lang w:val="es-CR"/>
              </w:rPr>
              <w:t>aprobado por la Junta Directiva, el cual es constantemente revisado por la Unidad de Riesgos</w:t>
            </w:r>
            <w:r w:rsidR="00D26833" w:rsidRPr="000916C6">
              <w:rPr>
                <w:rFonts w:ascii="Arial" w:hAnsi="Arial" w:cs="Arial"/>
                <w:color w:val="000000"/>
                <w:sz w:val="21"/>
                <w:szCs w:val="21"/>
                <w:lang w:val="es-CR"/>
              </w:rPr>
              <w:t xml:space="preserve"> y </w:t>
            </w:r>
            <w:r w:rsidR="00DA23B2" w:rsidRPr="000916C6">
              <w:rPr>
                <w:rFonts w:ascii="Arial" w:hAnsi="Arial" w:cs="Arial"/>
                <w:color w:val="000000"/>
                <w:sz w:val="21"/>
                <w:szCs w:val="21"/>
                <w:lang w:val="es-CR"/>
              </w:rPr>
              <w:t xml:space="preserve">el </w:t>
            </w:r>
            <w:r w:rsidR="00D26833" w:rsidRPr="000916C6">
              <w:rPr>
                <w:rFonts w:ascii="Arial" w:hAnsi="Arial" w:cs="Arial"/>
                <w:color w:val="000000"/>
                <w:sz w:val="21"/>
                <w:szCs w:val="21"/>
                <w:lang w:val="es-CR"/>
              </w:rPr>
              <w:t xml:space="preserve">Comité Gerencial de la </w:t>
            </w:r>
            <w:r w:rsidR="00D97DB8" w:rsidRPr="000916C6">
              <w:rPr>
                <w:rFonts w:ascii="Arial" w:hAnsi="Arial" w:cs="Arial"/>
                <w:color w:val="000000"/>
                <w:sz w:val="21"/>
                <w:szCs w:val="21"/>
                <w:lang w:val="es-CR"/>
              </w:rPr>
              <w:t>organización</w:t>
            </w:r>
            <w:r w:rsidR="00C352E9" w:rsidRPr="000916C6">
              <w:rPr>
                <w:rFonts w:ascii="Arial" w:hAnsi="Arial" w:cs="Arial"/>
                <w:color w:val="000000"/>
                <w:sz w:val="21"/>
                <w:szCs w:val="21"/>
                <w:lang w:val="es-CR"/>
              </w:rPr>
              <w:t>.</w:t>
            </w:r>
            <w:r w:rsidR="00D97DB8" w:rsidRPr="000916C6">
              <w:rPr>
                <w:rFonts w:ascii="Arial" w:hAnsi="Arial" w:cs="Arial"/>
                <w:color w:val="000000"/>
                <w:sz w:val="21"/>
                <w:szCs w:val="21"/>
                <w:lang w:val="es-CR"/>
              </w:rPr>
              <w:t xml:space="preserve"> </w:t>
            </w:r>
            <w:r w:rsidR="00D9466E" w:rsidRPr="000916C6">
              <w:rPr>
                <w:rFonts w:ascii="Arial" w:hAnsi="Arial" w:cs="Arial"/>
                <w:color w:val="000000"/>
                <w:sz w:val="21"/>
                <w:szCs w:val="21"/>
                <w:lang w:val="es-CR"/>
              </w:rPr>
              <w:t>Además,</w:t>
            </w:r>
            <w:r w:rsidR="00D97DB8" w:rsidRPr="000916C6">
              <w:rPr>
                <w:rFonts w:ascii="Arial" w:hAnsi="Arial" w:cs="Arial"/>
                <w:color w:val="000000"/>
                <w:sz w:val="21"/>
                <w:szCs w:val="21"/>
                <w:lang w:val="es-CR"/>
              </w:rPr>
              <w:t xml:space="preserve"> </w:t>
            </w:r>
            <w:r w:rsidR="00C352E9" w:rsidRPr="000916C6">
              <w:rPr>
                <w:rFonts w:ascii="Arial" w:hAnsi="Arial" w:cs="Arial"/>
                <w:color w:val="000000"/>
                <w:sz w:val="21"/>
                <w:szCs w:val="21"/>
                <w:lang w:val="es-CR"/>
              </w:rPr>
              <w:t>c</w:t>
            </w:r>
            <w:r w:rsidRPr="000916C6">
              <w:rPr>
                <w:rFonts w:ascii="Arial" w:hAnsi="Arial" w:cs="Arial"/>
                <w:color w:val="000000"/>
                <w:sz w:val="21"/>
                <w:szCs w:val="21"/>
                <w:lang w:val="es-CR"/>
              </w:rPr>
              <w:t>uenta con procedimientos para la ejecución de respaldos de la información</w:t>
            </w:r>
            <w:r w:rsidR="00D26833" w:rsidRPr="000916C6">
              <w:rPr>
                <w:rFonts w:ascii="Arial" w:hAnsi="Arial" w:cs="Arial"/>
                <w:color w:val="000000"/>
                <w:sz w:val="21"/>
                <w:szCs w:val="21"/>
                <w:lang w:val="es-CR"/>
              </w:rPr>
              <w:t>, p</w:t>
            </w:r>
            <w:r w:rsidRPr="000916C6">
              <w:rPr>
                <w:rFonts w:ascii="Arial" w:hAnsi="Arial" w:cs="Arial"/>
                <w:color w:val="000000"/>
                <w:sz w:val="21"/>
                <w:szCs w:val="21"/>
                <w:lang w:val="es-CR"/>
              </w:rPr>
              <w:t>osee un plan de sucesión de funcionarios clave, que le permitiría seguir operando en caso de presentarse una situación de emergencia</w:t>
            </w:r>
            <w:r w:rsidR="009C4368" w:rsidRPr="000916C6">
              <w:rPr>
                <w:rFonts w:ascii="Arial" w:hAnsi="Arial" w:cs="Arial"/>
                <w:color w:val="000000"/>
                <w:sz w:val="21"/>
                <w:szCs w:val="21"/>
                <w:lang w:val="es-CR"/>
              </w:rPr>
              <w:t>, entre otros</w:t>
            </w:r>
            <w:r w:rsidRPr="000916C6">
              <w:rPr>
                <w:rFonts w:ascii="Arial" w:hAnsi="Arial" w:cs="Arial"/>
                <w:color w:val="000000"/>
                <w:sz w:val="21"/>
                <w:szCs w:val="21"/>
                <w:lang w:val="es-CR"/>
              </w:rPr>
              <w:t xml:space="preserve">.  Los funcionarios participan constantemente en simulacros y se cuenta con el apoyo de servicios de atención </w:t>
            </w:r>
            <w:r w:rsidR="009C4368" w:rsidRPr="000916C6">
              <w:rPr>
                <w:rFonts w:ascii="Arial" w:hAnsi="Arial" w:cs="Arial"/>
                <w:color w:val="000000"/>
                <w:sz w:val="21"/>
                <w:szCs w:val="21"/>
                <w:lang w:val="es-CR"/>
              </w:rPr>
              <w:t>ante</w:t>
            </w:r>
            <w:r w:rsidRPr="000916C6">
              <w:rPr>
                <w:rFonts w:ascii="Arial" w:hAnsi="Arial" w:cs="Arial"/>
                <w:color w:val="000000"/>
                <w:sz w:val="21"/>
                <w:szCs w:val="21"/>
                <w:lang w:val="es-CR"/>
              </w:rPr>
              <w:t xml:space="preserve"> emergencias médicas.</w:t>
            </w:r>
          </w:p>
          <w:p w14:paraId="3EAF2D00" w14:textId="77777777" w:rsidR="00E47168" w:rsidRDefault="00E47168" w:rsidP="00603CD8">
            <w:pPr>
              <w:spacing w:before="120" w:after="120"/>
              <w:jc w:val="both"/>
              <w:rPr>
                <w:rFonts w:ascii="Arial" w:hAnsi="Arial" w:cs="Arial"/>
                <w:color w:val="000000"/>
                <w:sz w:val="21"/>
                <w:szCs w:val="21"/>
                <w:lang w:val="es-CR"/>
              </w:rPr>
            </w:pPr>
            <w:r w:rsidRPr="000916C6">
              <w:rPr>
                <w:rFonts w:ascii="Arial" w:hAnsi="Arial" w:cs="Arial"/>
                <w:b/>
                <w:bCs/>
                <w:color w:val="000000"/>
                <w:sz w:val="21"/>
                <w:szCs w:val="21"/>
                <w:lang w:val="es-CR"/>
              </w:rPr>
              <w:t>Riesgo de reputacional:</w:t>
            </w:r>
            <w:r w:rsidRPr="000916C6">
              <w:rPr>
                <w:rFonts w:ascii="Arial" w:hAnsi="Arial" w:cs="Arial"/>
                <w:color w:val="000000"/>
                <w:sz w:val="21"/>
                <w:szCs w:val="21"/>
                <w:lang w:val="es-CR"/>
              </w:rPr>
              <w:t xml:space="preserve"> Multifondos cuenta con protocolos </w:t>
            </w:r>
            <w:r w:rsidR="00DA23B2" w:rsidRPr="000916C6">
              <w:rPr>
                <w:rFonts w:ascii="Arial" w:hAnsi="Arial" w:cs="Arial"/>
                <w:color w:val="000000"/>
                <w:sz w:val="21"/>
                <w:szCs w:val="21"/>
                <w:lang w:val="es-CR"/>
              </w:rPr>
              <w:t>a</w:t>
            </w:r>
            <w:r w:rsidRPr="000916C6">
              <w:rPr>
                <w:rFonts w:ascii="Arial" w:hAnsi="Arial" w:cs="Arial"/>
                <w:color w:val="000000"/>
                <w:sz w:val="21"/>
                <w:szCs w:val="21"/>
                <w:lang w:val="es-CR"/>
              </w:rPr>
              <w:t>probados para la atención oportuna de los diferentes canales de comunicación (redes sociales, prensa, llamadas, correos electrónicos).  Además, posee un plan de atención de crisis y los funcionarios participan constantemente en pruebas para medir su efectividad.</w:t>
            </w:r>
          </w:p>
          <w:p w14:paraId="26FB47F8" w14:textId="6D79565E" w:rsidR="009A271C" w:rsidRPr="000916C6" w:rsidRDefault="009A271C" w:rsidP="00603CD8">
            <w:pPr>
              <w:spacing w:before="120" w:after="120"/>
              <w:jc w:val="both"/>
              <w:rPr>
                <w:rFonts w:ascii="Arial" w:hAnsi="Arial" w:cs="Arial"/>
                <w:color w:val="000000"/>
                <w:sz w:val="21"/>
                <w:szCs w:val="21"/>
                <w:lang w:val="es-CR"/>
              </w:rPr>
            </w:pPr>
            <w:r w:rsidRPr="005776D2">
              <w:rPr>
                <w:rFonts w:ascii="Arial" w:hAnsi="Arial" w:cs="Arial"/>
                <w:b/>
                <w:bCs/>
                <w:color w:val="000000"/>
                <w:sz w:val="21"/>
                <w:szCs w:val="21"/>
                <w:lang w:val="es-CR"/>
              </w:rPr>
              <w:t>Riesgo asociado a las operaciones de endeudamiento</w:t>
            </w:r>
            <w:r>
              <w:rPr>
                <w:rFonts w:ascii="Arial" w:hAnsi="Arial" w:cs="Arial"/>
                <w:b/>
                <w:bCs/>
                <w:color w:val="000000"/>
                <w:sz w:val="21"/>
                <w:szCs w:val="21"/>
                <w:lang w:val="es-CR"/>
              </w:rPr>
              <w:t>:</w:t>
            </w:r>
            <w:r w:rsidR="00A45010" w:rsidRPr="005776D2">
              <w:rPr>
                <w:rFonts w:ascii="Arial" w:hAnsi="Arial" w:cs="Arial"/>
                <w:color w:val="000000"/>
                <w:sz w:val="21"/>
                <w:szCs w:val="21"/>
                <w:lang w:val="es-CR"/>
              </w:rPr>
              <w:t xml:space="preserve"> </w:t>
            </w:r>
            <w:r w:rsidR="00EE6DEA" w:rsidRPr="005776D2">
              <w:rPr>
                <w:rFonts w:ascii="Arial" w:hAnsi="Arial" w:cs="Arial"/>
                <w:color w:val="000000"/>
                <w:sz w:val="21"/>
                <w:szCs w:val="21"/>
                <w:lang w:val="es-CR"/>
              </w:rPr>
              <w:t xml:space="preserve">Multifondos gestionará el uso del endeudamiento en estricto apego a los límites establecidos en la normativa vigente, la cual define un nivel máximo permitido del 60%, con el objetivo de preservar la solvencia del fondo y evitar una exposición excesiva al riesgo. Asimismo, </w:t>
            </w:r>
            <w:r w:rsidR="00EE6DEA">
              <w:rPr>
                <w:rFonts w:ascii="Arial" w:hAnsi="Arial" w:cs="Arial"/>
                <w:color w:val="000000"/>
                <w:sz w:val="21"/>
                <w:szCs w:val="21"/>
                <w:lang w:val="es-CR"/>
              </w:rPr>
              <w:t>se</w:t>
            </w:r>
            <w:r w:rsidR="00EE6DEA" w:rsidRPr="005776D2">
              <w:rPr>
                <w:rFonts w:ascii="Arial" w:hAnsi="Arial" w:cs="Arial"/>
                <w:color w:val="000000"/>
                <w:sz w:val="21"/>
                <w:szCs w:val="21"/>
                <w:lang w:val="es-CR"/>
              </w:rPr>
              <w:t xml:space="preserve"> contará con políticas internas claras para el uso de deuda, que incluyen análisis de capacidad de pago y la evaluación de escenarios de estrés. Este riesgo será objeto de un monitoreo continuo mediante la revisión periódica de los niveles de endeudamiento, liquidez y cobertura de intereses. Adicionalmente, Multifondos mantendrá prácticas de transparencia, informando a los inversionistas, a través de los medios oficiales del fondo, sobre los riesgos asociados al endeudamiento y los límites aplicables.</w:t>
            </w:r>
          </w:p>
        </w:tc>
      </w:tr>
    </w:tbl>
    <w:p w14:paraId="4BF15F00" w14:textId="4E9E433C" w:rsidR="00EF7BCD" w:rsidRPr="00802FB4" w:rsidRDefault="00EF7BCD">
      <w:pPr>
        <w:rPr>
          <w:rFonts w:ascii="Arial" w:hAnsi="Arial" w:cs="Arial"/>
          <w:b/>
          <w:bCs/>
          <w:kern w:val="32"/>
          <w:szCs w:val="21"/>
        </w:rPr>
      </w:pPr>
      <w:bookmarkStart w:id="18" w:name="_Toc34228947"/>
    </w:p>
    <w:p w14:paraId="16F62534" w14:textId="28D9F0A3" w:rsidR="00CD1202" w:rsidRPr="00802FB4" w:rsidRDefault="00691324" w:rsidP="00691324">
      <w:pPr>
        <w:pStyle w:val="Ttulo1"/>
        <w:numPr>
          <w:ilvl w:val="0"/>
          <w:numId w:val="1"/>
        </w:numPr>
        <w:ind w:left="142"/>
        <w:rPr>
          <w:rFonts w:ascii="Arial" w:hAnsi="Arial" w:cs="Arial"/>
          <w:sz w:val="24"/>
          <w:szCs w:val="21"/>
        </w:rPr>
      </w:pPr>
      <w:r w:rsidRPr="00802FB4">
        <w:rPr>
          <w:rFonts w:ascii="Arial" w:hAnsi="Arial" w:cs="Arial"/>
          <w:sz w:val="24"/>
          <w:szCs w:val="21"/>
        </w:rPr>
        <w:t>Títulos de Participación del Fondo</w:t>
      </w:r>
      <w:bookmarkEnd w:id="18"/>
    </w:p>
    <w:tbl>
      <w:tblPr>
        <w:tblW w:w="917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6521"/>
      </w:tblGrid>
      <w:tr w:rsidR="008C5E1B" w:rsidRPr="00802FB4" w14:paraId="58F70DC2" w14:textId="77777777" w:rsidTr="00740A4C">
        <w:tc>
          <w:tcPr>
            <w:tcW w:w="9178" w:type="dxa"/>
            <w:gridSpan w:val="2"/>
            <w:vAlign w:val="center"/>
          </w:tcPr>
          <w:p w14:paraId="7BFDF6EE" w14:textId="77777777" w:rsidR="008C5E1B" w:rsidRPr="00802FB4" w:rsidRDefault="008C5E1B" w:rsidP="00D83795">
            <w:pPr>
              <w:widowControl w:val="0"/>
              <w:spacing w:before="120" w:after="120"/>
              <w:jc w:val="center"/>
              <w:rPr>
                <w:rFonts w:ascii="Arial" w:hAnsi="Arial" w:cs="Arial"/>
                <w:b/>
                <w:sz w:val="21"/>
                <w:szCs w:val="21"/>
              </w:rPr>
            </w:pPr>
            <w:r w:rsidRPr="00802FB4">
              <w:rPr>
                <w:rFonts w:ascii="Arial" w:hAnsi="Arial" w:cs="Arial"/>
                <w:b/>
                <w:sz w:val="21"/>
                <w:szCs w:val="21"/>
              </w:rPr>
              <w:t>Valores de Participación</w:t>
            </w:r>
          </w:p>
        </w:tc>
      </w:tr>
      <w:tr w:rsidR="008C5E1B" w:rsidRPr="00802FB4" w14:paraId="7C6EEE99" w14:textId="77777777" w:rsidTr="00740A4C">
        <w:tc>
          <w:tcPr>
            <w:tcW w:w="2657" w:type="dxa"/>
            <w:vAlign w:val="center"/>
          </w:tcPr>
          <w:p w14:paraId="18D7AAB7" w14:textId="77777777" w:rsidR="008C5E1B" w:rsidRPr="00802FB4" w:rsidRDefault="008C5E1B" w:rsidP="00D83795">
            <w:pPr>
              <w:jc w:val="both"/>
              <w:rPr>
                <w:rFonts w:ascii="Arial" w:hAnsi="Arial" w:cs="Arial"/>
                <w:b/>
                <w:sz w:val="21"/>
                <w:szCs w:val="21"/>
              </w:rPr>
            </w:pPr>
            <w:r w:rsidRPr="00802FB4">
              <w:rPr>
                <w:rFonts w:ascii="Arial" w:hAnsi="Arial" w:cs="Arial"/>
                <w:b/>
                <w:sz w:val="21"/>
                <w:szCs w:val="21"/>
              </w:rPr>
              <w:t>Características</w:t>
            </w:r>
          </w:p>
        </w:tc>
        <w:tc>
          <w:tcPr>
            <w:tcW w:w="6521" w:type="dxa"/>
          </w:tcPr>
          <w:p w14:paraId="24BCDCCA" w14:textId="77777777" w:rsidR="008C5E1B" w:rsidRPr="00802FB4" w:rsidRDefault="007E529C" w:rsidP="00D83795">
            <w:pPr>
              <w:jc w:val="both"/>
              <w:rPr>
                <w:rFonts w:ascii="Arial" w:hAnsi="Arial" w:cs="Arial"/>
                <w:i/>
                <w:sz w:val="21"/>
                <w:szCs w:val="21"/>
              </w:rPr>
            </w:pPr>
            <w:r w:rsidRPr="00802FB4">
              <w:rPr>
                <w:rFonts w:ascii="Arial" w:hAnsi="Arial" w:cs="Arial"/>
                <w:i/>
                <w:sz w:val="21"/>
                <w:szCs w:val="21"/>
              </w:rPr>
              <w:t>“</w:t>
            </w:r>
            <w:r w:rsidR="008C5E1B" w:rsidRPr="00802FB4">
              <w:rPr>
                <w:rFonts w:ascii="Arial" w:hAnsi="Arial" w:cs="Arial"/>
                <w:i/>
                <w:sz w:val="21"/>
                <w:szCs w:val="21"/>
              </w:rPr>
              <w:t>Las participaciones de los inversionistas en cualquier fondo estarán representadas por los certificados de participación, denominadas también participaciones; cada uno tendrá igual valor y condiciones o características idénticas para sus inversionistas.</w:t>
            </w:r>
            <w:r w:rsidRPr="00802FB4">
              <w:rPr>
                <w:rFonts w:ascii="Arial" w:hAnsi="Arial" w:cs="Arial"/>
                <w:i/>
                <w:sz w:val="21"/>
                <w:szCs w:val="21"/>
              </w:rPr>
              <w:t>”</w:t>
            </w:r>
          </w:p>
        </w:tc>
      </w:tr>
      <w:tr w:rsidR="008C5E1B" w:rsidRPr="00802FB4" w14:paraId="05384E43" w14:textId="77777777" w:rsidTr="00333598">
        <w:trPr>
          <w:trHeight w:val="319"/>
        </w:trPr>
        <w:tc>
          <w:tcPr>
            <w:tcW w:w="2657" w:type="dxa"/>
            <w:vAlign w:val="center"/>
          </w:tcPr>
          <w:p w14:paraId="46C44CC8" w14:textId="77777777" w:rsidR="008C5E1B" w:rsidRPr="00802FB4" w:rsidRDefault="008C5E1B" w:rsidP="00D83795">
            <w:pPr>
              <w:jc w:val="both"/>
              <w:rPr>
                <w:rFonts w:ascii="Arial" w:hAnsi="Arial" w:cs="Arial"/>
                <w:b/>
                <w:sz w:val="21"/>
                <w:szCs w:val="21"/>
              </w:rPr>
            </w:pPr>
            <w:r w:rsidRPr="00802FB4">
              <w:rPr>
                <w:rFonts w:ascii="Arial" w:hAnsi="Arial" w:cs="Arial"/>
                <w:b/>
                <w:sz w:val="21"/>
                <w:szCs w:val="21"/>
              </w:rPr>
              <w:t>Forma de representación</w:t>
            </w:r>
          </w:p>
        </w:tc>
        <w:tc>
          <w:tcPr>
            <w:tcW w:w="6521" w:type="dxa"/>
          </w:tcPr>
          <w:p w14:paraId="73C26F64" w14:textId="77777777" w:rsidR="008C5E1B" w:rsidRPr="00802FB4" w:rsidRDefault="00395B86" w:rsidP="009643D0">
            <w:pPr>
              <w:rPr>
                <w:rFonts w:ascii="Arial" w:hAnsi="Arial" w:cs="Arial"/>
                <w:sz w:val="21"/>
                <w:szCs w:val="21"/>
              </w:rPr>
            </w:pPr>
            <w:r w:rsidRPr="00802FB4">
              <w:rPr>
                <w:rFonts w:ascii="Arial" w:hAnsi="Arial" w:cs="Arial"/>
                <w:sz w:val="21"/>
                <w:szCs w:val="21"/>
              </w:rPr>
              <w:t>Anotación en cuenta</w:t>
            </w:r>
          </w:p>
        </w:tc>
      </w:tr>
      <w:tr w:rsidR="008C5E1B" w:rsidRPr="00802FB4" w14:paraId="7FFC8996" w14:textId="77777777" w:rsidTr="00740A4C">
        <w:trPr>
          <w:trHeight w:val="284"/>
        </w:trPr>
        <w:tc>
          <w:tcPr>
            <w:tcW w:w="2657" w:type="dxa"/>
            <w:vAlign w:val="center"/>
          </w:tcPr>
          <w:p w14:paraId="5C1F086D" w14:textId="77777777" w:rsidR="008C5E1B" w:rsidRPr="00802FB4" w:rsidRDefault="008C5E1B" w:rsidP="007665A2">
            <w:pPr>
              <w:rPr>
                <w:rFonts w:ascii="Arial" w:hAnsi="Arial" w:cs="Arial"/>
                <w:b/>
                <w:sz w:val="21"/>
                <w:szCs w:val="21"/>
              </w:rPr>
            </w:pPr>
            <w:r w:rsidRPr="00802FB4">
              <w:rPr>
                <w:rFonts w:ascii="Arial" w:hAnsi="Arial" w:cs="Arial"/>
                <w:b/>
                <w:sz w:val="21"/>
                <w:szCs w:val="21"/>
              </w:rPr>
              <w:t>Valor nominal de la participación</w:t>
            </w:r>
          </w:p>
        </w:tc>
        <w:tc>
          <w:tcPr>
            <w:tcW w:w="6521" w:type="dxa"/>
            <w:vAlign w:val="center"/>
          </w:tcPr>
          <w:p w14:paraId="2D931E42" w14:textId="77777777" w:rsidR="008C5E1B" w:rsidRPr="00802FB4" w:rsidRDefault="001B76D5" w:rsidP="00573F4A">
            <w:pPr>
              <w:ind w:left="1440" w:hanging="1440"/>
              <w:rPr>
                <w:rFonts w:ascii="Arial" w:hAnsi="Arial" w:cs="Arial"/>
                <w:sz w:val="21"/>
                <w:szCs w:val="21"/>
              </w:rPr>
            </w:pPr>
            <w:r w:rsidRPr="00802FB4">
              <w:rPr>
                <w:rFonts w:ascii="Arial" w:hAnsi="Arial" w:cs="Arial"/>
                <w:sz w:val="21"/>
                <w:szCs w:val="21"/>
              </w:rPr>
              <w:t>US $5.000</w:t>
            </w:r>
          </w:p>
        </w:tc>
      </w:tr>
      <w:tr w:rsidR="008C5E1B" w:rsidRPr="00802FB4" w14:paraId="4FCBA03D" w14:textId="77777777" w:rsidTr="00740A4C">
        <w:tc>
          <w:tcPr>
            <w:tcW w:w="2657" w:type="dxa"/>
            <w:vAlign w:val="center"/>
          </w:tcPr>
          <w:p w14:paraId="163747DD" w14:textId="77777777" w:rsidR="008C5E1B" w:rsidRPr="00802FB4" w:rsidRDefault="008C5E1B" w:rsidP="007665A2">
            <w:pPr>
              <w:rPr>
                <w:rFonts w:ascii="Arial" w:hAnsi="Arial" w:cs="Arial"/>
                <w:b/>
                <w:sz w:val="21"/>
                <w:szCs w:val="21"/>
              </w:rPr>
            </w:pPr>
            <w:r w:rsidRPr="00802FB4">
              <w:rPr>
                <w:rFonts w:ascii="Arial" w:hAnsi="Arial" w:cs="Arial"/>
                <w:b/>
                <w:sz w:val="21"/>
                <w:szCs w:val="21"/>
              </w:rPr>
              <w:lastRenderedPageBreak/>
              <w:t>Cálculo del valor de la participación</w:t>
            </w:r>
          </w:p>
        </w:tc>
        <w:tc>
          <w:tcPr>
            <w:tcW w:w="6521" w:type="dxa"/>
          </w:tcPr>
          <w:p w14:paraId="61CCB33D" w14:textId="6212BB96" w:rsidR="00292A1E" w:rsidRPr="00802FB4" w:rsidRDefault="00292A1E" w:rsidP="00292A1E">
            <w:pPr>
              <w:jc w:val="both"/>
              <w:rPr>
                <w:rFonts w:ascii="Arial" w:hAnsi="Arial" w:cs="Arial"/>
                <w:i/>
                <w:sz w:val="21"/>
                <w:szCs w:val="21"/>
              </w:rPr>
            </w:pPr>
            <w:r w:rsidRPr="00802FB4">
              <w:rPr>
                <w:rFonts w:ascii="Arial" w:hAnsi="Arial" w:cs="Arial"/>
                <w:i/>
                <w:sz w:val="21"/>
                <w:szCs w:val="21"/>
              </w:rPr>
              <w:t xml:space="preserve">“El valor o precio de la participación se obtiene al dividir el valor del activo neto del fondo, calculado al final </w:t>
            </w:r>
            <w:r w:rsidR="007A27D6" w:rsidRPr="00802FB4">
              <w:rPr>
                <w:rFonts w:ascii="Arial" w:hAnsi="Arial" w:cs="Arial"/>
                <w:i/>
                <w:sz w:val="21"/>
                <w:szCs w:val="21"/>
              </w:rPr>
              <w:t xml:space="preserve">del cierre contable </w:t>
            </w:r>
            <w:r w:rsidRPr="00802FB4">
              <w:rPr>
                <w:rFonts w:ascii="Arial" w:hAnsi="Arial" w:cs="Arial"/>
                <w:i/>
                <w:sz w:val="21"/>
                <w:szCs w:val="21"/>
              </w:rPr>
              <w:t>de cada día</w:t>
            </w:r>
            <w:r w:rsidR="007A27D6" w:rsidRPr="00802FB4">
              <w:rPr>
                <w:rFonts w:ascii="Arial" w:hAnsi="Arial" w:cs="Arial"/>
                <w:i/>
                <w:sz w:val="21"/>
                <w:szCs w:val="21"/>
              </w:rPr>
              <w:t xml:space="preserve"> natural</w:t>
            </w:r>
            <w:r w:rsidRPr="00802FB4">
              <w:rPr>
                <w:rFonts w:ascii="Arial" w:hAnsi="Arial" w:cs="Arial"/>
                <w:i/>
                <w:sz w:val="21"/>
                <w:szCs w:val="21"/>
              </w:rPr>
              <w:t>, entre el número de participaciones en circulación.”</w:t>
            </w:r>
          </w:p>
          <w:p w14:paraId="05050FB8" w14:textId="77777777" w:rsidR="00B7024C" w:rsidRPr="00802FB4" w:rsidRDefault="00B7024C" w:rsidP="006B0622">
            <w:pPr>
              <w:spacing w:before="240"/>
              <w:jc w:val="both"/>
              <w:rPr>
                <w:rFonts w:ascii="Arial" w:hAnsi="Arial" w:cs="Arial"/>
                <w:sz w:val="21"/>
                <w:szCs w:val="21"/>
              </w:rPr>
            </w:pPr>
            <w:r w:rsidRPr="00802FB4">
              <w:rPr>
                <w:rFonts w:ascii="Arial" w:hAnsi="Arial" w:cs="Arial"/>
                <w:i/>
                <w:sz w:val="21"/>
                <w:szCs w:val="21"/>
              </w:rPr>
              <w:t>“En el caso de fondos de inversión cerrados, el valor de participación que se obtenga es de referencia.”</w:t>
            </w:r>
          </w:p>
          <w:p w14:paraId="2E38B02E" w14:textId="77777777" w:rsidR="008C5E1B" w:rsidRPr="00802FB4" w:rsidRDefault="00F70C15" w:rsidP="006B0622">
            <w:pPr>
              <w:spacing w:before="240"/>
              <w:jc w:val="both"/>
              <w:rPr>
                <w:rFonts w:ascii="Arial" w:hAnsi="Arial" w:cs="Arial"/>
                <w:i/>
                <w:sz w:val="21"/>
                <w:szCs w:val="21"/>
              </w:rPr>
            </w:pPr>
            <w:r w:rsidRPr="00802FB4">
              <w:rPr>
                <w:rFonts w:ascii="Arial" w:hAnsi="Arial" w:cs="Arial"/>
                <w:i/>
                <w:sz w:val="21"/>
                <w:szCs w:val="21"/>
              </w:rPr>
              <w:t>“</w:t>
            </w:r>
            <w:r w:rsidR="0095036F" w:rsidRPr="00802FB4">
              <w:rPr>
                <w:rFonts w:ascii="Arial" w:hAnsi="Arial" w:cs="Arial"/>
                <w:i/>
                <w:sz w:val="21"/>
                <w:szCs w:val="21"/>
              </w:rPr>
              <w:t>En los casos en que proceda el reembolso directo de las participaci</w:t>
            </w:r>
            <w:r w:rsidR="000666B2" w:rsidRPr="00802FB4">
              <w:rPr>
                <w:rFonts w:ascii="Arial" w:hAnsi="Arial" w:cs="Arial"/>
                <w:i/>
                <w:sz w:val="21"/>
                <w:szCs w:val="21"/>
              </w:rPr>
              <w:t>o</w:t>
            </w:r>
            <w:r w:rsidR="0095036F" w:rsidRPr="00802FB4">
              <w:rPr>
                <w:rFonts w:ascii="Arial" w:hAnsi="Arial" w:cs="Arial"/>
                <w:i/>
                <w:sz w:val="21"/>
                <w:szCs w:val="21"/>
              </w:rPr>
              <w:t>n</w:t>
            </w:r>
            <w:r w:rsidR="000666B2" w:rsidRPr="00802FB4">
              <w:rPr>
                <w:rFonts w:ascii="Arial" w:hAnsi="Arial" w:cs="Arial"/>
                <w:i/>
                <w:sz w:val="21"/>
                <w:szCs w:val="21"/>
              </w:rPr>
              <w:t>es</w:t>
            </w:r>
            <w:r w:rsidR="0095036F" w:rsidRPr="00802FB4">
              <w:rPr>
                <w:rFonts w:ascii="Arial" w:hAnsi="Arial" w:cs="Arial"/>
                <w:i/>
                <w:sz w:val="21"/>
                <w:szCs w:val="21"/>
              </w:rPr>
              <w:t xml:space="preserve"> por la aplicación del derecho de receso, las participaciones se reembolsan al valor que se obtenga del precio promedio de mercado del último mes calculado a partir del día previo a la fecha de convocatoria de la asamblea</w:t>
            </w:r>
            <w:r w:rsidR="000666B2" w:rsidRPr="00802FB4">
              <w:rPr>
                <w:rFonts w:ascii="Arial" w:hAnsi="Arial" w:cs="Arial"/>
                <w:i/>
                <w:sz w:val="21"/>
                <w:szCs w:val="21"/>
              </w:rPr>
              <w:t>;</w:t>
            </w:r>
            <w:r w:rsidR="0095036F" w:rsidRPr="00802FB4">
              <w:rPr>
                <w:rFonts w:ascii="Arial" w:hAnsi="Arial" w:cs="Arial"/>
                <w:i/>
                <w:sz w:val="21"/>
                <w:szCs w:val="21"/>
              </w:rPr>
              <w:t xml:space="preserve"> para lo cual se utiliza como fuente de información, la suministrada por el proveedor de precios seleccionado por Multifondos de Costa Rica, S.A., SFI.</w:t>
            </w:r>
            <w:r w:rsidRPr="00802FB4">
              <w:rPr>
                <w:rFonts w:ascii="Arial" w:hAnsi="Arial" w:cs="Arial"/>
                <w:i/>
                <w:sz w:val="21"/>
                <w:szCs w:val="21"/>
              </w:rPr>
              <w:t>”</w:t>
            </w:r>
          </w:p>
        </w:tc>
      </w:tr>
      <w:tr w:rsidR="008C5E1B" w:rsidRPr="00802FB4" w14:paraId="2B4F4684" w14:textId="77777777" w:rsidTr="00740A4C">
        <w:tc>
          <w:tcPr>
            <w:tcW w:w="2657" w:type="dxa"/>
            <w:vAlign w:val="center"/>
          </w:tcPr>
          <w:p w14:paraId="51CF2198" w14:textId="77777777" w:rsidR="008C5E1B" w:rsidRPr="00802FB4" w:rsidRDefault="008C5E1B" w:rsidP="007665A2">
            <w:pPr>
              <w:rPr>
                <w:rFonts w:ascii="Arial" w:hAnsi="Arial" w:cs="Arial"/>
                <w:b/>
                <w:sz w:val="21"/>
                <w:szCs w:val="21"/>
              </w:rPr>
            </w:pPr>
            <w:r w:rsidRPr="00802FB4">
              <w:rPr>
                <w:rFonts w:ascii="Arial" w:hAnsi="Arial" w:cs="Arial"/>
                <w:b/>
                <w:sz w:val="21"/>
                <w:szCs w:val="21"/>
              </w:rPr>
              <w:t>Metodología para la valoración de los activos financieros del fondo de inversión</w:t>
            </w:r>
          </w:p>
        </w:tc>
        <w:tc>
          <w:tcPr>
            <w:tcW w:w="6521" w:type="dxa"/>
          </w:tcPr>
          <w:p w14:paraId="624664A1" w14:textId="77777777" w:rsidR="00011536" w:rsidRPr="00802FB4" w:rsidRDefault="00011536" w:rsidP="00011536">
            <w:pPr>
              <w:tabs>
                <w:tab w:val="left" w:pos="9214"/>
              </w:tabs>
              <w:ind w:right="48"/>
              <w:jc w:val="both"/>
              <w:rPr>
                <w:rFonts w:ascii="Arial" w:hAnsi="Arial" w:cs="Arial"/>
                <w:sz w:val="21"/>
                <w:szCs w:val="21"/>
              </w:rPr>
            </w:pPr>
            <w:r w:rsidRPr="00802FB4">
              <w:rPr>
                <w:rFonts w:ascii="Arial" w:hAnsi="Arial" w:cs="Arial"/>
                <w:sz w:val="21"/>
                <w:szCs w:val="21"/>
              </w:rPr>
              <w:t xml:space="preserve">Los activos financieros del fondo clasificados bajo la categoría de valoración a Valor Razonable con Cambios en Otros Resultados Integrales (ORI), donde el objetivo es obtener los flujos de pago contractuales y mantenerlos disponibles para la venta, su valoración se calcula en forma diaria, a partir del precio de mercado del instrumento.  Los activos financieros del fondo clasificados bajo la categoría de valoración a Valor Razonable con Cambios en Resultados, donde el objetivo es obtener los flujos de efectivo por su venta, su valoración se calcula en forma diaria, a partir del precio de mercado del instrumento. Dependiendo de las condiciones del mercado, el precio de mercado de los valores del fondo se mueve en diferentes direcciones, variando positiva o negativamente, esta llamada “volatilidad de precios” afecta el valor total de la cartera y a su vez, el valor total de la participación del fondo. </w:t>
            </w:r>
          </w:p>
          <w:p w14:paraId="418F4F00" w14:textId="77777777" w:rsidR="00011536" w:rsidRPr="00802FB4" w:rsidRDefault="00011536" w:rsidP="00011536">
            <w:pPr>
              <w:tabs>
                <w:tab w:val="left" w:pos="9214"/>
              </w:tabs>
              <w:ind w:right="48"/>
              <w:jc w:val="both"/>
              <w:rPr>
                <w:rFonts w:ascii="Arial" w:hAnsi="Arial" w:cs="Arial"/>
                <w:sz w:val="21"/>
                <w:szCs w:val="21"/>
              </w:rPr>
            </w:pPr>
          </w:p>
          <w:p w14:paraId="31D69D06" w14:textId="77777777" w:rsidR="00011536" w:rsidRPr="00802FB4" w:rsidRDefault="00011536" w:rsidP="00011536">
            <w:pPr>
              <w:tabs>
                <w:tab w:val="left" w:pos="9214"/>
              </w:tabs>
              <w:ind w:right="48"/>
              <w:jc w:val="both"/>
              <w:rPr>
                <w:rFonts w:ascii="Arial" w:hAnsi="Arial" w:cs="Arial"/>
                <w:sz w:val="21"/>
                <w:szCs w:val="21"/>
              </w:rPr>
            </w:pPr>
            <w:r w:rsidRPr="00802FB4">
              <w:rPr>
                <w:rFonts w:ascii="Arial" w:hAnsi="Arial" w:cs="Arial"/>
                <w:sz w:val="21"/>
                <w:szCs w:val="21"/>
              </w:rPr>
              <w:t>Los activos financieros del fondo clasificados bajo la categoría de valoración a Costo Amortizado, donde el objetivo es mantenerlos hasta su vencimiento y obtener los flujos de pago contractuales, su valoración se calcula en forma diaria, amortizando al precio de compra del instrumento su saldo de prima o descuento, calculado mediante el método de tasa efectiva. Los instrumentos registrados bajo esta categoría calculan en forma diaria la pérdida crediticia esperada (PCE), la cual impacta el valor del activo y por ende el valor total de la participación del fondo. El valor de mercado de estos instrumentos será reflejado en las notas de los estados financieros intermedios y auditados del fondo de inversión.</w:t>
            </w:r>
          </w:p>
          <w:p w14:paraId="1152C9D9" w14:textId="77777777" w:rsidR="00011536" w:rsidRPr="00802FB4" w:rsidRDefault="00011536" w:rsidP="00011536">
            <w:pPr>
              <w:tabs>
                <w:tab w:val="left" w:pos="9214"/>
              </w:tabs>
              <w:ind w:right="48"/>
              <w:jc w:val="both"/>
              <w:rPr>
                <w:rFonts w:ascii="Arial" w:hAnsi="Arial" w:cs="Arial"/>
                <w:sz w:val="21"/>
                <w:szCs w:val="21"/>
              </w:rPr>
            </w:pPr>
          </w:p>
          <w:p w14:paraId="30163511" w14:textId="77777777" w:rsidR="00011536" w:rsidRPr="00802FB4" w:rsidRDefault="00011536" w:rsidP="00011536">
            <w:pPr>
              <w:tabs>
                <w:tab w:val="left" w:pos="9214"/>
              </w:tabs>
              <w:ind w:right="48"/>
              <w:jc w:val="both"/>
              <w:rPr>
                <w:rFonts w:ascii="Arial" w:hAnsi="Arial" w:cs="Arial"/>
                <w:sz w:val="21"/>
                <w:szCs w:val="21"/>
              </w:rPr>
            </w:pPr>
            <w:r w:rsidRPr="00802FB4">
              <w:rPr>
                <w:rFonts w:ascii="Arial" w:hAnsi="Arial" w:cs="Arial"/>
                <w:sz w:val="21"/>
                <w:szCs w:val="21"/>
              </w:rPr>
              <w:t xml:space="preserve">Las operaciones de reporto se valoran a costo amortizado, por lo que cambios en los precios de los activos subyacentes que respaldan dichas operaciones no genera efecto sobre el valor de la participación. </w:t>
            </w:r>
          </w:p>
          <w:p w14:paraId="5EFE9F98" w14:textId="77777777" w:rsidR="00011536" w:rsidRPr="00802FB4" w:rsidRDefault="00011536" w:rsidP="00011536">
            <w:pPr>
              <w:tabs>
                <w:tab w:val="left" w:pos="9214"/>
              </w:tabs>
              <w:ind w:right="48"/>
              <w:jc w:val="both"/>
              <w:rPr>
                <w:rFonts w:ascii="Arial" w:hAnsi="Arial" w:cs="Arial"/>
                <w:sz w:val="21"/>
                <w:szCs w:val="21"/>
              </w:rPr>
            </w:pPr>
          </w:p>
          <w:p w14:paraId="693D82ED" w14:textId="3A2C68D7" w:rsidR="00011536" w:rsidRPr="00802FB4" w:rsidRDefault="00011536" w:rsidP="00011536">
            <w:pPr>
              <w:tabs>
                <w:tab w:val="left" w:pos="9214"/>
              </w:tabs>
              <w:ind w:right="48"/>
              <w:jc w:val="both"/>
              <w:rPr>
                <w:rFonts w:ascii="Arial" w:hAnsi="Arial" w:cs="Arial"/>
                <w:sz w:val="21"/>
                <w:szCs w:val="21"/>
              </w:rPr>
            </w:pPr>
            <w:r w:rsidRPr="00802FB4">
              <w:rPr>
                <w:rFonts w:ascii="Arial" w:hAnsi="Arial" w:cs="Arial"/>
                <w:sz w:val="21"/>
                <w:szCs w:val="21"/>
              </w:rPr>
              <w:t xml:space="preserve">Para calcular el precio de referencia de la participación del fondo, se toman cada uno de los activos en los que se mantiene inversiones y se valoran según su categoría de valoración. La </w:t>
            </w:r>
            <w:r w:rsidRPr="00802FB4">
              <w:rPr>
                <w:rFonts w:ascii="Arial" w:hAnsi="Arial" w:cs="Arial"/>
                <w:sz w:val="21"/>
                <w:szCs w:val="21"/>
              </w:rPr>
              <w:lastRenderedPageBreak/>
              <w:t>sumatoria simple de todos los activos genera el valor del activo total del fondo.</w:t>
            </w:r>
          </w:p>
          <w:p w14:paraId="77D4AFD6" w14:textId="77777777" w:rsidR="00011536" w:rsidRPr="00802FB4" w:rsidRDefault="00011536" w:rsidP="00011536">
            <w:pPr>
              <w:tabs>
                <w:tab w:val="left" w:pos="9214"/>
              </w:tabs>
              <w:ind w:right="48"/>
              <w:jc w:val="both"/>
              <w:rPr>
                <w:rFonts w:ascii="Arial" w:hAnsi="Arial" w:cs="Arial"/>
                <w:sz w:val="21"/>
                <w:szCs w:val="21"/>
              </w:rPr>
            </w:pPr>
          </w:p>
          <w:p w14:paraId="3DA62E69" w14:textId="2F6C1573" w:rsidR="008C5E1B" w:rsidRPr="00802FB4" w:rsidRDefault="00011536" w:rsidP="00EE4CB9">
            <w:pPr>
              <w:tabs>
                <w:tab w:val="left" w:pos="9214"/>
              </w:tabs>
              <w:ind w:right="48"/>
              <w:jc w:val="both"/>
              <w:rPr>
                <w:rFonts w:ascii="Arial" w:hAnsi="Arial" w:cs="Arial"/>
                <w:sz w:val="21"/>
                <w:szCs w:val="21"/>
              </w:rPr>
            </w:pPr>
            <w:r w:rsidRPr="00802FB4">
              <w:rPr>
                <w:rFonts w:ascii="Arial" w:hAnsi="Arial" w:cs="Arial"/>
                <w:sz w:val="21"/>
                <w:szCs w:val="21"/>
              </w:rPr>
              <w:t xml:space="preserve">Para la valoración de activos financieros a valor razonable, los precios a valor de mercado son proporcionados por el Proveedor Integral de Precios Centroamérica (PIPCA), quien posee inscrita su metodología de valoración ante la Superintendencia General de Valores. Dicho documento puede ser consultado en la página web de la entidad </w:t>
            </w:r>
            <w:hyperlink r:id="rId15" w:history="1">
              <w:r w:rsidR="00EE4CB9" w:rsidRPr="00802FB4">
                <w:rPr>
                  <w:rStyle w:val="Hipervnculo"/>
                  <w:rFonts w:ascii="Arial" w:hAnsi="Arial" w:cs="Arial"/>
                  <w:sz w:val="21"/>
                  <w:szCs w:val="21"/>
                </w:rPr>
                <w:t>www.piplatam.com</w:t>
              </w:r>
            </w:hyperlink>
            <w:r w:rsidR="00EE4CB9" w:rsidRPr="00802FB4">
              <w:rPr>
                <w:rFonts w:ascii="Arial" w:hAnsi="Arial" w:cs="Arial"/>
                <w:sz w:val="21"/>
                <w:szCs w:val="21"/>
              </w:rPr>
              <w:t xml:space="preserve">, </w:t>
            </w:r>
            <w:r w:rsidRPr="00802FB4">
              <w:rPr>
                <w:rFonts w:ascii="Arial" w:hAnsi="Arial" w:cs="Arial"/>
                <w:sz w:val="21"/>
                <w:szCs w:val="21"/>
              </w:rPr>
              <w:t xml:space="preserve">bajo el nombre de Manual para la Valuación de Instrumentos Financieros en Costa Rica, así como en la página de la Superintendencia </w:t>
            </w:r>
            <w:hyperlink r:id="rId16" w:history="1">
              <w:r w:rsidRPr="00802FB4">
                <w:rPr>
                  <w:rStyle w:val="Hipervnculo"/>
                  <w:rFonts w:ascii="Arial" w:hAnsi="Arial" w:cs="Arial"/>
                  <w:sz w:val="21"/>
                  <w:szCs w:val="21"/>
                </w:rPr>
                <w:t>www.sugeval.fi.cr</w:t>
              </w:r>
            </w:hyperlink>
            <w:r w:rsidRPr="00802FB4">
              <w:rPr>
                <w:rFonts w:ascii="Arial" w:hAnsi="Arial" w:cs="Arial"/>
                <w:sz w:val="21"/>
                <w:szCs w:val="21"/>
              </w:rPr>
              <w:t>.</w:t>
            </w:r>
          </w:p>
        </w:tc>
      </w:tr>
      <w:tr w:rsidR="008C5E1B" w:rsidRPr="00802FB4" w14:paraId="2207B8B9" w14:textId="77777777" w:rsidTr="00740A4C">
        <w:tc>
          <w:tcPr>
            <w:tcW w:w="2657" w:type="dxa"/>
            <w:vAlign w:val="center"/>
          </w:tcPr>
          <w:p w14:paraId="1B50FDA9" w14:textId="77777777" w:rsidR="008C5E1B" w:rsidRPr="00802FB4" w:rsidRDefault="008C5E1B" w:rsidP="007665A2">
            <w:pPr>
              <w:rPr>
                <w:rFonts w:ascii="Arial" w:hAnsi="Arial" w:cs="Arial"/>
                <w:b/>
                <w:sz w:val="21"/>
                <w:szCs w:val="21"/>
              </w:rPr>
            </w:pPr>
            <w:r w:rsidRPr="00802FB4">
              <w:rPr>
                <w:rFonts w:ascii="Arial" w:hAnsi="Arial" w:cs="Arial"/>
                <w:b/>
                <w:sz w:val="21"/>
                <w:szCs w:val="21"/>
              </w:rPr>
              <w:lastRenderedPageBreak/>
              <w:t>Periodicidad de la valoración de los activos financieros del fondo</w:t>
            </w:r>
          </w:p>
        </w:tc>
        <w:tc>
          <w:tcPr>
            <w:tcW w:w="6521" w:type="dxa"/>
            <w:vAlign w:val="center"/>
          </w:tcPr>
          <w:p w14:paraId="0D200FB8" w14:textId="77777777" w:rsidR="008C5E1B" w:rsidRPr="00802FB4" w:rsidRDefault="008C5E1B" w:rsidP="00573F4A">
            <w:pPr>
              <w:rPr>
                <w:rFonts w:ascii="Arial" w:hAnsi="Arial" w:cs="Arial"/>
                <w:i/>
                <w:sz w:val="21"/>
                <w:szCs w:val="21"/>
              </w:rPr>
            </w:pPr>
            <w:r w:rsidRPr="00802FB4">
              <w:rPr>
                <w:rFonts w:ascii="Arial" w:hAnsi="Arial" w:cs="Arial"/>
                <w:i/>
                <w:sz w:val="21"/>
                <w:szCs w:val="21"/>
              </w:rPr>
              <w:t>Diaria</w:t>
            </w:r>
          </w:p>
        </w:tc>
      </w:tr>
      <w:tr w:rsidR="008C5E1B" w:rsidRPr="00802FB4" w14:paraId="794547BF" w14:textId="77777777" w:rsidTr="00740A4C">
        <w:tc>
          <w:tcPr>
            <w:tcW w:w="2657" w:type="dxa"/>
            <w:vAlign w:val="center"/>
          </w:tcPr>
          <w:p w14:paraId="1D46517F" w14:textId="77777777" w:rsidR="008C5E1B" w:rsidRPr="00802FB4" w:rsidRDefault="008C5E1B" w:rsidP="007665A2">
            <w:pPr>
              <w:rPr>
                <w:rFonts w:ascii="Arial" w:hAnsi="Arial" w:cs="Arial"/>
                <w:b/>
                <w:sz w:val="21"/>
                <w:szCs w:val="21"/>
              </w:rPr>
            </w:pPr>
            <w:r w:rsidRPr="00802FB4">
              <w:rPr>
                <w:rFonts w:ascii="Arial" w:hAnsi="Arial" w:cs="Arial"/>
                <w:b/>
                <w:sz w:val="21"/>
                <w:szCs w:val="21"/>
              </w:rPr>
              <w:t>Metodología para la valoración de los inmuebles del fondo de inversión</w:t>
            </w:r>
          </w:p>
        </w:tc>
        <w:tc>
          <w:tcPr>
            <w:tcW w:w="6521" w:type="dxa"/>
            <w:vAlign w:val="center"/>
          </w:tcPr>
          <w:p w14:paraId="1B5CCF37" w14:textId="5EA2CD09" w:rsidR="00C446BD" w:rsidRPr="00802FB4" w:rsidRDefault="001B76D5">
            <w:pPr>
              <w:tabs>
                <w:tab w:val="left" w:pos="426"/>
              </w:tabs>
              <w:jc w:val="both"/>
              <w:rPr>
                <w:rFonts w:ascii="Arial" w:hAnsi="Arial" w:cs="Arial"/>
                <w:sz w:val="21"/>
                <w:szCs w:val="21"/>
              </w:rPr>
            </w:pPr>
            <w:r w:rsidRPr="00802FB4">
              <w:rPr>
                <w:rFonts w:ascii="Arial" w:hAnsi="Arial" w:cs="Arial"/>
                <w:sz w:val="21"/>
                <w:szCs w:val="21"/>
              </w:rPr>
              <w:t>Los bienes inmuebles</w:t>
            </w:r>
            <w:r w:rsidR="00AF71F0" w:rsidRPr="00802FB4">
              <w:rPr>
                <w:rFonts w:ascii="Arial" w:hAnsi="Arial" w:cs="Arial"/>
                <w:sz w:val="21"/>
                <w:szCs w:val="21"/>
              </w:rPr>
              <w:t xml:space="preserve"> deben valorarse al momento de su adquisición y </w:t>
            </w:r>
            <w:r w:rsidR="00D377CA" w:rsidRPr="00802FB4">
              <w:rPr>
                <w:rFonts w:ascii="Arial" w:hAnsi="Arial" w:cs="Arial"/>
                <w:sz w:val="21"/>
                <w:szCs w:val="21"/>
              </w:rPr>
              <w:t>venta, y</w:t>
            </w:r>
            <w:r w:rsidR="00AF71F0" w:rsidRPr="00802FB4">
              <w:rPr>
                <w:rFonts w:ascii="Arial" w:hAnsi="Arial" w:cs="Arial"/>
                <w:sz w:val="21"/>
                <w:szCs w:val="21"/>
              </w:rPr>
              <w:t xml:space="preserve"> </w:t>
            </w:r>
            <w:r w:rsidRPr="00802FB4">
              <w:rPr>
                <w:rFonts w:ascii="Arial" w:hAnsi="Arial" w:cs="Arial"/>
                <w:sz w:val="21"/>
                <w:szCs w:val="21"/>
              </w:rPr>
              <w:t>al menos una vez al año</w:t>
            </w:r>
            <w:r w:rsidR="00AF71F0" w:rsidRPr="00802FB4">
              <w:rPr>
                <w:rFonts w:ascii="Arial" w:hAnsi="Arial" w:cs="Arial"/>
                <w:sz w:val="21"/>
                <w:szCs w:val="21"/>
              </w:rPr>
              <w:t xml:space="preserve"> mientras permanezca en la cartera del fondo, </w:t>
            </w:r>
            <w:r w:rsidR="00F45247" w:rsidRPr="00802FB4">
              <w:rPr>
                <w:rFonts w:ascii="Arial" w:hAnsi="Arial" w:cs="Arial"/>
                <w:sz w:val="21"/>
                <w:szCs w:val="21"/>
              </w:rPr>
              <w:t xml:space="preserve">para lo cual se </w:t>
            </w:r>
            <w:r w:rsidR="00AF71F0" w:rsidRPr="00802FB4">
              <w:rPr>
                <w:rFonts w:ascii="Arial" w:hAnsi="Arial" w:cs="Arial"/>
                <w:sz w:val="21"/>
                <w:szCs w:val="21"/>
              </w:rPr>
              <w:t xml:space="preserve">suele </w:t>
            </w:r>
            <w:r w:rsidR="00F45247" w:rsidRPr="00802FB4">
              <w:rPr>
                <w:rFonts w:ascii="Arial" w:hAnsi="Arial" w:cs="Arial"/>
                <w:sz w:val="21"/>
                <w:szCs w:val="21"/>
              </w:rPr>
              <w:t>considerar la fecha de compra de cada inmueble</w:t>
            </w:r>
            <w:r w:rsidR="00AF71F0" w:rsidRPr="00802FB4">
              <w:rPr>
                <w:rFonts w:ascii="Arial" w:hAnsi="Arial" w:cs="Arial"/>
                <w:sz w:val="21"/>
                <w:szCs w:val="21"/>
              </w:rPr>
              <w:t xml:space="preserve">. </w:t>
            </w:r>
            <w:r w:rsidRPr="00802FB4">
              <w:rPr>
                <w:rFonts w:ascii="Arial" w:hAnsi="Arial" w:cs="Arial"/>
                <w:sz w:val="21"/>
                <w:szCs w:val="21"/>
              </w:rPr>
              <w:t xml:space="preserve">  </w:t>
            </w:r>
            <w:r w:rsidR="00F336C7" w:rsidRPr="00802FB4">
              <w:rPr>
                <w:rFonts w:ascii="Arial" w:hAnsi="Arial" w:cs="Arial"/>
                <w:sz w:val="21"/>
                <w:szCs w:val="21"/>
              </w:rPr>
              <w:t xml:space="preserve">Los </w:t>
            </w:r>
            <w:r w:rsidR="007B2E8D" w:rsidRPr="00802FB4">
              <w:rPr>
                <w:rFonts w:ascii="Arial" w:hAnsi="Arial" w:cs="Arial"/>
                <w:sz w:val="21"/>
                <w:szCs w:val="21"/>
              </w:rPr>
              <w:t>activos inmobiliarios</w:t>
            </w:r>
            <w:r w:rsidR="00F336C7" w:rsidRPr="00802FB4">
              <w:rPr>
                <w:rFonts w:ascii="Arial" w:hAnsi="Arial" w:cs="Arial"/>
                <w:sz w:val="21"/>
                <w:szCs w:val="21"/>
              </w:rPr>
              <w:t xml:space="preserve"> serán sometidos a una sola valoración cuyo propósito es estimar el valor razonable del inmueble según la definición establecida en las</w:t>
            </w:r>
            <w:r w:rsidR="00C446BD" w:rsidRPr="00802FB4">
              <w:rPr>
                <w:rFonts w:ascii="Arial" w:hAnsi="Arial" w:cs="Arial"/>
                <w:sz w:val="21"/>
                <w:szCs w:val="21"/>
              </w:rPr>
              <w:t xml:space="preserve"> </w:t>
            </w:r>
            <w:r w:rsidR="00F336C7" w:rsidRPr="00802FB4">
              <w:rPr>
                <w:rFonts w:ascii="Arial" w:hAnsi="Arial" w:cs="Arial"/>
                <w:sz w:val="21"/>
                <w:szCs w:val="21"/>
              </w:rPr>
              <w:t xml:space="preserve">Normas Internacionales de Información Financiera (NIIF), específicamente la NIIF 13 </w:t>
            </w:r>
            <w:r w:rsidR="008B5146" w:rsidRPr="00802FB4">
              <w:rPr>
                <w:rFonts w:ascii="Arial" w:hAnsi="Arial" w:cs="Arial"/>
                <w:sz w:val="21"/>
                <w:szCs w:val="21"/>
              </w:rPr>
              <w:t>“</w:t>
            </w:r>
            <w:r w:rsidR="00F336C7" w:rsidRPr="00802FB4">
              <w:rPr>
                <w:rFonts w:ascii="Arial" w:hAnsi="Arial" w:cs="Arial"/>
                <w:sz w:val="21"/>
                <w:szCs w:val="21"/>
              </w:rPr>
              <w:t>Medición del</w:t>
            </w:r>
            <w:r w:rsidR="00C446BD" w:rsidRPr="00802FB4">
              <w:rPr>
                <w:rFonts w:ascii="Arial" w:hAnsi="Arial" w:cs="Arial"/>
                <w:sz w:val="21"/>
                <w:szCs w:val="21"/>
              </w:rPr>
              <w:t xml:space="preserve"> </w:t>
            </w:r>
            <w:r w:rsidR="00F336C7" w:rsidRPr="00802FB4">
              <w:rPr>
                <w:rFonts w:ascii="Arial" w:hAnsi="Arial" w:cs="Arial"/>
                <w:sz w:val="21"/>
                <w:szCs w:val="21"/>
              </w:rPr>
              <w:t>Valor Razonable</w:t>
            </w:r>
            <w:r w:rsidR="00604E69" w:rsidRPr="00802FB4">
              <w:rPr>
                <w:rFonts w:ascii="Arial" w:hAnsi="Arial" w:cs="Arial"/>
                <w:sz w:val="21"/>
                <w:szCs w:val="21"/>
              </w:rPr>
              <w:t>”</w:t>
            </w:r>
            <w:r w:rsidR="002852F0" w:rsidRPr="00802FB4">
              <w:rPr>
                <w:rFonts w:ascii="Arial" w:hAnsi="Arial" w:cs="Arial"/>
                <w:sz w:val="21"/>
                <w:szCs w:val="21"/>
              </w:rPr>
              <w:t xml:space="preserve">. </w:t>
            </w:r>
            <w:r w:rsidR="00F336C7" w:rsidRPr="00802FB4">
              <w:rPr>
                <w:rFonts w:ascii="Arial" w:hAnsi="Arial" w:cs="Arial"/>
                <w:sz w:val="21"/>
                <w:szCs w:val="21"/>
              </w:rPr>
              <w:t>La estimación de valor razonable según las NIIF representa la necesidad de considerar la aplicación</w:t>
            </w:r>
            <w:r w:rsidR="00C446BD" w:rsidRPr="00802FB4">
              <w:rPr>
                <w:rFonts w:ascii="Arial" w:hAnsi="Arial" w:cs="Arial"/>
                <w:sz w:val="21"/>
                <w:szCs w:val="21"/>
              </w:rPr>
              <w:t xml:space="preserve"> </w:t>
            </w:r>
            <w:r w:rsidR="00F336C7" w:rsidRPr="00802FB4">
              <w:rPr>
                <w:rFonts w:ascii="Arial" w:hAnsi="Arial" w:cs="Arial"/>
                <w:sz w:val="21"/>
                <w:szCs w:val="21"/>
              </w:rPr>
              <w:t>de uno o más enfoques de valoración como lo son el enfoque de ingresos, el enfoque de mercado y</w:t>
            </w:r>
            <w:r w:rsidR="00C446BD" w:rsidRPr="00802FB4">
              <w:rPr>
                <w:rFonts w:ascii="Arial" w:hAnsi="Arial" w:cs="Arial"/>
                <w:sz w:val="21"/>
                <w:szCs w:val="21"/>
              </w:rPr>
              <w:t xml:space="preserve"> </w:t>
            </w:r>
            <w:r w:rsidR="00F336C7" w:rsidRPr="00802FB4">
              <w:rPr>
                <w:rFonts w:ascii="Arial" w:hAnsi="Arial" w:cs="Arial"/>
                <w:sz w:val="21"/>
                <w:szCs w:val="21"/>
              </w:rPr>
              <w:t>el enfoque de costos</w:t>
            </w:r>
            <w:r w:rsidR="00C446BD" w:rsidRPr="00802FB4">
              <w:rPr>
                <w:rFonts w:ascii="Arial" w:hAnsi="Arial" w:cs="Arial"/>
                <w:sz w:val="21"/>
                <w:szCs w:val="21"/>
              </w:rPr>
              <w:t>.</w:t>
            </w:r>
            <w:r w:rsidR="00CB7CBF" w:rsidRPr="00753FD7">
              <w:rPr>
                <w:rFonts w:ascii="Arial" w:hAnsi="Arial" w:cs="Arial"/>
              </w:rPr>
              <w:t xml:space="preserve"> </w:t>
            </w:r>
          </w:p>
          <w:p w14:paraId="0133F708" w14:textId="77777777" w:rsidR="00C446BD" w:rsidRPr="00802FB4" w:rsidRDefault="00C446BD" w:rsidP="00F336C7">
            <w:pPr>
              <w:tabs>
                <w:tab w:val="left" w:pos="426"/>
              </w:tabs>
              <w:jc w:val="both"/>
              <w:rPr>
                <w:rFonts w:ascii="Arial" w:hAnsi="Arial" w:cs="Arial"/>
                <w:sz w:val="21"/>
                <w:szCs w:val="21"/>
                <w:highlight w:val="yellow"/>
              </w:rPr>
            </w:pPr>
          </w:p>
          <w:p w14:paraId="32A3765B" w14:textId="615F82E5" w:rsidR="00E2517E" w:rsidRPr="00802FB4" w:rsidRDefault="003D200D" w:rsidP="00F45247">
            <w:pPr>
              <w:tabs>
                <w:tab w:val="left" w:pos="426"/>
              </w:tabs>
              <w:jc w:val="both"/>
              <w:rPr>
                <w:rFonts w:ascii="Arial" w:hAnsi="Arial" w:cs="Arial"/>
                <w:sz w:val="21"/>
                <w:szCs w:val="21"/>
              </w:rPr>
            </w:pPr>
            <w:r w:rsidRPr="00802FB4">
              <w:rPr>
                <w:rFonts w:ascii="Arial" w:hAnsi="Arial" w:cs="Arial"/>
                <w:sz w:val="21"/>
                <w:szCs w:val="21"/>
              </w:rPr>
              <w:t>Esta</w:t>
            </w:r>
            <w:r w:rsidR="001F23B3" w:rsidRPr="00802FB4">
              <w:rPr>
                <w:rFonts w:ascii="Arial" w:hAnsi="Arial" w:cs="Arial"/>
                <w:sz w:val="21"/>
                <w:szCs w:val="21"/>
              </w:rPr>
              <w:t xml:space="preserve"> </w:t>
            </w:r>
            <w:r w:rsidR="00F45247" w:rsidRPr="00802FB4">
              <w:rPr>
                <w:rFonts w:ascii="Arial" w:hAnsi="Arial" w:cs="Arial"/>
                <w:sz w:val="21"/>
                <w:szCs w:val="21"/>
              </w:rPr>
              <w:t xml:space="preserve"> valoración </w:t>
            </w:r>
            <w:r w:rsidR="006245CB" w:rsidRPr="00802FB4">
              <w:rPr>
                <w:rFonts w:ascii="Arial" w:hAnsi="Arial" w:cs="Arial"/>
                <w:sz w:val="21"/>
                <w:szCs w:val="21"/>
              </w:rPr>
              <w:t xml:space="preserve">será </w:t>
            </w:r>
            <w:r w:rsidR="00F45247" w:rsidRPr="00802FB4">
              <w:rPr>
                <w:rFonts w:ascii="Arial" w:hAnsi="Arial" w:cs="Arial"/>
                <w:sz w:val="21"/>
                <w:szCs w:val="21"/>
              </w:rPr>
              <w:t>preparada por experto</w:t>
            </w:r>
            <w:r w:rsidR="000847C6" w:rsidRPr="00802FB4">
              <w:rPr>
                <w:rFonts w:ascii="Arial" w:hAnsi="Arial" w:cs="Arial"/>
                <w:sz w:val="21"/>
                <w:szCs w:val="21"/>
              </w:rPr>
              <w:t>s</w:t>
            </w:r>
            <w:r w:rsidR="00F45247" w:rsidRPr="00802FB4">
              <w:rPr>
                <w:rFonts w:ascii="Arial" w:hAnsi="Arial" w:cs="Arial"/>
                <w:sz w:val="21"/>
                <w:szCs w:val="21"/>
              </w:rPr>
              <w:t xml:space="preserve"> independiente</w:t>
            </w:r>
            <w:r w:rsidR="000847C6" w:rsidRPr="00802FB4">
              <w:rPr>
                <w:rFonts w:ascii="Arial" w:hAnsi="Arial" w:cs="Arial"/>
                <w:sz w:val="21"/>
                <w:szCs w:val="21"/>
              </w:rPr>
              <w:t>s</w:t>
            </w:r>
            <w:r w:rsidR="00F45247" w:rsidRPr="00802FB4">
              <w:rPr>
                <w:rFonts w:ascii="Arial" w:hAnsi="Arial" w:cs="Arial"/>
                <w:sz w:val="21"/>
                <w:szCs w:val="21"/>
              </w:rPr>
              <w:t xml:space="preserve"> de </w:t>
            </w:r>
            <w:r w:rsidRPr="00802FB4">
              <w:rPr>
                <w:rFonts w:ascii="Arial" w:hAnsi="Arial" w:cs="Arial"/>
                <w:sz w:val="21"/>
                <w:szCs w:val="21"/>
              </w:rPr>
              <w:t>Multifondos</w:t>
            </w:r>
            <w:r w:rsidR="000E067A" w:rsidRPr="00802FB4">
              <w:rPr>
                <w:rFonts w:ascii="Arial" w:hAnsi="Arial" w:cs="Arial"/>
                <w:sz w:val="21"/>
                <w:szCs w:val="21"/>
              </w:rPr>
              <w:t xml:space="preserve"> y </w:t>
            </w:r>
            <w:r w:rsidR="00AF71F0" w:rsidRPr="00802FB4">
              <w:rPr>
                <w:rFonts w:ascii="Arial" w:hAnsi="Arial" w:cs="Arial"/>
                <w:sz w:val="21"/>
                <w:szCs w:val="21"/>
              </w:rPr>
              <w:t>podrá</w:t>
            </w:r>
            <w:r w:rsidR="000E067A" w:rsidRPr="00802FB4">
              <w:rPr>
                <w:rFonts w:ascii="Arial" w:hAnsi="Arial" w:cs="Arial"/>
                <w:sz w:val="21"/>
                <w:szCs w:val="21"/>
              </w:rPr>
              <w:t xml:space="preserve"> reflejar, entre otras cosas, los ingresos por alquileres de los arrendamientos y otros supuestos que los participantes del mercado utilizarían al fijar el precio de la propiedad en condiciones de mercado</w:t>
            </w:r>
            <w:r w:rsidR="007C3DC7" w:rsidRPr="00802FB4">
              <w:rPr>
                <w:rFonts w:ascii="Arial" w:hAnsi="Arial" w:cs="Arial"/>
                <w:sz w:val="21"/>
                <w:szCs w:val="21"/>
              </w:rPr>
              <w:t>, con el fin de determinar un valor</w:t>
            </w:r>
            <w:r w:rsidR="00975B22" w:rsidRPr="00802FB4">
              <w:rPr>
                <w:rFonts w:ascii="Arial" w:hAnsi="Arial" w:cs="Arial"/>
                <w:sz w:val="21"/>
                <w:szCs w:val="21"/>
              </w:rPr>
              <w:t>, de conformidad con el modelo del valor razonable para propiedades de inversión establecido en las NIIF</w:t>
            </w:r>
            <w:r w:rsidR="007C3DC7" w:rsidRPr="00802FB4">
              <w:rPr>
                <w:rFonts w:ascii="Arial" w:hAnsi="Arial" w:cs="Arial"/>
                <w:sz w:val="21"/>
                <w:szCs w:val="21"/>
              </w:rPr>
              <w:t xml:space="preserve">, que </w:t>
            </w:r>
            <w:r w:rsidR="002B57DD" w:rsidRPr="00802FB4">
              <w:rPr>
                <w:rFonts w:ascii="Arial" w:hAnsi="Arial" w:cs="Arial"/>
                <w:sz w:val="21"/>
                <w:szCs w:val="21"/>
              </w:rPr>
              <w:t>será</w:t>
            </w:r>
            <w:r w:rsidR="007C3DC7" w:rsidRPr="00802FB4">
              <w:rPr>
                <w:rFonts w:ascii="Arial" w:hAnsi="Arial" w:cs="Arial"/>
                <w:sz w:val="21"/>
                <w:szCs w:val="21"/>
              </w:rPr>
              <w:t xml:space="preserve"> utilizado para el r</w:t>
            </w:r>
            <w:r w:rsidR="00A25E8D" w:rsidRPr="00802FB4">
              <w:rPr>
                <w:rFonts w:ascii="Arial" w:hAnsi="Arial" w:cs="Arial"/>
                <w:sz w:val="21"/>
                <w:szCs w:val="21"/>
              </w:rPr>
              <w:t>espectivo r</w:t>
            </w:r>
            <w:r w:rsidR="007C3DC7" w:rsidRPr="00802FB4">
              <w:rPr>
                <w:rFonts w:ascii="Arial" w:hAnsi="Arial" w:cs="Arial"/>
                <w:sz w:val="21"/>
                <w:szCs w:val="21"/>
              </w:rPr>
              <w:t>egistro en los estados financieros de</w:t>
            </w:r>
            <w:r w:rsidR="00024830" w:rsidRPr="00802FB4">
              <w:rPr>
                <w:rFonts w:ascii="Arial" w:hAnsi="Arial" w:cs="Arial"/>
                <w:sz w:val="21"/>
                <w:szCs w:val="21"/>
              </w:rPr>
              <w:t>l</w:t>
            </w:r>
            <w:r w:rsidR="007C3DC7" w:rsidRPr="00802FB4">
              <w:rPr>
                <w:rFonts w:ascii="Arial" w:hAnsi="Arial" w:cs="Arial"/>
                <w:sz w:val="21"/>
                <w:szCs w:val="21"/>
              </w:rPr>
              <w:t xml:space="preserve"> </w:t>
            </w:r>
            <w:r w:rsidR="00024830" w:rsidRPr="00802FB4">
              <w:rPr>
                <w:rFonts w:ascii="Arial" w:hAnsi="Arial" w:cs="Arial"/>
                <w:sz w:val="21"/>
                <w:szCs w:val="21"/>
              </w:rPr>
              <w:t>F</w:t>
            </w:r>
            <w:r w:rsidR="007C3DC7" w:rsidRPr="00802FB4">
              <w:rPr>
                <w:rFonts w:ascii="Arial" w:hAnsi="Arial" w:cs="Arial"/>
                <w:sz w:val="21"/>
                <w:szCs w:val="21"/>
              </w:rPr>
              <w:t>ondo</w:t>
            </w:r>
            <w:r w:rsidR="00975B22" w:rsidRPr="00802FB4">
              <w:rPr>
                <w:rFonts w:ascii="Arial" w:hAnsi="Arial" w:cs="Arial"/>
                <w:sz w:val="21"/>
                <w:szCs w:val="21"/>
              </w:rPr>
              <w:t>.</w:t>
            </w:r>
          </w:p>
          <w:p w14:paraId="732C07CD" w14:textId="282D6AF4" w:rsidR="00E2517E" w:rsidRPr="00802FB4" w:rsidRDefault="00E2517E" w:rsidP="00991C14">
            <w:pPr>
              <w:spacing w:before="240"/>
              <w:ind w:right="-1"/>
              <w:jc w:val="both"/>
              <w:rPr>
                <w:rFonts w:ascii="Arial" w:hAnsi="Arial" w:cs="Arial"/>
                <w:sz w:val="21"/>
                <w:szCs w:val="21"/>
              </w:rPr>
            </w:pPr>
            <w:r w:rsidRPr="00802FB4">
              <w:rPr>
                <w:rFonts w:ascii="Arial" w:hAnsi="Arial" w:cs="Arial"/>
                <w:sz w:val="21"/>
                <w:szCs w:val="21"/>
              </w:rPr>
              <w:t>El alcance de la valoración y la emisión del informe</w:t>
            </w:r>
            <w:r w:rsidR="00FE181F" w:rsidRPr="00802FB4">
              <w:rPr>
                <w:rFonts w:ascii="Arial" w:hAnsi="Arial" w:cs="Arial"/>
                <w:sz w:val="21"/>
                <w:szCs w:val="21"/>
              </w:rPr>
              <w:t>, realizado por el profesional o la firma de profesionales</w:t>
            </w:r>
            <w:r w:rsidRPr="00802FB4">
              <w:rPr>
                <w:rFonts w:ascii="Arial" w:hAnsi="Arial" w:cs="Arial"/>
                <w:sz w:val="21"/>
                <w:szCs w:val="21"/>
              </w:rPr>
              <w:t xml:space="preserve"> </w:t>
            </w:r>
            <w:r w:rsidR="00CC6BBB" w:rsidRPr="00802FB4">
              <w:rPr>
                <w:rFonts w:ascii="Arial" w:hAnsi="Arial" w:cs="Arial"/>
                <w:sz w:val="21"/>
                <w:szCs w:val="21"/>
              </w:rPr>
              <w:t xml:space="preserve">contratados por Multifondos deberán cumplir </w:t>
            </w:r>
            <w:r w:rsidRPr="00802FB4">
              <w:rPr>
                <w:rFonts w:ascii="Arial" w:hAnsi="Arial" w:cs="Arial"/>
                <w:sz w:val="21"/>
                <w:szCs w:val="21"/>
              </w:rPr>
              <w:t>con los Estándares Internacionales de Valuación vigentes (IVS por su sigla en inglés) emitidos por el Consejo de Normas Internacionales de Valuación (IVSC por su sigla en inglés</w:t>
            </w:r>
            <w:r w:rsidR="00F65EAA" w:rsidRPr="00802FB4">
              <w:rPr>
                <w:rFonts w:ascii="Arial" w:hAnsi="Arial" w:cs="Arial"/>
                <w:sz w:val="21"/>
                <w:szCs w:val="21"/>
              </w:rPr>
              <w:t>)</w:t>
            </w:r>
            <w:r w:rsidR="008017DB" w:rsidRPr="00802FB4">
              <w:rPr>
                <w:rFonts w:ascii="Arial" w:hAnsi="Arial" w:cs="Arial"/>
                <w:sz w:val="21"/>
                <w:szCs w:val="21"/>
              </w:rPr>
              <w:t>.</w:t>
            </w:r>
          </w:p>
          <w:p w14:paraId="5B3BA751" w14:textId="4FF0BD5E" w:rsidR="000847C6" w:rsidRPr="00802FB4" w:rsidRDefault="000847C6" w:rsidP="000847C6">
            <w:pPr>
              <w:tabs>
                <w:tab w:val="left" w:pos="426"/>
              </w:tabs>
              <w:jc w:val="both"/>
              <w:rPr>
                <w:rFonts w:ascii="Arial" w:hAnsi="Arial" w:cs="Arial"/>
                <w:sz w:val="21"/>
                <w:szCs w:val="21"/>
              </w:rPr>
            </w:pPr>
          </w:p>
          <w:p w14:paraId="0C1AC005" w14:textId="1CA72A74" w:rsidR="008C5E1B" w:rsidRPr="00802FB4" w:rsidRDefault="003D200D" w:rsidP="00D377CA">
            <w:pPr>
              <w:tabs>
                <w:tab w:val="left" w:pos="426"/>
              </w:tabs>
              <w:spacing w:before="240"/>
              <w:jc w:val="both"/>
              <w:rPr>
                <w:rFonts w:ascii="Arial" w:hAnsi="Arial" w:cs="Arial"/>
                <w:sz w:val="21"/>
                <w:szCs w:val="21"/>
              </w:rPr>
            </w:pPr>
            <w:r w:rsidRPr="00802FB4">
              <w:rPr>
                <w:rFonts w:ascii="Arial" w:hAnsi="Arial" w:cs="Arial"/>
                <w:sz w:val="21"/>
                <w:szCs w:val="21"/>
              </w:rPr>
              <w:t>Los informes de las</w:t>
            </w:r>
            <w:r w:rsidR="003110F2" w:rsidRPr="00802FB4">
              <w:rPr>
                <w:rFonts w:ascii="Arial" w:hAnsi="Arial" w:cs="Arial"/>
                <w:sz w:val="21"/>
                <w:szCs w:val="21"/>
              </w:rPr>
              <w:t xml:space="preserve"> valoraciones estarán a disposición del inversionista en las oficinas de Multifondos de Costa Rica S.A., SFI y en las oficinas de la Sugeval.</w:t>
            </w:r>
          </w:p>
        </w:tc>
      </w:tr>
      <w:tr w:rsidR="008C5E1B" w:rsidRPr="00802FB4" w14:paraId="13CF3B5E" w14:textId="77777777" w:rsidTr="00740A4C">
        <w:tc>
          <w:tcPr>
            <w:tcW w:w="2657" w:type="dxa"/>
            <w:vAlign w:val="center"/>
          </w:tcPr>
          <w:p w14:paraId="71DE529C" w14:textId="77777777" w:rsidR="008C5E1B" w:rsidRPr="00802FB4" w:rsidRDefault="008C5E1B" w:rsidP="007665A2">
            <w:pPr>
              <w:rPr>
                <w:rFonts w:ascii="Arial" w:hAnsi="Arial" w:cs="Arial"/>
                <w:b/>
                <w:sz w:val="21"/>
                <w:szCs w:val="21"/>
              </w:rPr>
            </w:pPr>
            <w:r w:rsidRPr="00802FB4">
              <w:rPr>
                <w:rFonts w:ascii="Arial" w:hAnsi="Arial" w:cs="Arial"/>
                <w:b/>
                <w:sz w:val="21"/>
                <w:szCs w:val="21"/>
              </w:rPr>
              <w:t xml:space="preserve">Periodicidad de la valoración de los </w:t>
            </w:r>
            <w:r w:rsidRPr="00802FB4">
              <w:rPr>
                <w:rFonts w:ascii="Arial" w:hAnsi="Arial" w:cs="Arial"/>
                <w:b/>
                <w:sz w:val="21"/>
                <w:szCs w:val="21"/>
              </w:rPr>
              <w:lastRenderedPageBreak/>
              <w:t>activos no financieros del fondo</w:t>
            </w:r>
          </w:p>
        </w:tc>
        <w:tc>
          <w:tcPr>
            <w:tcW w:w="6521" w:type="dxa"/>
            <w:vAlign w:val="center"/>
          </w:tcPr>
          <w:p w14:paraId="79141DFC" w14:textId="77777777" w:rsidR="008C5E1B" w:rsidRPr="00802FB4" w:rsidRDefault="001B76D5" w:rsidP="00573F4A">
            <w:pPr>
              <w:widowControl w:val="0"/>
              <w:tabs>
                <w:tab w:val="left" w:pos="8910"/>
              </w:tabs>
              <w:rPr>
                <w:rFonts w:ascii="Arial" w:hAnsi="Arial" w:cs="Arial"/>
                <w:i/>
                <w:sz w:val="21"/>
                <w:szCs w:val="21"/>
              </w:rPr>
            </w:pPr>
            <w:r w:rsidRPr="00802FB4">
              <w:rPr>
                <w:rFonts w:ascii="Arial" w:hAnsi="Arial" w:cs="Arial"/>
                <w:bCs/>
                <w:i/>
                <w:sz w:val="21"/>
                <w:szCs w:val="21"/>
              </w:rPr>
              <w:lastRenderedPageBreak/>
              <w:t>Anual</w:t>
            </w:r>
          </w:p>
        </w:tc>
      </w:tr>
      <w:tr w:rsidR="008C5E1B" w:rsidRPr="00802FB4" w14:paraId="608D7633" w14:textId="77777777" w:rsidTr="006B0622">
        <w:trPr>
          <w:trHeight w:val="274"/>
        </w:trPr>
        <w:tc>
          <w:tcPr>
            <w:tcW w:w="2657" w:type="dxa"/>
          </w:tcPr>
          <w:p w14:paraId="10255181" w14:textId="77777777" w:rsidR="008C5E1B" w:rsidRPr="00802FB4" w:rsidRDefault="008C5E1B" w:rsidP="007665A2">
            <w:pPr>
              <w:widowControl w:val="0"/>
              <w:tabs>
                <w:tab w:val="left" w:pos="8910"/>
              </w:tabs>
              <w:rPr>
                <w:rFonts w:ascii="Arial" w:hAnsi="Arial" w:cs="Arial"/>
                <w:bCs/>
                <w:sz w:val="21"/>
                <w:szCs w:val="21"/>
              </w:rPr>
            </w:pPr>
            <w:r w:rsidRPr="00802FB4">
              <w:rPr>
                <w:rFonts w:ascii="Arial" w:hAnsi="Arial" w:cs="Arial"/>
                <w:b/>
                <w:sz w:val="21"/>
                <w:szCs w:val="21"/>
              </w:rPr>
              <w:t>Mercados o bolsas en los cuales se puede negociar la participación</w:t>
            </w:r>
          </w:p>
        </w:tc>
        <w:tc>
          <w:tcPr>
            <w:tcW w:w="6521" w:type="dxa"/>
            <w:vAlign w:val="center"/>
          </w:tcPr>
          <w:p w14:paraId="02B478DD" w14:textId="77777777" w:rsidR="008C5E1B" w:rsidRPr="00802FB4" w:rsidRDefault="00630FC5" w:rsidP="00573F4A">
            <w:pPr>
              <w:widowControl w:val="0"/>
              <w:tabs>
                <w:tab w:val="left" w:pos="8910"/>
              </w:tabs>
              <w:rPr>
                <w:rFonts w:ascii="Arial" w:hAnsi="Arial" w:cs="Arial"/>
                <w:bCs/>
                <w:sz w:val="21"/>
                <w:szCs w:val="21"/>
              </w:rPr>
            </w:pPr>
            <w:r w:rsidRPr="00802FB4">
              <w:rPr>
                <w:rFonts w:ascii="Arial" w:hAnsi="Arial" w:cs="Arial"/>
                <w:bCs/>
                <w:sz w:val="21"/>
                <w:szCs w:val="21"/>
              </w:rPr>
              <w:t>Mercado secundario de la Bolsa Nacional de Valores de CR, S.A.</w:t>
            </w:r>
          </w:p>
        </w:tc>
      </w:tr>
    </w:tbl>
    <w:p w14:paraId="2DFC5A0C" w14:textId="77777777" w:rsidR="00247AFB" w:rsidRPr="00802FB4" w:rsidRDefault="00247AFB">
      <w:pPr>
        <w:rPr>
          <w:rFonts w:ascii="Arial" w:hAnsi="Arial" w:cs="Arial"/>
          <w:sz w:val="21"/>
          <w:szCs w:val="21"/>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1"/>
      </w:tblGrid>
      <w:tr w:rsidR="008C5E1B" w:rsidRPr="00802FB4" w14:paraId="2A381E5E" w14:textId="77777777" w:rsidTr="00731639">
        <w:trPr>
          <w:trHeight w:val="241"/>
        </w:trPr>
        <w:tc>
          <w:tcPr>
            <w:tcW w:w="9215" w:type="dxa"/>
            <w:gridSpan w:val="2"/>
            <w:vAlign w:val="center"/>
          </w:tcPr>
          <w:p w14:paraId="45174ED5" w14:textId="77777777" w:rsidR="008C5E1B" w:rsidRPr="00802FB4" w:rsidRDefault="008C5E1B" w:rsidP="00D83795">
            <w:pPr>
              <w:widowControl w:val="0"/>
              <w:tabs>
                <w:tab w:val="left" w:pos="8910"/>
              </w:tabs>
              <w:spacing w:before="120" w:after="120"/>
              <w:jc w:val="center"/>
              <w:rPr>
                <w:rFonts w:ascii="Arial" w:hAnsi="Arial" w:cs="Arial"/>
                <w:bCs/>
                <w:sz w:val="21"/>
                <w:szCs w:val="21"/>
              </w:rPr>
            </w:pPr>
            <w:r w:rsidRPr="00802FB4">
              <w:rPr>
                <w:rFonts w:ascii="Arial" w:hAnsi="Arial" w:cs="Arial"/>
                <w:b/>
                <w:sz w:val="21"/>
                <w:szCs w:val="21"/>
              </w:rPr>
              <w:t>Asamblea de Inversionistas</w:t>
            </w:r>
          </w:p>
        </w:tc>
      </w:tr>
      <w:tr w:rsidR="00C6403C" w:rsidRPr="00802FB4" w14:paraId="56EAB733" w14:textId="77777777" w:rsidTr="0052630D">
        <w:trPr>
          <w:trHeight w:val="505"/>
        </w:trPr>
        <w:tc>
          <w:tcPr>
            <w:tcW w:w="2694" w:type="dxa"/>
            <w:vAlign w:val="center"/>
          </w:tcPr>
          <w:p w14:paraId="45F1BF95" w14:textId="77777777" w:rsidR="00C6403C" w:rsidRPr="00802FB4" w:rsidRDefault="00C6403C" w:rsidP="00C6403C">
            <w:pPr>
              <w:widowControl w:val="0"/>
              <w:tabs>
                <w:tab w:val="left" w:pos="8910"/>
              </w:tabs>
              <w:rPr>
                <w:rFonts w:ascii="Arial" w:hAnsi="Arial" w:cs="Arial"/>
                <w:b/>
                <w:bCs/>
                <w:sz w:val="21"/>
                <w:szCs w:val="21"/>
              </w:rPr>
            </w:pPr>
            <w:r w:rsidRPr="00802FB4">
              <w:rPr>
                <w:rFonts w:ascii="Arial" w:hAnsi="Arial" w:cs="Arial"/>
                <w:b/>
                <w:bCs/>
                <w:sz w:val="21"/>
                <w:szCs w:val="21"/>
              </w:rPr>
              <w:t>Reglas para la convocatoria</w:t>
            </w:r>
          </w:p>
        </w:tc>
        <w:tc>
          <w:tcPr>
            <w:tcW w:w="6521" w:type="dxa"/>
            <w:vAlign w:val="center"/>
          </w:tcPr>
          <w:p w14:paraId="5DA230C3" w14:textId="7EE7E943" w:rsidR="00C6403C" w:rsidRPr="000916C6" w:rsidRDefault="00C6403C" w:rsidP="000916C6">
            <w:pPr>
              <w:pStyle w:val="Prrafodelista"/>
              <w:numPr>
                <w:ilvl w:val="0"/>
                <w:numId w:val="40"/>
              </w:numPr>
              <w:jc w:val="both"/>
              <w:rPr>
                <w:rFonts w:ascii="Arial" w:hAnsi="Arial" w:cs="Arial"/>
                <w:sz w:val="21"/>
                <w:szCs w:val="21"/>
              </w:rPr>
            </w:pPr>
            <w:r w:rsidRPr="000916C6">
              <w:rPr>
                <w:rFonts w:ascii="Arial" w:hAnsi="Arial" w:cs="Arial"/>
                <w:sz w:val="21"/>
                <w:szCs w:val="21"/>
              </w:rPr>
              <w:t>Se llevarán a cabo al menos cada dos años una asamblea de inversionistas para la rendición de cuentas por parte de la Sociedad Administradora acerca del desempeño del fondo de inversión,</w:t>
            </w:r>
            <w:r w:rsidR="00904187" w:rsidRPr="000916C6">
              <w:rPr>
                <w:rFonts w:ascii="Arial" w:hAnsi="Arial" w:cs="Arial"/>
                <w:sz w:val="21"/>
                <w:szCs w:val="21"/>
              </w:rPr>
              <w:t xml:space="preserve"> en esta se presentarán al menos</w:t>
            </w:r>
            <w:r w:rsidR="00104045" w:rsidRPr="000916C6">
              <w:rPr>
                <w:rFonts w:ascii="Arial" w:hAnsi="Arial" w:cs="Arial"/>
                <w:sz w:val="21"/>
                <w:szCs w:val="21"/>
              </w:rPr>
              <w:t xml:space="preserve"> los estados financieros anuales</w:t>
            </w:r>
            <w:r w:rsidR="00687C5A" w:rsidRPr="000916C6">
              <w:rPr>
                <w:rFonts w:ascii="Arial" w:hAnsi="Arial" w:cs="Arial"/>
                <w:sz w:val="21"/>
                <w:szCs w:val="21"/>
              </w:rPr>
              <w:t xml:space="preserve"> auditados del fondo</w:t>
            </w:r>
            <w:r w:rsidR="002077D0" w:rsidRPr="000916C6">
              <w:rPr>
                <w:rFonts w:ascii="Arial" w:hAnsi="Arial" w:cs="Arial"/>
                <w:sz w:val="21"/>
                <w:szCs w:val="21"/>
              </w:rPr>
              <w:t xml:space="preserve"> y la estrategia </w:t>
            </w:r>
            <w:r w:rsidR="00122960" w:rsidRPr="000916C6">
              <w:rPr>
                <w:rFonts w:ascii="Arial" w:hAnsi="Arial" w:cs="Arial"/>
                <w:sz w:val="21"/>
                <w:szCs w:val="21"/>
              </w:rPr>
              <w:t xml:space="preserve">para la atención futura </w:t>
            </w:r>
            <w:r w:rsidR="009C1739" w:rsidRPr="000916C6">
              <w:rPr>
                <w:rFonts w:ascii="Arial" w:hAnsi="Arial" w:cs="Arial"/>
                <w:sz w:val="21"/>
                <w:szCs w:val="21"/>
              </w:rPr>
              <w:t xml:space="preserve">de </w:t>
            </w:r>
            <w:r w:rsidR="00404443" w:rsidRPr="000916C6">
              <w:rPr>
                <w:rFonts w:ascii="Arial" w:hAnsi="Arial" w:cs="Arial"/>
                <w:sz w:val="21"/>
                <w:szCs w:val="21"/>
              </w:rPr>
              <w:t xml:space="preserve">las </w:t>
            </w:r>
            <w:r w:rsidR="009C1739" w:rsidRPr="000916C6">
              <w:rPr>
                <w:rFonts w:ascii="Arial" w:hAnsi="Arial" w:cs="Arial"/>
                <w:sz w:val="21"/>
                <w:szCs w:val="21"/>
              </w:rPr>
              <w:t>obligaciones asumidas por el fondo</w:t>
            </w:r>
            <w:r w:rsidR="00314527" w:rsidRPr="000916C6">
              <w:rPr>
                <w:rFonts w:ascii="Arial" w:hAnsi="Arial" w:cs="Arial"/>
                <w:sz w:val="21"/>
                <w:szCs w:val="21"/>
              </w:rPr>
              <w:t>.</w:t>
            </w:r>
            <w:r w:rsidRPr="000916C6">
              <w:rPr>
                <w:rFonts w:ascii="Arial" w:hAnsi="Arial" w:cs="Arial"/>
                <w:sz w:val="21"/>
                <w:szCs w:val="21"/>
              </w:rPr>
              <w:t xml:space="preserve"> </w:t>
            </w:r>
            <w:r w:rsidR="00314527" w:rsidRPr="000916C6">
              <w:rPr>
                <w:rFonts w:ascii="Arial" w:hAnsi="Arial" w:cs="Arial"/>
                <w:sz w:val="21"/>
                <w:szCs w:val="21"/>
              </w:rPr>
              <w:t>D</w:t>
            </w:r>
            <w:r w:rsidRPr="000916C6">
              <w:rPr>
                <w:rFonts w:ascii="Arial" w:hAnsi="Arial" w:cs="Arial"/>
                <w:sz w:val="21"/>
                <w:szCs w:val="21"/>
              </w:rPr>
              <w:t xml:space="preserve">ichas asambleas se celebrarán dentro de los </w:t>
            </w:r>
            <w:r w:rsidR="00BD708D" w:rsidRPr="000916C6">
              <w:rPr>
                <w:rFonts w:ascii="Arial" w:hAnsi="Arial" w:cs="Arial"/>
                <w:sz w:val="21"/>
                <w:szCs w:val="21"/>
              </w:rPr>
              <w:t xml:space="preserve">cuatro </w:t>
            </w:r>
            <w:r w:rsidRPr="000916C6">
              <w:rPr>
                <w:rFonts w:ascii="Arial" w:hAnsi="Arial" w:cs="Arial"/>
                <w:sz w:val="21"/>
                <w:szCs w:val="21"/>
              </w:rPr>
              <w:t xml:space="preserve">meses siguientes a la finalización del año económico correspondiente. Asimismo, se podrán realizar asambleas adicionales, en cualquier momento, para atender otros asuntos requeridos por decisión de la Sociedad Administradora, los inversionistas o por orden de la Superintendencia. </w:t>
            </w:r>
          </w:p>
          <w:p w14:paraId="3235A273" w14:textId="77777777" w:rsidR="00C6403C" w:rsidRPr="00802FB4" w:rsidRDefault="00C6403C" w:rsidP="00C6403C">
            <w:pPr>
              <w:numPr>
                <w:ilvl w:val="0"/>
                <w:numId w:val="40"/>
              </w:numPr>
              <w:jc w:val="both"/>
              <w:rPr>
                <w:rFonts w:ascii="Arial" w:hAnsi="Arial" w:cs="Arial"/>
                <w:sz w:val="21"/>
                <w:szCs w:val="21"/>
              </w:rPr>
            </w:pPr>
            <w:r w:rsidRPr="00802FB4">
              <w:rPr>
                <w:rFonts w:ascii="Arial" w:hAnsi="Arial" w:cs="Arial"/>
                <w:sz w:val="21"/>
                <w:szCs w:val="21"/>
              </w:rPr>
              <w:t xml:space="preserve">Las convocatorias para asamblea se harán mediante una publicación en un diario de circulación nacional, quince días hábiles antes de que se efectúe la asamblea, no contándose dentro de tal plazo, ni el día de la publicación de la convocatoria, ni el día de celebración de la asamblea, las cuales se llevarán a cabo en el domicilio de la Sociedad Administradora o en cualquier otro lugar que esta designe dentro del territorio nacional.  El aviso de convocatoria incluirá los puntos de agenda y el orden del día. Durante ese tiempo, los documentos relacionados con los fines de la asamblea estarán a disposición de los inversionistas en las oficinas de la Sociedad Administradora. </w:t>
            </w:r>
          </w:p>
          <w:p w14:paraId="4EA5E80C" w14:textId="77777777" w:rsidR="00C6403C" w:rsidRPr="00802FB4" w:rsidRDefault="00C6403C" w:rsidP="00C6403C">
            <w:pPr>
              <w:numPr>
                <w:ilvl w:val="0"/>
                <w:numId w:val="40"/>
              </w:numPr>
              <w:jc w:val="both"/>
              <w:rPr>
                <w:rFonts w:ascii="Arial" w:hAnsi="Arial" w:cs="Arial"/>
                <w:sz w:val="21"/>
                <w:szCs w:val="21"/>
              </w:rPr>
            </w:pPr>
            <w:r w:rsidRPr="00802FB4">
              <w:rPr>
                <w:rFonts w:ascii="Arial" w:hAnsi="Arial" w:cs="Arial"/>
                <w:sz w:val="21"/>
                <w:szCs w:val="21"/>
              </w:rPr>
              <w:t>Los inversionistas podrán solicitar la convocatoria de una asamblea sobre los temas que señalen en su solicitud o requerir el conocimiento y la votación de cualquier asunto respecto del cual no se consideren suficientemente informados, cuando así lo requiera, al menos, el veinticinco por ciento del monto de participaciones en circulación. La sociedad deberá hacer la convocatoria a asamblea dentro de los quince días hábiles siguientes a aquél en que hayan recibido la solicitud.</w:t>
            </w:r>
          </w:p>
          <w:p w14:paraId="4DC3FF22" w14:textId="77777777" w:rsidR="00C6403C" w:rsidRPr="00802FB4" w:rsidRDefault="00C6403C" w:rsidP="00C6403C">
            <w:pPr>
              <w:numPr>
                <w:ilvl w:val="0"/>
                <w:numId w:val="40"/>
              </w:numPr>
              <w:jc w:val="both"/>
              <w:rPr>
                <w:rFonts w:ascii="Arial" w:hAnsi="Arial" w:cs="Arial"/>
                <w:sz w:val="21"/>
                <w:szCs w:val="21"/>
              </w:rPr>
            </w:pPr>
            <w:r w:rsidRPr="00802FB4">
              <w:rPr>
                <w:rFonts w:ascii="Arial" w:hAnsi="Arial" w:cs="Arial"/>
                <w:sz w:val="21"/>
                <w:szCs w:val="21"/>
              </w:rPr>
              <w:t xml:space="preserve">Podrá prescindirse del trámite de convocatoria previa, cuando estando reunida la totalidad de los inversionistas así lo acuerden, haciéndose constar tal circunstancia en el acta correspondiente, la cual deberá estar firmada por la totalidad de inversionistas. </w:t>
            </w:r>
          </w:p>
          <w:p w14:paraId="731F8EF8" w14:textId="77777777" w:rsidR="00C6403C" w:rsidRPr="00802FB4" w:rsidRDefault="00C6403C" w:rsidP="00C6403C">
            <w:pPr>
              <w:numPr>
                <w:ilvl w:val="0"/>
                <w:numId w:val="40"/>
              </w:numPr>
              <w:jc w:val="both"/>
              <w:rPr>
                <w:rFonts w:ascii="Arial" w:hAnsi="Arial" w:cs="Arial"/>
                <w:sz w:val="21"/>
                <w:szCs w:val="21"/>
              </w:rPr>
            </w:pPr>
            <w:r w:rsidRPr="00802FB4">
              <w:rPr>
                <w:rFonts w:ascii="Arial" w:hAnsi="Arial" w:cs="Arial"/>
                <w:sz w:val="21"/>
                <w:szCs w:val="21"/>
              </w:rPr>
              <w:t>Las asambleas podrán celebrarse de manera presencial, virtual, o mediante la combinación de ambas. En caso de que se realicen de manera virtual o mixtas, el medio tecnológico utilizado y la forma de acceso se harán constar en el comunicado de convocatoria.</w:t>
            </w:r>
          </w:p>
          <w:p w14:paraId="1CBCB536" w14:textId="77777777" w:rsidR="00C6403C" w:rsidRPr="00802FB4" w:rsidRDefault="00C6403C" w:rsidP="00C6403C">
            <w:pPr>
              <w:numPr>
                <w:ilvl w:val="0"/>
                <w:numId w:val="40"/>
              </w:numPr>
              <w:jc w:val="both"/>
              <w:rPr>
                <w:rFonts w:ascii="Arial" w:hAnsi="Arial" w:cs="Arial"/>
                <w:sz w:val="21"/>
                <w:szCs w:val="21"/>
              </w:rPr>
            </w:pPr>
            <w:r w:rsidRPr="00802FB4">
              <w:rPr>
                <w:rFonts w:ascii="Arial" w:hAnsi="Arial" w:cs="Arial"/>
                <w:sz w:val="21"/>
                <w:szCs w:val="21"/>
              </w:rPr>
              <w:lastRenderedPageBreak/>
              <w:t>La primera y segunda convocatoria puede realizarse el mismo día por oportunidades que estarán separadas por lo menos por el plazo de una hora.</w:t>
            </w:r>
          </w:p>
          <w:p w14:paraId="0E808880" w14:textId="77777777" w:rsidR="00C6403C" w:rsidRPr="00802FB4" w:rsidRDefault="00C6403C" w:rsidP="00C6403C">
            <w:pPr>
              <w:numPr>
                <w:ilvl w:val="0"/>
                <w:numId w:val="40"/>
              </w:numPr>
              <w:jc w:val="both"/>
              <w:rPr>
                <w:rFonts w:ascii="Arial" w:hAnsi="Arial" w:cs="Arial"/>
                <w:sz w:val="21"/>
                <w:szCs w:val="21"/>
              </w:rPr>
            </w:pPr>
            <w:r w:rsidRPr="00802FB4">
              <w:rPr>
                <w:rFonts w:ascii="Arial" w:hAnsi="Arial" w:cs="Arial"/>
                <w:sz w:val="21"/>
                <w:szCs w:val="21"/>
              </w:rPr>
              <w:t>El Gerente General y un funcionario designado por la Sociedad Administradora fungirán respectivamente como Presidente y Secretario   de las asambleas generales y a falta de éstos, el que la Asamblea designe. Estos funcionarios firmarán el acta de la asamblea.</w:t>
            </w:r>
          </w:p>
          <w:p w14:paraId="402141EB" w14:textId="74014C98" w:rsidR="00C6403C" w:rsidRPr="00802FB4" w:rsidRDefault="00C6403C" w:rsidP="00C6403C">
            <w:pPr>
              <w:numPr>
                <w:ilvl w:val="0"/>
                <w:numId w:val="40"/>
              </w:numPr>
              <w:jc w:val="both"/>
              <w:rPr>
                <w:rFonts w:ascii="Arial" w:eastAsia="Calibri" w:hAnsi="Arial" w:cs="Arial"/>
                <w:i/>
                <w:iCs/>
                <w:sz w:val="21"/>
                <w:szCs w:val="21"/>
                <w:lang w:val="es-CR"/>
              </w:rPr>
            </w:pPr>
            <w:r w:rsidRPr="00802FB4">
              <w:rPr>
                <w:rFonts w:ascii="Arial" w:hAnsi="Arial" w:cs="Arial"/>
                <w:sz w:val="21"/>
                <w:szCs w:val="21"/>
              </w:rPr>
              <w:t>Las Asambleas de Inversionistas se regirán por lo establecido en el prospecto, por la Ley Reguladora del Mercado de Valores, por las disposiciones de la Superintendencia General de Valores y supletoriamente por las disposiciones del Código de Comercio referente a las Asambleas en las Sociedades Anónimas. </w:t>
            </w:r>
          </w:p>
        </w:tc>
      </w:tr>
      <w:tr w:rsidR="004B6A7A" w:rsidRPr="00802FB4" w14:paraId="0B246AFE" w14:textId="77777777" w:rsidTr="0052630D">
        <w:trPr>
          <w:trHeight w:val="682"/>
        </w:trPr>
        <w:tc>
          <w:tcPr>
            <w:tcW w:w="2694" w:type="dxa"/>
          </w:tcPr>
          <w:p w14:paraId="05830FC6" w14:textId="77777777" w:rsidR="004B6A7A" w:rsidRPr="00802FB4" w:rsidRDefault="004B6A7A" w:rsidP="00247AFB">
            <w:pPr>
              <w:widowControl w:val="0"/>
              <w:tabs>
                <w:tab w:val="left" w:pos="8910"/>
              </w:tabs>
              <w:rPr>
                <w:rFonts w:ascii="Arial" w:hAnsi="Arial" w:cs="Arial"/>
                <w:b/>
                <w:bCs/>
                <w:sz w:val="21"/>
                <w:szCs w:val="21"/>
              </w:rPr>
            </w:pPr>
            <w:r w:rsidRPr="00802FB4">
              <w:rPr>
                <w:rFonts w:ascii="Arial" w:hAnsi="Arial" w:cs="Arial"/>
                <w:b/>
                <w:bCs/>
                <w:sz w:val="21"/>
                <w:szCs w:val="21"/>
              </w:rPr>
              <w:lastRenderedPageBreak/>
              <w:t>Cantidad de inversionistas necesaria para el quórum</w:t>
            </w:r>
          </w:p>
        </w:tc>
        <w:tc>
          <w:tcPr>
            <w:tcW w:w="6521" w:type="dxa"/>
            <w:vAlign w:val="center"/>
          </w:tcPr>
          <w:p w14:paraId="1000D628" w14:textId="77777777" w:rsidR="004B6A7A" w:rsidRPr="00802FB4" w:rsidRDefault="004B6A7A" w:rsidP="00966566">
            <w:pPr>
              <w:jc w:val="both"/>
              <w:rPr>
                <w:rFonts w:ascii="Arial" w:eastAsia="Calibri" w:hAnsi="Arial" w:cs="Arial"/>
                <w:sz w:val="21"/>
                <w:szCs w:val="21"/>
                <w:lang w:val="es-CR"/>
              </w:rPr>
            </w:pPr>
            <w:r w:rsidRPr="00802FB4">
              <w:rPr>
                <w:rFonts w:ascii="Arial" w:hAnsi="Arial" w:cs="Arial"/>
                <w:sz w:val="21"/>
                <w:szCs w:val="21"/>
                <w:lang w:val="es-CR"/>
              </w:rPr>
              <w:t xml:space="preserve">En primera convocatoria formarán quórum </w:t>
            </w:r>
            <w:r w:rsidR="00966566" w:rsidRPr="00802FB4">
              <w:rPr>
                <w:rFonts w:ascii="Arial" w:hAnsi="Arial" w:cs="Arial"/>
                <w:sz w:val="21"/>
                <w:szCs w:val="21"/>
                <w:lang w:val="es-CR"/>
              </w:rPr>
              <w:t>tres cuartas partes</w:t>
            </w:r>
            <w:r w:rsidRPr="00802FB4">
              <w:rPr>
                <w:rFonts w:ascii="Arial" w:hAnsi="Arial" w:cs="Arial"/>
                <w:sz w:val="21"/>
                <w:szCs w:val="21"/>
                <w:lang w:val="es-CR"/>
              </w:rPr>
              <w:t xml:space="preserve"> de las participaciones y en segunda convocatoria formarán quórum cualquier número de participaciones que concurran.</w:t>
            </w:r>
          </w:p>
        </w:tc>
      </w:tr>
      <w:tr w:rsidR="004B6A7A" w:rsidRPr="00802FB4" w14:paraId="1211FE0F" w14:textId="77777777" w:rsidTr="00731639">
        <w:trPr>
          <w:trHeight w:val="505"/>
        </w:trPr>
        <w:tc>
          <w:tcPr>
            <w:tcW w:w="2694" w:type="dxa"/>
          </w:tcPr>
          <w:p w14:paraId="0F293711" w14:textId="77777777" w:rsidR="004B6A7A" w:rsidRPr="00802FB4" w:rsidRDefault="004B6A7A" w:rsidP="00247AFB">
            <w:pPr>
              <w:widowControl w:val="0"/>
              <w:tabs>
                <w:tab w:val="left" w:pos="8910"/>
              </w:tabs>
              <w:rPr>
                <w:rFonts w:ascii="Arial" w:hAnsi="Arial" w:cs="Arial"/>
                <w:b/>
                <w:bCs/>
                <w:sz w:val="21"/>
                <w:szCs w:val="21"/>
              </w:rPr>
            </w:pPr>
            <w:r w:rsidRPr="00802FB4">
              <w:rPr>
                <w:rFonts w:ascii="Arial" w:hAnsi="Arial" w:cs="Arial"/>
                <w:b/>
                <w:bCs/>
                <w:sz w:val="21"/>
                <w:szCs w:val="21"/>
              </w:rPr>
              <w:t>Mayoría requerida para la aprobación de acuerdos en la asamblea</w:t>
            </w:r>
          </w:p>
        </w:tc>
        <w:tc>
          <w:tcPr>
            <w:tcW w:w="6521" w:type="dxa"/>
            <w:vAlign w:val="center"/>
          </w:tcPr>
          <w:p w14:paraId="3B3241C5" w14:textId="77777777" w:rsidR="004B6A7A" w:rsidRPr="00802FB4" w:rsidRDefault="004B6A7A" w:rsidP="00DE2C9E">
            <w:pPr>
              <w:rPr>
                <w:rFonts w:ascii="Arial" w:eastAsia="Calibri" w:hAnsi="Arial" w:cs="Arial"/>
                <w:sz w:val="21"/>
                <w:szCs w:val="21"/>
                <w:lang w:val="es-CR"/>
              </w:rPr>
            </w:pPr>
            <w:r w:rsidRPr="00802FB4">
              <w:rPr>
                <w:rFonts w:ascii="Arial" w:hAnsi="Arial" w:cs="Arial"/>
                <w:sz w:val="21"/>
                <w:szCs w:val="21"/>
                <w:lang w:val="es-CR"/>
              </w:rPr>
              <w:t>Más de la mitad de los presentes.</w:t>
            </w:r>
          </w:p>
        </w:tc>
      </w:tr>
    </w:tbl>
    <w:p w14:paraId="6FFF4E17" w14:textId="157189F4" w:rsidR="008C5E1B" w:rsidRPr="00802FB4" w:rsidRDefault="00691324" w:rsidP="004D4ABE">
      <w:pPr>
        <w:pStyle w:val="Ttulo1"/>
        <w:numPr>
          <w:ilvl w:val="0"/>
          <w:numId w:val="1"/>
        </w:numPr>
        <w:ind w:left="142"/>
        <w:rPr>
          <w:rFonts w:ascii="Arial" w:hAnsi="Arial" w:cs="Arial"/>
          <w:sz w:val="24"/>
          <w:szCs w:val="21"/>
        </w:rPr>
      </w:pPr>
      <w:bookmarkStart w:id="19" w:name="_Toc34228948"/>
      <w:r w:rsidRPr="00802FB4">
        <w:rPr>
          <w:rFonts w:ascii="Arial" w:hAnsi="Arial" w:cs="Arial"/>
          <w:sz w:val="24"/>
          <w:szCs w:val="21"/>
        </w:rPr>
        <w:t>Reglas para suscripciones y reembolsos de participaciones</w:t>
      </w:r>
      <w:bookmarkEnd w:id="19"/>
    </w:p>
    <w:tbl>
      <w:tblPr>
        <w:tblW w:w="9178" w:type="dxa"/>
        <w:tblInd w:w="-252" w:type="dxa"/>
        <w:tblLook w:val="01E0" w:firstRow="1" w:lastRow="1" w:firstColumn="1" w:lastColumn="1" w:noHBand="0" w:noVBand="0"/>
      </w:tblPr>
      <w:tblGrid>
        <w:gridCol w:w="2657"/>
        <w:gridCol w:w="2054"/>
        <w:gridCol w:w="2205"/>
        <w:gridCol w:w="2262"/>
      </w:tblGrid>
      <w:tr w:rsidR="008C5E1B" w:rsidRPr="00802FB4" w14:paraId="7CD8C14D" w14:textId="77777777" w:rsidTr="003552D0">
        <w:trPr>
          <w:trHeight w:val="160"/>
        </w:trPr>
        <w:tc>
          <w:tcPr>
            <w:tcW w:w="9178" w:type="dxa"/>
            <w:gridSpan w:val="4"/>
            <w:tcBorders>
              <w:top w:val="single" w:sz="4" w:space="0" w:color="auto"/>
              <w:left w:val="single" w:sz="4" w:space="0" w:color="auto"/>
              <w:bottom w:val="single" w:sz="4" w:space="0" w:color="auto"/>
              <w:right w:val="single" w:sz="4" w:space="0" w:color="auto"/>
            </w:tcBorders>
            <w:vAlign w:val="center"/>
          </w:tcPr>
          <w:p w14:paraId="3063B9B9" w14:textId="77777777" w:rsidR="008C5E1B" w:rsidRPr="00802FB4" w:rsidRDefault="008C5E1B" w:rsidP="00D83795">
            <w:pPr>
              <w:widowControl w:val="0"/>
              <w:spacing w:before="120" w:after="120"/>
              <w:jc w:val="center"/>
              <w:rPr>
                <w:rFonts w:ascii="Arial" w:hAnsi="Arial" w:cs="Arial"/>
                <w:b/>
                <w:sz w:val="21"/>
                <w:szCs w:val="21"/>
              </w:rPr>
            </w:pPr>
            <w:r w:rsidRPr="00802FB4">
              <w:rPr>
                <w:rFonts w:ascii="Arial" w:hAnsi="Arial" w:cs="Arial"/>
                <w:b/>
                <w:sz w:val="21"/>
                <w:szCs w:val="21"/>
              </w:rPr>
              <w:t>Suscripción y reembolso de participaciones</w:t>
            </w:r>
          </w:p>
        </w:tc>
      </w:tr>
      <w:tr w:rsidR="008C5E1B" w:rsidRPr="00802FB4" w14:paraId="7A37E933" w14:textId="77777777" w:rsidTr="0052630D">
        <w:trPr>
          <w:trHeight w:val="570"/>
        </w:trPr>
        <w:tc>
          <w:tcPr>
            <w:tcW w:w="2657" w:type="dxa"/>
            <w:tcBorders>
              <w:top w:val="single" w:sz="4" w:space="0" w:color="auto"/>
              <w:left w:val="single" w:sz="4" w:space="0" w:color="auto"/>
              <w:bottom w:val="single" w:sz="4" w:space="0" w:color="auto"/>
              <w:right w:val="single" w:sz="4" w:space="0" w:color="auto"/>
            </w:tcBorders>
            <w:vAlign w:val="center"/>
          </w:tcPr>
          <w:p w14:paraId="227C91AC" w14:textId="77777777" w:rsidR="008C5E1B" w:rsidRPr="00802FB4" w:rsidRDefault="008C5E1B" w:rsidP="00D83795">
            <w:pPr>
              <w:rPr>
                <w:rFonts w:ascii="Arial" w:hAnsi="Arial" w:cs="Arial"/>
                <w:b/>
                <w:color w:val="000000" w:themeColor="text1"/>
                <w:sz w:val="21"/>
                <w:szCs w:val="21"/>
              </w:rPr>
            </w:pPr>
            <w:r w:rsidRPr="00802FB4">
              <w:rPr>
                <w:rFonts w:ascii="Arial" w:hAnsi="Arial" w:cs="Arial"/>
                <w:b/>
                <w:color w:val="000000" w:themeColor="text1"/>
                <w:sz w:val="21"/>
                <w:szCs w:val="21"/>
              </w:rPr>
              <w:t>Monto mínimo de inversión</w:t>
            </w:r>
          </w:p>
        </w:tc>
        <w:tc>
          <w:tcPr>
            <w:tcW w:w="2054" w:type="dxa"/>
            <w:tcBorders>
              <w:top w:val="single" w:sz="4" w:space="0" w:color="auto"/>
              <w:left w:val="single" w:sz="4" w:space="0" w:color="auto"/>
              <w:bottom w:val="single" w:sz="4" w:space="0" w:color="auto"/>
              <w:right w:val="single" w:sz="4" w:space="0" w:color="auto"/>
            </w:tcBorders>
            <w:vAlign w:val="center"/>
          </w:tcPr>
          <w:p w14:paraId="1FED4023" w14:textId="77777777" w:rsidR="00907E32" w:rsidRPr="00802FB4" w:rsidRDefault="006E58FD" w:rsidP="006E58FD">
            <w:pPr>
              <w:jc w:val="center"/>
              <w:rPr>
                <w:rFonts w:ascii="Arial" w:hAnsi="Arial" w:cs="Arial"/>
                <w:color w:val="000000" w:themeColor="text1"/>
                <w:sz w:val="21"/>
                <w:szCs w:val="21"/>
              </w:rPr>
            </w:pPr>
            <w:r w:rsidRPr="00802FB4">
              <w:rPr>
                <w:rFonts w:ascii="Arial" w:hAnsi="Arial" w:cs="Arial"/>
                <w:color w:val="000000" w:themeColor="text1"/>
                <w:sz w:val="21"/>
                <w:szCs w:val="21"/>
              </w:rPr>
              <w:t>US $5.000,00</w:t>
            </w:r>
            <w:r w:rsidR="00907E32" w:rsidRPr="00802FB4">
              <w:rPr>
                <w:rFonts w:ascii="Arial" w:hAnsi="Arial" w:cs="Arial"/>
                <w:color w:val="000000" w:themeColor="text1"/>
                <w:sz w:val="21"/>
                <w:szCs w:val="21"/>
              </w:rPr>
              <w:t xml:space="preserve"> </w:t>
            </w:r>
          </w:p>
          <w:p w14:paraId="6BC25195" w14:textId="77777777" w:rsidR="008C5E1B" w:rsidRPr="00802FB4" w:rsidRDefault="00907E32" w:rsidP="006E58FD">
            <w:pPr>
              <w:jc w:val="center"/>
              <w:rPr>
                <w:rFonts w:ascii="Arial" w:hAnsi="Arial" w:cs="Arial"/>
                <w:color w:val="000000" w:themeColor="text1"/>
                <w:sz w:val="21"/>
                <w:szCs w:val="21"/>
              </w:rPr>
            </w:pPr>
            <w:r w:rsidRPr="00802FB4">
              <w:rPr>
                <w:rFonts w:ascii="Arial" w:hAnsi="Arial" w:cs="Arial"/>
                <w:color w:val="000000" w:themeColor="text1"/>
                <w:sz w:val="21"/>
                <w:szCs w:val="21"/>
              </w:rPr>
              <w:t>(1 participación)</w:t>
            </w:r>
          </w:p>
        </w:tc>
        <w:tc>
          <w:tcPr>
            <w:tcW w:w="2205" w:type="dxa"/>
            <w:tcBorders>
              <w:top w:val="single" w:sz="4" w:space="0" w:color="auto"/>
              <w:left w:val="single" w:sz="4" w:space="0" w:color="auto"/>
              <w:bottom w:val="single" w:sz="4" w:space="0" w:color="auto"/>
              <w:right w:val="single" w:sz="4" w:space="0" w:color="auto"/>
            </w:tcBorders>
            <w:vAlign w:val="center"/>
          </w:tcPr>
          <w:p w14:paraId="18C0BD4A" w14:textId="77777777" w:rsidR="008C5E1B" w:rsidRPr="00802FB4" w:rsidDel="004570C8" w:rsidRDefault="008C5E1B" w:rsidP="00D83795">
            <w:pPr>
              <w:rPr>
                <w:rFonts w:ascii="Arial" w:hAnsi="Arial" w:cs="Arial"/>
                <w:b/>
                <w:color w:val="000000" w:themeColor="text1"/>
                <w:sz w:val="21"/>
                <w:szCs w:val="21"/>
              </w:rPr>
            </w:pPr>
            <w:r w:rsidRPr="00802FB4">
              <w:rPr>
                <w:rFonts w:ascii="Arial" w:hAnsi="Arial" w:cs="Arial"/>
                <w:b/>
                <w:color w:val="000000" w:themeColor="text1"/>
                <w:sz w:val="21"/>
                <w:szCs w:val="21"/>
              </w:rPr>
              <w:t xml:space="preserve">Monto mínimo de aportes adicionales </w:t>
            </w:r>
          </w:p>
        </w:tc>
        <w:tc>
          <w:tcPr>
            <w:tcW w:w="2262" w:type="dxa"/>
            <w:tcBorders>
              <w:top w:val="single" w:sz="4" w:space="0" w:color="auto"/>
              <w:left w:val="single" w:sz="4" w:space="0" w:color="auto"/>
              <w:bottom w:val="single" w:sz="4" w:space="0" w:color="auto"/>
              <w:right w:val="single" w:sz="4" w:space="0" w:color="auto"/>
            </w:tcBorders>
            <w:vAlign w:val="center"/>
          </w:tcPr>
          <w:p w14:paraId="352A729C" w14:textId="77777777" w:rsidR="00247AFB" w:rsidRPr="00802FB4" w:rsidRDefault="00247AFB" w:rsidP="00247AFB">
            <w:pPr>
              <w:jc w:val="center"/>
              <w:rPr>
                <w:rFonts w:ascii="Arial" w:hAnsi="Arial" w:cs="Arial"/>
                <w:color w:val="000000" w:themeColor="text1"/>
                <w:sz w:val="21"/>
                <w:szCs w:val="21"/>
              </w:rPr>
            </w:pPr>
            <w:r w:rsidRPr="00802FB4">
              <w:rPr>
                <w:rFonts w:ascii="Arial" w:hAnsi="Arial" w:cs="Arial"/>
                <w:color w:val="000000" w:themeColor="text1"/>
                <w:sz w:val="21"/>
                <w:szCs w:val="21"/>
              </w:rPr>
              <w:t xml:space="preserve">US $5.000,00 </w:t>
            </w:r>
          </w:p>
          <w:p w14:paraId="387BA363" w14:textId="77777777" w:rsidR="008C5E1B" w:rsidRPr="00802FB4" w:rsidRDefault="00247AFB" w:rsidP="00247AFB">
            <w:pPr>
              <w:jc w:val="center"/>
              <w:rPr>
                <w:rFonts w:ascii="Arial" w:hAnsi="Arial" w:cs="Arial"/>
                <w:color w:val="000000" w:themeColor="text1"/>
                <w:sz w:val="21"/>
                <w:szCs w:val="21"/>
              </w:rPr>
            </w:pPr>
            <w:r w:rsidRPr="00802FB4">
              <w:rPr>
                <w:rFonts w:ascii="Arial" w:hAnsi="Arial" w:cs="Arial"/>
                <w:color w:val="000000" w:themeColor="text1"/>
                <w:sz w:val="21"/>
                <w:szCs w:val="21"/>
              </w:rPr>
              <w:t>(1 participación)</w:t>
            </w:r>
          </w:p>
        </w:tc>
      </w:tr>
      <w:tr w:rsidR="000F105C" w:rsidRPr="00802FB4" w14:paraId="32EF73DB" w14:textId="77777777" w:rsidTr="0052630D">
        <w:trPr>
          <w:trHeight w:val="406"/>
        </w:trPr>
        <w:tc>
          <w:tcPr>
            <w:tcW w:w="2657" w:type="dxa"/>
            <w:tcBorders>
              <w:top w:val="single" w:sz="4" w:space="0" w:color="auto"/>
              <w:left w:val="single" w:sz="4" w:space="0" w:color="auto"/>
              <w:bottom w:val="single" w:sz="4" w:space="0" w:color="auto"/>
              <w:right w:val="single" w:sz="4" w:space="0" w:color="auto"/>
            </w:tcBorders>
            <w:vAlign w:val="center"/>
          </w:tcPr>
          <w:p w14:paraId="4DFA3A5E" w14:textId="77777777" w:rsidR="004609B1" w:rsidRPr="00802FB4" w:rsidDel="004570C8" w:rsidRDefault="004609B1" w:rsidP="00D83795">
            <w:pPr>
              <w:rPr>
                <w:rFonts w:ascii="Arial" w:hAnsi="Arial" w:cs="Arial"/>
                <w:b/>
                <w:color w:val="000000" w:themeColor="text1"/>
                <w:sz w:val="21"/>
                <w:szCs w:val="21"/>
              </w:rPr>
            </w:pPr>
            <w:r w:rsidRPr="00802FB4">
              <w:rPr>
                <w:rFonts w:ascii="Arial" w:hAnsi="Arial" w:cs="Arial"/>
                <w:b/>
                <w:color w:val="000000" w:themeColor="text1"/>
                <w:sz w:val="21"/>
                <w:szCs w:val="21"/>
              </w:rPr>
              <w:t>Saldo mínimo</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139E1745" w14:textId="77777777" w:rsidR="004609B1" w:rsidRPr="00802FB4" w:rsidRDefault="00573F4A" w:rsidP="00573F4A">
            <w:pPr>
              <w:rPr>
                <w:rFonts w:ascii="Arial" w:hAnsi="Arial" w:cs="Arial"/>
                <w:color w:val="000000" w:themeColor="text1"/>
                <w:sz w:val="21"/>
                <w:szCs w:val="21"/>
              </w:rPr>
            </w:pPr>
            <w:r w:rsidRPr="00802FB4">
              <w:rPr>
                <w:rFonts w:ascii="Arial" w:hAnsi="Arial" w:cs="Arial"/>
                <w:color w:val="000000" w:themeColor="text1"/>
                <w:sz w:val="21"/>
                <w:szCs w:val="21"/>
              </w:rPr>
              <w:t>Una</w:t>
            </w:r>
            <w:r w:rsidR="004609B1" w:rsidRPr="00802FB4">
              <w:rPr>
                <w:rFonts w:ascii="Arial" w:hAnsi="Arial" w:cs="Arial"/>
                <w:color w:val="000000" w:themeColor="text1"/>
                <w:sz w:val="21"/>
                <w:szCs w:val="21"/>
              </w:rPr>
              <w:t xml:space="preserve"> participación</w:t>
            </w:r>
          </w:p>
        </w:tc>
      </w:tr>
      <w:tr w:rsidR="008C5E1B" w:rsidRPr="00802FB4" w14:paraId="7D42ECFF" w14:textId="77777777" w:rsidTr="00526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7" w:type="dxa"/>
            <w:vAlign w:val="center"/>
          </w:tcPr>
          <w:p w14:paraId="273C5E78" w14:textId="77777777" w:rsidR="008C5E1B" w:rsidRPr="00802FB4" w:rsidRDefault="004609B1" w:rsidP="004609B1">
            <w:pPr>
              <w:rPr>
                <w:rFonts w:ascii="Arial" w:hAnsi="Arial" w:cs="Arial"/>
                <w:b/>
                <w:sz w:val="21"/>
                <w:szCs w:val="21"/>
              </w:rPr>
            </w:pPr>
            <w:r w:rsidRPr="00802FB4">
              <w:rPr>
                <w:rFonts w:ascii="Arial" w:hAnsi="Arial" w:cs="Arial"/>
                <w:b/>
                <w:sz w:val="21"/>
                <w:szCs w:val="21"/>
              </w:rPr>
              <w:t>C</w:t>
            </w:r>
            <w:r w:rsidR="008C5E1B" w:rsidRPr="00802FB4">
              <w:rPr>
                <w:rFonts w:ascii="Arial" w:hAnsi="Arial" w:cs="Arial"/>
                <w:b/>
                <w:sz w:val="21"/>
                <w:szCs w:val="21"/>
              </w:rPr>
              <w:t>asos de excepción en los cuales el fondo puede reembolsar directamente las participaciones</w:t>
            </w:r>
          </w:p>
        </w:tc>
        <w:tc>
          <w:tcPr>
            <w:tcW w:w="6521" w:type="dxa"/>
            <w:gridSpan w:val="3"/>
            <w:vAlign w:val="center"/>
          </w:tcPr>
          <w:p w14:paraId="5200E720" w14:textId="77777777" w:rsidR="004609B1" w:rsidRPr="00802FB4" w:rsidRDefault="00BB35D2" w:rsidP="004609B1">
            <w:pPr>
              <w:jc w:val="both"/>
              <w:rPr>
                <w:rFonts w:ascii="Arial" w:hAnsi="Arial" w:cs="Arial"/>
                <w:sz w:val="21"/>
                <w:szCs w:val="21"/>
                <w:lang w:val="es-CR"/>
              </w:rPr>
            </w:pPr>
            <w:r w:rsidRPr="00802FB4">
              <w:rPr>
                <w:rFonts w:ascii="Arial" w:hAnsi="Arial" w:cs="Arial"/>
                <w:sz w:val="21"/>
                <w:szCs w:val="21"/>
                <w:lang w:val="es-CR"/>
              </w:rPr>
              <w:t xml:space="preserve">El </w:t>
            </w:r>
            <w:r w:rsidR="00467B6E" w:rsidRPr="00802FB4">
              <w:rPr>
                <w:rFonts w:ascii="Arial" w:hAnsi="Arial" w:cs="Arial"/>
                <w:sz w:val="21"/>
                <w:szCs w:val="21"/>
                <w:lang w:val="es-CR"/>
              </w:rPr>
              <w:t xml:space="preserve">Fondo </w:t>
            </w:r>
            <w:r w:rsidR="004609B1" w:rsidRPr="00802FB4">
              <w:rPr>
                <w:rFonts w:ascii="Arial" w:hAnsi="Arial" w:cs="Arial"/>
                <w:sz w:val="21"/>
                <w:szCs w:val="21"/>
                <w:lang w:val="es-CR"/>
              </w:rPr>
              <w:t xml:space="preserve">únicamente podrá redimir sus participaciones si se presenta alguno de los siguientes casos: </w:t>
            </w:r>
          </w:p>
          <w:p w14:paraId="07AFA60C" w14:textId="77777777" w:rsidR="004609B1" w:rsidRPr="00802FB4" w:rsidRDefault="004609B1" w:rsidP="00EF629B">
            <w:pPr>
              <w:numPr>
                <w:ilvl w:val="0"/>
                <w:numId w:val="3"/>
              </w:numPr>
              <w:spacing w:before="240"/>
              <w:ind w:left="367" w:hanging="367"/>
              <w:jc w:val="both"/>
              <w:rPr>
                <w:rFonts w:ascii="Arial" w:hAnsi="Arial" w:cs="Arial"/>
                <w:sz w:val="21"/>
                <w:szCs w:val="21"/>
                <w:lang w:val="es-CR"/>
              </w:rPr>
            </w:pPr>
            <w:r w:rsidRPr="00802FB4">
              <w:rPr>
                <w:rFonts w:ascii="Arial" w:hAnsi="Arial" w:cs="Arial"/>
                <w:sz w:val="21"/>
                <w:szCs w:val="21"/>
                <w:lang w:val="es-CR"/>
              </w:rPr>
              <w:t>La conversión del fondo cerrado a uno abierto, conforme la aprobación de asamblea de inversionistas.</w:t>
            </w:r>
          </w:p>
          <w:p w14:paraId="7881D1A7" w14:textId="77777777" w:rsidR="004609B1" w:rsidRPr="00802FB4" w:rsidRDefault="004609B1" w:rsidP="00EF629B">
            <w:pPr>
              <w:numPr>
                <w:ilvl w:val="0"/>
                <w:numId w:val="3"/>
              </w:numPr>
              <w:spacing w:before="240"/>
              <w:ind w:left="367" w:hanging="367"/>
              <w:jc w:val="both"/>
              <w:rPr>
                <w:rFonts w:ascii="Arial" w:hAnsi="Arial" w:cs="Arial"/>
                <w:sz w:val="21"/>
                <w:szCs w:val="21"/>
                <w:lang w:val="es-CR"/>
              </w:rPr>
            </w:pPr>
            <w:r w:rsidRPr="00802FB4">
              <w:rPr>
                <w:rFonts w:ascii="Arial" w:hAnsi="Arial" w:cs="Arial"/>
                <w:sz w:val="21"/>
                <w:szCs w:val="21"/>
                <w:lang w:val="es-CR"/>
              </w:rPr>
              <w:t>En casos de iliquidez del mercado y con aprobación de la asamblea de inversionistas, cuando sean autorizados por la Superintendencia.</w:t>
            </w:r>
          </w:p>
          <w:p w14:paraId="2754F5D2" w14:textId="77777777" w:rsidR="004609B1" w:rsidRPr="00802FB4" w:rsidRDefault="004609B1" w:rsidP="00EF629B">
            <w:pPr>
              <w:numPr>
                <w:ilvl w:val="0"/>
                <w:numId w:val="3"/>
              </w:numPr>
              <w:spacing w:before="240"/>
              <w:ind w:left="367" w:hanging="367"/>
              <w:jc w:val="both"/>
              <w:rPr>
                <w:rFonts w:ascii="Arial" w:hAnsi="Arial" w:cs="Arial"/>
                <w:sz w:val="21"/>
                <w:szCs w:val="21"/>
                <w:lang w:val="es-CR"/>
              </w:rPr>
            </w:pPr>
            <w:r w:rsidRPr="00802FB4">
              <w:rPr>
                <w:rFonts w:ascii="Arial" w:hAnsi="Arial" w:cs="Arial"/>
                <w:sz w:val="21"/>
                <w:szCs w:val="21"/>
                <w:lang w:val="es-CR"/>
              </w:rPr>
              <w:t xml:space="preserve">Cambio de control, fusión y sustitución de </w:t>
            </w:r>
            <w:r w:rsidR="00A865D7" w:rsidRPr="00802FB4">
              <w:rPr>
                <w:rFonts w:ascii="Arial" w:hAnsi="Arial" w:cs="Arial"/>
                <w:sz w:val="21"/>
                <w:szCs w:val="21"/>
                <w:lang w:val="es-CR"/>
              </w:rPr>
              <w:t>Multifondos</w:t>
            </w:r>
            <w:r w:rsidRPr="00802FB4">
              <w:rPr>
                <w:rFonts w:ascii="Arial" w:hAnsi="Arial" w:cs="Arial"/>
                <w:sz w:val="21"/>
                <w:szCs w:val="21"/>
                <w:lang w:val="es-CR"/>
              </w:rPr>
              <w:t>.</w:t>
            </w:r>
          </w:p>
          <w:p w14:paraId="01674066" w14:textId="77777777" w:rsidR="00DD17E7" w:rsidRPr="00802FB4" w:rsidRDefault="00DD17E7" w:rsidP="00EF629B">
            <w:pPr>
              <w:numPr>
                <w:ilvl w:val="0"/>
                <w:numId w:val="3"/>
              </w:numPr>
              <w:spacing w:before="240"/>
              <w:ind w:left="367" w:hanging="367"/>
              <w:jc w:val="both"/>
              <w:rPr>
                <w:rFonts w:ascii="Arial" w:hAnsi="Arial" w:cs="Arial"/>
                <w:sz w:val="21"/>
                <w:szCs w:val="21"/>
                <w:lang w:val="es-CR"/>
              </w:rPr>
            </w:pPr>
            <w:r w:rsidRPr="00802FB4">
              <w:rPr>
                <w:rFonts w:ascii="Arial" w:hAnsi="Arial" w:cs="Arial"/>
                <w:sz w:val="21"/>
                <w:szCs w:val="21"/>
                <w:lang w:val="es-CR"/>
              </w:rPr>
              <w:t>Fusión del fondo.</w:t>
            </w:r>
          </w:p>
          <w:p w14:paraId="711E4AFD" w14:textId="77777777" w:rsidR="0095036F" w:rsidRPr="00802FB4" w:rsidRDefault="0095036F" w:rsidP="00EF629B">
            <w:pPr>
              <w:numPr>
                <w:ilvl w:val="0"/>
                <w:numId w:val="3"/>
              </w:numPr>
              <w:spacing w:before="240"/>
              <w:ind w:left="367" w:hanging="367"/>
              <w:jc w:val="both"/>
              <w:rPr>
                <w:rFonts w:ascii="Arial" w:hAnsi="Arial" w:cs="Arial"/>
                <w:sz w:val="21"/>
                <w:szCs w:val="21"/>
                <w:lang w:val="es-CR"/>
              </w:rPr>
            </w:pPr>
            <w:r w:rsidRPr="00802FB4">
              <w:rPr>
                <w:rFonts w:ascii="Arial" w:hAnsi="Arial" w:cs="Arial"/>
                <w:sz w:val="21"/>
                <w:szCs w:val="21"/>
                <w:lang w:val="es-CR"/>
              </w:rPr>
              <w:t>Modificaciones del régimen de inversión, entendido como la naturaleza del fondo (abierto o cerrado), la política de inversión, el nivel en endeudamiento autorizado para el fondo, el aumento en las comisiones de administración, entrada o salida máximas establecidas en el prospecto, la disminución de la periodicidad de distribución de los rendimientos hacia los inversionistas y el aumento en el monto autorizado de fondos cerrados.</w:t>
            </w:r>
          </w:p>
          <w:p w14:paraId="322FC61F" w14:textId="21ECBE88" w:rsidR="00DF23AE" w:rsidRPr="00802FB4" w:rsidRDefault="00DF23AE" w:rsidP="00EF629B">
            <w:pPr>
              <w:numPr>
                <w:ilvl w:val="0"/>
                <w:numId w:val="3"/>
              </w:numPr>
              <w:spacing w:before="240"/>
              <w:ind w:left="367" w:hanging="367"/>
              <w:jc w:val="both"/>
              <w:rPr>
                <w:rFonts w:ascii="Arial" w:hAnsi="Arial" w:cs="Arial"/>
                <w:sz w:val="21"/>
                <w:szCs w:val="21"/>
                <w:lang w:val="es-CR"/>
              </w:rPr>
            </w:pPr>
            <w:r w:rsidRPr="00802FB4">
              <w:rPr>
                <w:rFonts w:ascii="Arial" w:hAnsi="Arial" w:cs="Arial"/>
                <w:color w:val="000000"/>
                <w:sz w:val="21"/>
                <w:szCs w:val="21"/>
                <w:lang w:val="es-CR"/>
              </w:rPr>
              <w:lastRenderedPageBreak/>
              <w:t>Cambio de la entidad de custodia</w:t>
            </w:r>
            <w:r w:rsidR="001B587D" w:rsidRPr="00802FB4">
              <w:rPr>
                <w:rFonts w:ascii="Arial" w:hAnsi="Arial" w:cs="Arial"/>
                <w:color w:val="000000"/>
                <w:sz w:val="21"/>
                <w:szCs w:val="21"/>
                <w:lang w:val="es-CR"/>
              </w:rPr>
              <w:t xml:space="preserve">, </w:t>
            </w:r>
            <w:r w:rsidR="001B587D" w:rsidRPr="00802FB4">
              <w:rPr>
                <w:rFonts w:ascii="Arial" w:hAnsi="Arial" w:cs="Arial"/>
                <w:color w:val="000000"/>
                <w:sz w:val="21"/>
                <w:szCs w:val="21"/>
              </w:rPr>
              <w:t>excepto cuando dicho cambio ocurra entre entidades del mismo grupo o conglomerado financiero</w:t>
            </w:r>
            <w:r w:rsidR="001B587D" w:rsidRPr="00802FB4">
              <w:rPr>
                <w:rFonts w:ascii="Arial" w:hAnsi="Arial" w:cs="Arial"/>
                <w:color w:val="000000"/>
                <w:sz w:val="21"/>
                <w:szCs w:val="21"/>
                <w:lang w:val="es-CR"/>
              </w:rPr>
              <w:t>.</w:t>
            </w:r>
          </w:p>
          <w:p w14:paraId="6DD05C2A" w14:textId="77777777" w:rsidR="00F970EE" w:rsidRPr="00802FB4" w:rsidRDefault="003C250F" w:rsidP="0052630D">
            <w:pPr>
              <w:spacing w:before="240"/>
              <w:jc w:val="both"/>
              <w:rPr>
                <w:rFonts w:ascii="Arial" w:hAnsi="Arial" w:cs="Arial"/>
                <w:sz w:val="21"/>
                <w:szCs w:val="21"/>
                <w:lang w:val="es-CR"/>
              </w:rPr>
            </w:pPr>
            <w:r w:rsidRPr="00802FB4">
              <w:rPr>
                <w:rFonts w:ascii="Arial" w:hAnsi="Arial" w:cs="Arial"/>
                <w:sz w:val="21"/>
                <w:szCs w:val="21"/>
                <w:lang w:val="es-CR"/>
              </w:rPr>
              <w:t>En estos casos, el reembolso se sujetará a las mismas reglas de orden de pago y plazo establecidos para la redención de las participaciones de los fondos abiertos, mediante la instrucción que el cliente indique como medio pago.</w:t>
            </w:r>
          </w:p>
          <w:p w14:paraId="6D6CAD58" w14:textId="35AA4BD4" w:rsidR="004D4ABE" w:rsidRPr="00802FB4" w:rsidRDefault="00467B6E" w:rsidP="004D4ABE">
            <w:pPr>
              <w:spacing w:before="240"/>
              <w:jc w:val="both"/>
              <w:rPr>
                <w:rFonts w:ascii="Arial" w:hAnsi="Arial" w:cs="Arial"/>
                <w:sz w:val="21"/>
                <w:szCs w:val="21"/>
                <w:lang w:val="es-CR"/>
              </w:rPr>
            </w:pPr>
            <w:r w:rsidRPr="00802FB4">
              <w:rPr>
                <w:rFonts w:ascii="Arial" w:hAnsi="Arial" w:cs="Arial"/>
                <w:sz w:val="21"/>
                <w:szCs w:val="21"/>
                <w:lang w:val="es-CR"/>
              </w:rPr>
              <w:t xml:space="preserve">Aplica el derecho de receso a aquellos inversionistas </w:t>
            </w:r>
            <w:r w:rsidR="00F75E3A" w:rsidRPr="00802FB4">
              <w:rPr>
                <w:rFonts w:ascii="Arial" w:hAnsi="Arial" w:cs="Arial"/>
                <w:sz w:val="21"/>
                <w:szCs w:val="21"/>
                <w:lang w:val="es-CR"/>
              </w:rPr>
              <w:t xml:space="preserve">en </w:t>
            </w:r>
            <w:r w:rsidRPr="00802FB4">
              <w:rPr>
                <w:rFonts w:ascii="Arial" w:hAnsi="Arial" w:cs="Arial"/>
                <w:sz w:val="21"/>
                <w:szCs w:val="21"/>
                <w:lang w:val="es-CR"/>
              </w:rPr>
              <w:t>desacuerdo presentes en la asamblea y los ausentes que manifestaron su desacuerdo con lo puntos mencionados a excepción del punto 2. En estos casos el fondo liquidará mediante el mecanismo de liquidez aprobado por la asamblea.</w:t>
            </w:r>
          </w:p>
        </w:tc>
      </w:tr>
      <w:tr w:rsidR="00504FEB" w:rsidRPr="00802FB4" w14:paraId="76B989FC" w14:textId="77777777" w:rsidTr="00D97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2657" w:type="dxa"/>
            <w:vAlign w:val="center"/>
          </w:tcPr>
          <w:p w14:paraId="0B8ADF5C" w14:textId="77777777" w:rsidR="008C5E1B" w:rsidRPr="00802FB4" w:rsidRDefault="008C5E1B" w:rsidP="00D91E0F">
            <w:pPr>
              <w:rPr>
                <w:rFonts w:ascii="Arial" w:hAnsi="Arial" w:cs="Arial"/>
                <w:color w:val="000000" w:themeColor="text1"/>
                <w:sz w:val="21"/>
                <w:szCs w:val="21"/>
              </w:rPr>
            </w:pPr>
            <w:r w:rsidRPr="00802FB4">
              <w:rPr>
                <w:rFonts w:ascii="Arial" w:hAnsi="Arial" w:cs="Arial"/>
                <w:b/>
                <w:color w:val="000000" w:themeColor="text1"/>
                <w:sz w:val="21"/>
                <w:szCs w:val="21"/>
              </w:rPr>
              <w:lastRenderedPageBreak/>
              <w:t>Mecanismo de colocación de las participaciones</w:t>
            </w:r>
          </w:p>
        </w:tc>
        <w:tc>
          <w:tcPr>
            <w:tcW w:w="6521" w:type="dxa"/>
            <w:gridSpan w:val="3"/>
            <w:vAlign w:val="center"/>
          </w:tcPr>
          <w:p w14:paraId="69A7957A" w14:textId="77777777" w:rsidR="00504FEB" w:rsidRPr="00802FB4" w:rsidRDefault="00504FEB" w:rsidP="00504FEB">
            <w:pPr>
              <w:jc w:val="both"/>
              <w:rPr>
                <w:rFonts w:ascii="Arial" w:hAnsi="Arial" w:cs="Arial"/>
                <w:color w:val="000000" w:themeColor="text1"/>
                <w:sz w:val="21"/>
                <w:szCs w:val="21"/>
              </w:rPr>
            </w:pPr>
            <w:r w:rsidRPr="00802FB4">
              <w:rPr>
                <w:rFonts w:ascii="Arial" w:hAnsi="Arial" w:cs="Arial"/>
                <w:color w:val="000000" w:themeColor="text1"/>
                <w:sz w:val="21"/>
                <w:szCs w:val="21"/>
              </w:rPr>
              <w:t>Las participaciones del fondo podrán colocarse mediante colocación directa, subasta o contratos de colocación, según lo que defina Multifondos de Costa Rica SFI, S.A.</w:t>
            </w:r>
          </w:p>
          <w:p w14:paraId="5D1E46FB" w14:textId="77777777" w:rsidR="00504FEB" w:rsidRPr="00802FB4" w:rsidRDefault="00504FEB" w:rsidP="006B0622">
            <w:pPr>
              <w:spacing w:before="240"/>
              <w:jc w:val="both"/>
              <w:rPr>
                <w:rFonts w:ascii="Arial" w:hAnsi="Arial" w:cs="Arial"/>
                <w:color w:val="000000" w:themeColor="text1"/>
                <w:sz w:val="21"/>
                <w:szCs w:val="21"/>
              </w:rPr>
            </w:pPr>
            <w:r w:rsidRPr="00802FB4">
              <w:rPr>
                <w:rFonts w:ascii="Arial" w:hAnsi="Arial" w:cs="Arial"/>
                <w:color w:val="000000" w:themeColor="text1"/>
                <w:sz w:val="21"/>
                <w:szCs w:val="21"/>
              </w:rPr>
              <w:t xml:space="preserve">En las colocaciones fuera de bolsa, excepto en el caso de la suscripción en firme por la totalidad de la emisión, se brindará un trato igualitario a los inversionistas en el acceso y difusión de la información sobre la emisión y el mecanismo de colocación, así como en las condiciones de la colocación. De igual manera, la sociedad administradora definirá el mecanismo a utilizar y las reglas que aplicará al mecanismo seleccionado. </w:t>
            </w:r>
          </w:p>
          <w:p w14:paraId="6D95E6F8" w14:textId="77777777" w:rsidR="00504FEB" w:rsidRPr="00802FB4" w:rsidRDefault="00504FEB" w:rsidP="006B0622">
            <w:pPr>
              <w:spacing w:before="240"/>
              <w:jc w:val="both"/>
              <w:rPr>
                <w:rFonts w:ascii="Arial" w:hAnsi="Arial" w:cs="Arial"/>
                <w:color w:val="000000" w:themeColor="text1"/>
                <w:sz w:val="21"/>
                <w:szCs w:val="21"/>
              </w:rPr>
            </w:pPr>
            <w:r w:rsidRPr="00802FB4">
              <w:rPr>
                <w:rFonts w:ascii="Arial" w:hAnsi="Arial" w:cs="Arial"/>
                <w:color w:val="000000" w:themeColor="text1"/>
                <w:sz w:val="21"/>
                <w:szCs w:val="21"/>
              </w:rPr>
              <w:t>Las colocaciones por bolsa se sujetarán a los mecanismos y disposiciones que la bolsa de valores respectiva disponga por vía reglamentaria, en concordancia con el principio de trato igualitario señalado anteriormente.</w:t>
            </w:r>
          </w:p>
          <w:p w14:paraId="2ACAA57E" w14:textId="77777777" w:rsidR="00504FEB" w:rsidRPr="00802FB4" w:rsidRDefault="00504FEB" w:rsidP="006B0622">
            <w:pPr>
              <w:spacing w:before="240"/>
              <w:jc w:val="both"/>
              <w:rPr>
                <w:rFonts w:ascii="Arial" w:hAnsi="Arial" w:cs="Arial"/>
                <w:color w:val="000000" w:themeColor="text1"/>
                <w:sz w:val="21"/>
                <w:szCs w:val="21"/>
              </w:rPr>
            </w:pPr>
            <w:r w:rsidRPr="00802FB4">
              <w:rPr>
                <w:rFonts w:ascii="Arial" w:hAnsi="Arial" w:cs="Arial"/>
                <w:color w:val="000000" w:themeColor="text1"/>
                <w:sz w:val="21"/>
                <w:szCs w:val="21"/>
              </w:rPr>
              <w:t>La convocatoria de la colocación (fuera o dentro de bolsa) y sus condiciones, se informarán mediante un Comunicado de Hecho Relevante, 5 días hábiles antes de la primera colocación que realice el fondo de inversión y 2 días hábiles antes de las colocaciones posteriores.</w:t>
            </w:r>
          </w:p>
          <w:p w14:paraId="3B3B8DBE" w14:textId="77777777" w:rsidR="008C5E1B" w:rsidRPr="00802FB4" w:rsidRDefault="00504FEB" w:rsidP="006B0622">
            <w:pPr>
              <w:tabs>
                <w:tab w:val="left" w:pos="338"/>
              </w:tabs>
              <w:spacing w:before="240"/>
              <w:jc w:val="both"/>
              <w:rPr>
                <w:rFonts w:ascii="Arial" w:hAnsi="Arial" w:cs="Arial"/>
                <w:color w:val="000000" w:themeColor="text1"/>
                <w:sz w:val="21"/>
                <w:szCs w:val="21"/>
                <w:lang w:val="es-MX"/>
              </w:rPr>
            </w:pPr>
            <w:r w:rsidRPr="00802FB4">
              <w:rPr>
                <w:rFonts w:ascii="Arial" w:hAnsi="Arial" w:cs="Arial"/>
                <w:color w:val="000000" w:themeColor="text1"/>
                <w:sz w:val="21"/>
                <w:szCs w:val="21"/>
              </w:rPr>
              <w:t>En caso de que se utilice un contrato de colocación, se informará mediante Comunicado de Hecho Relevante el nombre de los suscriptores, la naturaleza y el plazo de las obligaciones de los intermediarios, el monto a suscribir por cada uno, las compensaciones convenidas y el precio a pagar por los valores, como máximo 1 día hábil después de la firma del contrato.</w:t>
            </w:r>
          </w:p>
        </w:tc>
      </w:tr>
    </w:tbl>
    <w:p w14:paraId="46EF9231" w14:textId="77777777" w:rsidR="00A16C94" w:rsidRPr="00802FB4" w:rsidRDefault="00A16C94">
      <w:pPr>
        <w:rPr>
          <w:rFonts w:ascii="Arial" w:hAnsi="Arial" w:cs="Arial"/>
          <w:sz w:val="21"/>
          <w:szCs w:val="21"/>
        </w:rPr>
      </w:pPr>
    </w:p>
    <w:tbl>
      <w:tblPr>
        <w:tblW w:w="9178" w:type="dxa"/>
        <w:tblInd w:w="-252" w:type="dxa"/>
        <w:tblLook w:val="01E0" w:firstRow="1" w:lastRow="1" w:firstColumn="1" w:lastColumn="1" w:noHBand="0" w:noVBand="0"/>
      </w:tblPr>
      <w:tblGrid>
        <w:gridCol w:w="2657"/>
        <w:gridCol w:w="6521"/>
      </w:tblGrid>
      <w:tr w:rsidR="008C5E1B" w:rsidRPr="00802FB4" w14:paraId="6DC7A9B7" w14:textId="77777777" w:rsidTr="00CF46AE">
        <w:tc>
          <w:tcPr>
            <w:tcW w:w="9178" w:type="dxa"/>
            <w:gridSpan w:val="2"/>
            <w:tcBorders>
              <w:top w:val="single" w:sz="4" w:space="0" w:color="auto"/>
              <w:left w:val="single" w:sz="4" w:space="0" w:color="auto"/>
              <w:bottom w:val="single" w:sz="4" w:space="0" w:color="auto"/>
              <w:right w:val="single" w:sz="4" w:space="0" w:color="auto"/>
            </w:tcBorders>
            <w:vAlign w:val="center"/>
          </w:tcPr>
          <w:p w14:paraId="6FC82F33" w14:textId="77777777" w:rsidR="008C5E1B" w:rsidRPr="00802FB4" w:rsidRDefault="008C5E1B" w:rsidP="00D83795">
            <w:pPr>
              <w:spacing w:before="120" w:after="120"/>
              <w:jc w:val="center"/>
              <w:rPr>
                <w:rFonts w:ascii="Arial" w:hAnsi="Arial" w:cs="Arial"/>
                <w:b/>
                <w:sz w:val="21"/>
                <w:szCs w:val="21"/>
              </w:rPr>
            </w:pPr>
            <w:r w:rsidRPr="00802FB4">
              <w:rPr>
                <w:rFonts w:ascii="Arial" w:hAnsi="Arial" w:cs="Arial"/>
                <w:b/>
                <w:sz w:val="21"/>
                <w:szCs w:val="21"/>
              </w:rPr>
              <w:t>Distribución de beneficios periódicos</w:t>
            </w:r>
          </w:p>
        </w:tc>
      </w:tr>
      <w:tr w:rsidR="008C5E1B" w:rsidRPr="00802FB4" w14:paraId="4D033435" w14:textId="77777777" w:rsidTr="00CF46AE">
        <w:tc>
          <w:tcPr>
            <w:tcW w:w="2657" w:type="dxa"/>
            <w:tcBorders>
              <w:top w:val="single" w:sz="4" w:space="0" w:color="auto"/>
              <w:left w:val="single" w:sz="4" w:space="0" w:color="auto"/>
              <w:bottom w:val="single" w:sz="4" w:space="0" w:color="auto"/>
              <w:right w:val="single" w:sz="4" w:space="0" w:color="auto"/>
            </w:tcBorders>
            <w:vAlign w:val="center"/>
          </w:tcPr>
          <w:p w14:paraId="1FC6CACB" w14:textId="77777777" w:rsidR="008C5E1B" w:rsidRPr="00802FB4" w:rsidRDefault="008C5E1B" w:rsidP="00D83795">
            <w:pPr>
              <w:rPr>
                <w:rFonts w:ascii="Arial" w:hAnsi="Arial" w:cs="Arial"/>
                <w:b/>
                <w:sz w:val="21"/>
                <w:szCs w:val="21"/>
              </w:rPr>
            </w:pPr>
            <w:r w:rsidRPr="00802FB4">
              <w:rPr>
                <w:rFonts w:ascii="Arial" w:hAnsi="Arial" w:cs="Arial"/>
                <w:b/>
                <w:sz w:val="21"/>
                <w:szCs w:val="21"/>
              </w:rPr>
              <w:t>Periodicidad de distribución</w:t>
            </w:r>
          </w:p>
        </w:tc>
        <w:tc>
          <w:tcPr>
            <w:tcW w:w="6521" w:type="dxa"/>
            <w:tcBorders>
              <w:top w:val="single" w:sz="4" w:space="0" w:color="auto"/>
              <w:left w:val="single" w:sz="4" w:space="0" w:color="auto"/>
              <w:bottom w:val="single" w:sz="4" w:space="0" w:color="auto"/>
              <w:right w:val="single" w:sz="4" w:space="0" w:color="auto"/>
            </w:tcBorders>
            <w:vAlign w:val="center"/>
          </w:tcPr>
          <w:p w14:paraId="285E8439" w14:textId="77777777" w:rsidR="008C5E1B" w:rsidRPr="00802FB4" w:rsidRDefault="0079364C" w:rsidP="00573F4A">
            <w:pPr>
              <w:rPr>
                <w:rFonts w:ascii="Arial" w:hAnsi="Arial" w:cs="Arial"/>
                <w:sz w:val="21"/>
                <w:szCs w:val="21"/>
              </w:rPr>
            </w:pPr>
            <w:r w:rsidRPr="00802FB4">
              <w:rPr>
                <w:rFonts w:ascii="Arial" w:hAnsi="Arial" w:cs="Arial"/>
                <w:sz w:val="21"/>
                <w:szCs w:val="21"/>
              </w:rPr>
              <w:t>Trimestral</w:t>
            </w:r>
          </w:p>
        </w:tc>
      </w:tr>
      <w:tr w:rsidR="008C5E1B" w:rsidRPr="00802FB4" w14:paraId="403B63FE" w14:textId="77777777" w:rsidTr="00504FEB">
        <w:trPr>
          <w:trHeight w:val="918"/>
        </w:trPr>
        <w:tc>
          <w:tcPr>
            <w:tcW w:w="2657" w:type="dxa"/>
            <w:tcBorders>
              <w:top w:val="single" w:sz="4" w:space="0" w:color="auto"/>
              <w:left w:val="single" w:sz="4" w:space="0" w:color="auto"/>
              <w:bottom w:val="single" w:sz="4" w:space="0" w:color="auto"/>
              <w:right w:val="single" w:sz="4" w:space="0" w:color="auto"/>
            </w:tcBorders>
            <w:vAlign w:val="center"/>
          </w:tcPr>
          <w:p w14:paraId="0EF6A342" w14:textId="77777777" w:rsidR="008C5E1B" w:rsidRPr="00802FB4" w:rsidRDefault="008C5E1B" w:rsidP="00D83795">
            <w:pPr>
              <w:rPr>
                <w:rFonts w:ascii="Arial" w:hAnsi="Arial" w:cs="Arial"/>
                <w:b/>
                <w:sz w:val="21"/>
                <w:szCs w:val="21"/>
              </w:rPr>
            </w:pPr>
            <w:r w:rsidRPr="00802FB4">
              <w:rPr>
                <w:rFonts w:ascii="Arial" w:hAnsi="Arial" w:cs="Arial"/>
                <w:b/>
                <w:sz w:val="21"/>
                <w:szCs w:val="21"/>
              </w:rPr>
              <w:lastRenderedPageBreak/>
              <w:t>Fecha de corte para determinar inversionistas con derecho a recibir los beneficios</w:t>
            </w:r>
          </w:p>
        </w:tc>
        <w:tc>
          <w:tcPr>
            <w:tcW w:w="6521" w:type="dxa"/>
            <w:tcBorders>
              <w:top w:val="single" w:sz="4" w:space="0" w:color="auto"/>
              <w:left w:val="single" w:sz="4" w:space="0" w:color="auto"/>
              <w:bottom w:val="single" w:sz="4" w:space="0" w:color="auto"/>
              <w:right w:val="single" w:sz="4" w:space="0" w:color="auto"/>
            </w:tcBorders>
            <w:vAlign w:val="center"/>
          </w:tcPr>
          <w:p w14:paraId="26E1D1D3" w14:textId="77777777" w:rsidR="008C5E1B" w:rsidRPr="00802FB4" w:rsidRDefault="004609B1" w:rsidP="00B45891">
            <w:pPr>
              <w:rPr>
                <w:rFonts w:ascii="Arial" w:hAnsi="Arial" w:cs="Arial"/>
                <w:i/>
                <w:sz w:val="21"/>
                <w:szCs w:val="21"/>
              </w:rPr>
            </w:pPr>
            <w:r w:rsidRPr="00802FB4">
              <w:rPr>
                <w:rFonts w:ascii="Arial" w:hAnsi="Arial" w:cs="Arial"/>
                <w:sz w:val="21"/>
                <w:szCs w:val="21"/>
                <w:lang w:val="es-CR"/>
              </w:rPr>
              <w:t>Inversionistas registrados al último día del</w:t>
            </w:r>
            <w:r w:rsidR="00FE3E77" w:rsidRPr="00802FB4">
              <w:rPr>
                <w:rFonts w:ascii="Arial" w:hAnsi="Arial" w:cs="Arial"/>
                <w:sz w:val="21"/>
                <w:szCs w:val="21"/>
                <w:lang w:val="es-CR"/>
              </w:rPr>
              <w:t xml:space="preserve"> trimestre</w:t>
            </w:r>
            <w:r w:rsidR="00CE1531" w:rsidRPr="00802FB4">
              <w:rPr>
                <w:rFonts w:ascii="Arial" w:hAnsi="Arial" w:cs="Arial"/>
                <w:sz w:val="21"/>
                <w:szCs w:val="21"/>
                <w:lang w:val="es-CR"/>
              </w:rPr>
              <w:t>.</w:t>
            </w:r>
          </w:p>
        </w:tc>
      </w:tr>
      <w:tr w:rsidR="008C5E1B" w:rsidRPr="00802FB4" w14:paraId="4B846301" w14:textId="77777777" w:rsidTr="00CF46AE">
        <w:tc>
          <w:tcPr>
            <w:tcW w:w="2657" w:type="dxa"/>
            <w:tcBorders>
              <w:top w:val="single" w:sz="4" w:space="0" w:color="auto"/>
              <w:left w:val="single" w:sz="4" w:space="0" w:color="auto"/>
              <w:bottom w:val="single" w:sz="4" w:space="0" w:color="auto"/>
              <w:right w:val="single" w:sz="4" w:space="0" w:color="auto"/>
            </w:tcBorders>
            <w:vAlign w:val="center"/>
          </w:tcPr>
          <w:p w14:paraId="4177E708" w14:textId="77777777" w:rsidR="008C5E1B" w:rsidRPr="00802FB4" w:rsidRDefault="008C5E1B" w:rsidP="00D83795">
            <w:pPr>
              <w:rPr>
                <w:rFonts w:ascii="Arial" w:hAnsi="Arial" w:cs="Arial"/>
                <w:b/>
                <w:sz w:val="21"/>
                <w:szCs w:val="21"/>
              </w:rPr>
            </w:pPr>
            <w:r w:rsidRPr="00802FB4">
              <w:rPr>
                <w:rFonts w:ascii="Arial" w:hAnsi="Arial" w:cs="Arial"/>
                <w:b/>
                <w:sz w:val="21"/>
                <w:szCs w:val="21"/>
              </w:rPr>
              <w:t>Fecha de pago de los beneficios</w:t>
            </w:r>
          </w:p>
        </w:tc>
        <w:tc>
          <w:tcPr>
            <w:tcW w:w="6521" w:type="dxa"/>
            <w:tcBorders>
              <w:top w:val="single" w:sz="4" w:space="0" w:color="auto"/>
              <w:left w:val="single" w:sz="4" w:space="0" w:color="auto"/>
              <w:bottom w:val="single" w:sz="4" w:space="0" w:color="auto"/>
              <w:right w:val="single" w:sz="4" w:space="0" w:color="auto"/>
            </w:tcBorders>
            <w:vAlign w:val="center"/>
          </w:tcPr>
          <w:p w14:paraId="2FE6FCFE" w14:textId="77777777" w:rsidR="008C5E1B" w:rsidRPr="00802FB4" w:rsidRDefault="00467B6E" w:rsidP="00467B6E">
            <w:pPr>
              <w:jc w:val="both"/>
              <w:rPr>
                <w:rFonts w:ascii="Arial" w:hAnsi="Arial" w:cs="Arial"/>
                <w:i/>
                <w:sz w:val="21"/>
                <w:szCs w:val="21"/>
              </w:rPr>
            </w:pPr>
            <w:r w:rsidRPr="00802FB4">
              <w:rPr>
                <w:rFonts w:ascii="Arial" w:hAnsi="Arial" w:cs="Arial"/>
                <w:sz w:val="21"/>
                <w:szCs w:val="21"/>
                <w:lang w:val="es-CR"/>
              </w:rPr>
              <w:t xml:space="preserve">Como </w:t>
            </w:r>
            <w:r w:rsidR="00976037" w:rsidRPr="00802FB4">
              <w:rPr>
                <w:rFonts w:ascii="Arial" w:hAnsi="Arial" w:cs="Arial"/>
                <w:sz w:val="21"/>
                <w:szCs w:val="21"/>
                <w:lang w:val="es-CR"/>
              </w:rPr>
              <w:t>máximo t</w:t>
            </w:r>
            <w:r w:rsidR="0079364C" w:rsidRPr="00802FB4">
              <w:rPr>
                <w:rFonts w:ascii="Arial" w:hAnsi="Arial" w:cs="Arial"/>
                <w:sz w:val="21"/>
                <w:szCs w:val="21"/>
                <w:lang w:val="es-CR"/>
              </w:rPr>
              <w:t xml:space="preserve">reinta </w:t>
            </w:r>
            <w:r w:rsidR="001F078B" w:rsidRPr="00802FB4">
              <w:rPr>
                <w:rFonts w:ascii="Arial" w:hAnsi="Arial" w:cs="Arial"/>
                <w:sz w:val="21"/>
                <w:szCs w:val="21"/>
                <w:lang w:val="es-CR"/>
              </w:rPr>
              <w:t xml:space="preserve">días naturales </w:t>
            </w:r>
            <w:r w:rsidR="00551224" w:rsidRPr="00802FB4">
              <w:rPr>
                <w:rFonts w:ascii="Arial" w:hAnsi="Arial" w:cs="Arial"/>
                <w:sz w:val="21"/>
                <w:szCs w:val="21"/>
                <w:lang w:val="es-CR"/>
              </w:rPr>
              <w:t>siguientes</w:t>
            </w:r>
            <w:r w:rsidR="001F078B" w:rsidRPr="00802FB4">
              <w:rPr>
                <w:rFonts w:ascii="Arial" w:hAnsi="Arial" w:cs="Arial"/>
                <w:sz w:val="21"/>
                <w:szCs w:val="21"/>
                <w:lang w:val="es-CR"/>
              </w:rPr>
              <w:t xml:space="preserve"> al cierre de cada</w:t>
            </w:r>
            <w:r w:rsidR="0079364C" w:rsidRPr="00802FB4">
              <w:rPr>
                <w:rFonts w:ascii="Arial" w:hAnsi="Arial" w:cs="Arial"/>
                <w:sz w:val="21"/>
                <w:szCs w:val="21"/>
                <w:lang w:val="es-CR"/>
              </w:rPr>
              <w:t xml:space="preserve"> trimestre</w:t>
            </w:r>
            <w:r w:rsidR="00CE1531" w:rsidRPr="00802FB4">
              <w:rPr>
                <w:rFonts w:ascii="Arial" w:hAnsi="Arial" w:cs="Arial"/>
                <w:sz w:val="21"/>
                <w:szCs w:val="21"/>
                <w:lang w:val="es-CR"/>
              </w:rPr>
              <w:t>.</w:t>
            </w:r>
          </w:p>
        </w:tc>
      </w:tr>
      <w:tr w:rsidR="008C5E1B" w:rsidRPr="00802FB4" w14:paraId="02E7E049" w14:textId="77777777" w:rsidTr="00D91E0F">
        <w:trPr>
          <w:trHeight w:val="1125"/>
        </w:trPr>
        <w:tc>
          <w:tcPr>
            <w:tcW w:w="2657" w:type="dxa"/>
            <w:tcBorders>
              <w:top w:val="single" w:sz="4" w:space="0" w:color="auto"/>
              <w:left w:val="single" w:sz="4" w:space="0" w:color="auto"/>
              <w:bottom w:val="single" w:sz="4" w:space="0" w:color="auto"/>
              <w:right w:val="single" w:sz="4" w:space="0" w:color="auto"/>
            </w:tcBorders>
            <w:vAlign w:val="center"/>
          </w:tcPr>
          <w:p w14:paraId="30D70930" w14:textId="77777777" w:rsidR="008C5E1B" w:rsidRPr="00802FB4" w:rsidRDefault="008C5E1B" w:rsidP="00D83795">
            <w:pPr>
              <w:rPr>
                <w:rFonts w:ascii="Arial" w:hAnsi="Arial" w:cs="Arial"/>
                <w:sz w:val="21"/>
                <w:szCs w:val="21"/>
                <w:lang w:val="es-CR"/>
              </w:rPr>
            </w:pPr>
            <w:r w:rsidRPr="00802FB4">
              <w:rPr>
                <w:rFonts w:ascii="Arial" w:hAnsi="Arial" w:cs="Arial"/>
                <w:b/>
                <w:sz w:val="21"/>
                <w:szCs w:val="21"/>
              </w:rPr>
              <w:t>Determinación del beneficio a distribuir</w:t>
            </w:r>
          </w:p>
        </w:tc>
        <w:tc>
          <w:tcPr>
            <w:tcW w:w="6521" w:type="dxa"/>
            <w:tcBorders>
              <w:top w:val="single" w:sz="4" w:space="0" w:color="auto"/>
              <w:left w:val="single" w:sz="4" w:space="0" w:color="auto"/>
              <w:bottom w:val="single" w:sz="4" w:space="0" w:color="auto"/>
              <w:right w:val="single" w:sz="4" w:space="0" w:color="auto"/>
            </w:tcBorders>
            <w:vAlign w:val="center"/>
          </w:tcPr>
          <w:p w14:paraId="44883886" w14:textId="77777777" w:rsidR="0077313B" w:rsidRPr="00802FB4" w:rsidRDefault="00126DB3" w:rsidP="0054151F">
            <w:pPr>
              <w:jc w:val="both"/>
              <w:rPr>
                <w:rFonts w:ascii="Arial" w:hAnsi="Arial" w:cs="Arial"/>
                <w:sz w:val="21"/>
                <w:szCs w:val="21"/>
                <w:lang w:val="es-CR"/>
              </w:rPr>
            </w:pPr>
            <w:r w:rsidRPr="00802FB4">
              <w:rPr>
                <w:rFonts w:ascii="Arial" w:hAnsi="Arial" w:cs="Arial"/>
                <w:sz w:val="21"/>
                <w:szCs w:val="21"/>
                <w:lang w:val="es-CR"/>
              </w:rPr>
              <w:t>El fondo distribuirá trimestralmente los ingresos por alquileres, plusvalías generadas por la venta de inmuebles, intereses percibidos u otros ingresos, luego de rebajar el total de los costos en los que haya incurrido, así como, el monto de la reserva.</w:t>
            </w:r>
          </w:p>
          <w:p w14:paraId="38ED4E76" w14:textId="77777777" w:rsidR="00032E6D" w:rsidRPr="00802FB4" w:rsidRDefault="002C5274" w:rsidP="00D91E0F">
            <w:pPr>
              <w:spacing w:before="240"/>
              <w:jc w:val="both"/>
              <w:rPr>
                <w:rFonts w:ascii="Arial" w:hAnsi="Arial" w:cs="Arial"/>
                <w:sz w:val="21"/>
                <w:szCs w:val="21"/>
                <w:lang w:val="es-CR"/>
              </w:rPr>
            </w:pPr>
            <w:r w:rsidRPr="00802FB4">
              <w:rPr>
                <w:rFonts w:ascii="Arial" w:hAnsi="Arial" w:cs="Arial"/>
                <w:sz w:val="21"/>
                <w:szCs w:val="21"/>
                <w:lang w:val="es-CR"/>
              </w:rPr>
              <w:t>La reserva creada en las cuentas patrimoniales del fondo, que corresponde al monto de las pérdidas o ganancias no realizadas derivadas de un cambio en el valor razonable, netas de impuestos, no puede ser sujeta a distribución entre los inversionistas, solo hasta que se haya realizado la venta o disposición del bien inmueble.</w:t>
            </w:r>
          </w:p>
        </w:tc>
      </w:tr>
    </w:tbl>
    <w:p w14:paraId="1493F4B6" w14:textId="77777777" w:rsidR="00911C3E" w:rsidRPr="00802FB4" w:rsidRDefault="00911C3E" w:rsidP="00D91E0F">
      <w:pPr>
        <w:pStyle w:val="CNV"/>
        <w:widowControl w:val="0"/>
        <w:tabs>
          <w:tab w:val="left" w:pos="0"/>
          <w:tab w:val="left" w:pos="8910"/>
        </w:tabs>
        <w:ind w:left="360"/>
        <w:rPr>
          <w:rFonts w:ascii="Arial" w:hAnsi="Arial" w:cs="Arial"/>
          <w:b/>
          <w:sz w:val="21"/>
          <w:szCs w:val="21"/>
          <w:lang w:val="es-ES"/>
        </w:rPr>
      </w:pPr>
    </w:p>
    <w:p w14:paraId="02001684" w14:textId="6BB6E1E6" w:rsidR="008C5E1B" w:rsidRPr="00802FB4" w:rsidRDefault="00691324" w:rsidP="004D4ABE">
      <w:pPr>
        <w:pStyle w:val="Ttulo1"/>
        <w:numPr>
          <w:ilvl w:val="0"/>
          <w:numId w:val="1"/>
        </w:numPr>
        <w:ind w:left="142"/>
        <w:rPr>
          <w:rFonts w:ascii="Arial" w:hAnsi="Arial" w:cs="Arial"/>
          <w:sz w:val="24"/>
          <w:szCs w:val="21"/>
        </w:rPr>
      </w:pPr>
      <w:bookmarkStart w:id="20" w:name="_Toc34228949"/>
      <w:r w:rsidRPr="00802FB4">
        <w:rPr>
          <w:rFonts w:ascii="Arial" w:hAnsi="Arial" w:cs="Arial"/>
          <w:sz w:val="24"/>
          <w:szCs w:val="21"/>
        </w:rPr>
        <w:t>Comisiones y Costos</w:t>
      </w:r>
      <w:bookmarkEnd w:id="20"/>
    </w:p>
    <w:tbl>
      <w:tblPr>
        <w:tblW w:w="92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89"/>
        <w:gridCol w:w="6551"/>
      </w:tblGrid>
      <w:tr w:rsidR="008C5E1B" w:rsidRPr="00802FB4" w14:paraId="56ABC96A" w14:textId="77777777" w:rsidTr="00807EEF">
        <w:trPr>
          <w:jc w:val="center"/>
        </w:trPr>
        <w:tc>
          <w:tcPr>
            <w:tcW w:w="9240" w:type="dxa"/>
            <w:gridSpan w:val="2"/>
            <w:vAlign w:val="center"/>
          </w:tcPr>
          <w:p w14:paraId="586C880A" w14:textId="77777777" w:rsidR="008C5E1B" w:rsidRPr="00802FB4" w:rsidRDefault="008C5E1B" w:rsidP="00D83795">
            <w:pPr>
              <w:pStyle w:val="CNV"/>
              <w:tabs>
                <w:tab w:val="left" w:pos="8910"/>
              </w:tabs>
              <w:spacing w:before="120" w:after="120"/>
              <w:jc w:val="center"/>
              <w:rPr>
                <w:rFonts w:ascii="Arial" w:hAnsi="Arial" w:cs="Arial"/>
                <w:b/>
                <w:sz w:val="21"/>
                <w:szCs w:val="21"/>
                <w:lang w:val="es-ES"/>
              </w:rPr>
            </w:pPr>
            <w:r w:rsidRPr="00802FB4">
              <w:rPr>
                <w:rFonts w:ascii="Arial" w:hAnsi="Arial" w:cs="Arial"/>
                <w:b/>
                <w:sz w:val="21"/>
                <w:szCs w:val="21"/>
                <w:lang w:val="es-ES"/>
              </w:rPr>
              <w:t>Comisión de administración y costos que asume el fondo</w:t>
            </w:r>
          </w:p>
        </w:tc>
      </w:tr>
      <w:tr w:rsidR="008C5E1B" w:rsidRPr="00802FB4" w14:paraId="62EAE863" w14:textId="77777777" w:rsidTr="00CF46AE">
        <w:trPr>
          <w:trHeight w:val="269"/>
          <w:jc w:val="center"/>
        </w:trPr>
        <w:tc>
          <w:tcPr>
            <w:tcW w:w="2689" w:type="dxa"/>
            <w:vAlign w:val="center"/>
          </w:tcPr>
          <w:p w14:paraId="175AD9ED" w14:textId="77777777" w:rsidR="008C5E1B" w:rsidRPr="00802FB4" w:rsidRDefault="008C5E1B"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Comisión de administración máxima</w:t>
            </w:r>
          </w:p>
        </w:tc>
        <w:tc>
          <w:tcPr>
            <w:tcW w:w="6551" w:type="dxa"/>
            <w:vAlign w:val="center"/>
          </w:tcPr>
          <w:p w14:paraId="13671A97" w14:textId="77777777" w:rsidR="00522646" w:rsidRPr="00802FB4" w:rsidRDefault="00522646" w:rsidP="00DD46C4">
            <w:pPr>
              <w:tabs>
                <w:tab w:val="left" w:pos="426"/>
                <w:tab w:val="left" w:pos="567"/>
              </w:tabs>
              <w:jc w:val="both"/>
              <w:rPr>
                <w:rFonts w:ascii="Arial" w:hAnsi="Arial" w:cs="Arial"/>
                <w:sz w:val="21"/>
                <w:szCs w:val="21"/>
              </w:rPr>
            </w:pPr>
            <w:r w:rsidRPr="00802FB4">
              <w:rPr>
                <w:rFonts w:ascii="Arial" w:hAnsi="Arial" w:cs="Arial"/>
                <w:sz w:val="21"/>
                <w:szCs w:val="21"/>
                <w:lang w:val="es-CR"/>
              </w:rPr>
              <w:t xml:space="preserve">La Sociedad Administradora de Fondos de inversión cobrará una comisión de administración máxima del </w:t>
            </w:r>
            <w:r w:rsidRPr="00802FB4">
              <w:rPr>
                <w:rFonts w:ascii="Arial" w:hAnsi="Arial" w:cs="Arial"/>
                <w:b/>
                <w:sz w:val="21"/>
                <w:szCs w:val="21"/>
                <w:lang w:val="es-CR"/>
              </w:rPr>
              <w:t>8</w:t>
            </w:r>
            <w:r w:rsidR="00A02AEB" w:rsidRPr="00802FB4">
              <w:rPr>
                <w:rFonts w:ascii="Arial" w:hAnsi="Arial" w:cs="Arial"/>
                <w:b/>
                <w:sz w:val="21"/>
                <w:szCs w:val="21"/>
                <w:lang w:val="es-CR"/>
              </w:rPr>
              <w:t>%</w:t>
            </w:r>
            <w:r w:rsidRPr="00802FB4">
              <w:rPr>
                <w:rFonts w:ascii="Arial" w:hAnsi="Arial" w:cs="Arial"/>
                <w:b/>
                <w:sz w:val="21"/>
                <w:szCs w:val="21"/>
                <w:lang w:val="es-CR"/>
              </w:rPr>
              <w:t xml:space="preserve"> anual</w:t>
            </w:r>
            <w:r w:rsidRPr="00802FB4">
              <w:rPr>
                <w:rFonts w:ascii="Arial" w:hAnsi="Arial" w:cs="Arial"/>
                <w:sz w:val="21"/>
                <w:szCs w:val="21"/>
                <w:lang w:val="es-CR"/>
              </w:rPr>
              <w:t xml:space="preserve"> sobre el valor de los activos netos que constituyan el Fondo, la cual será cancelada mensualmente. </w:t>
            </w:r>
            <w:r w:rsidR="00C17E25" w:rsidRPr="00802FB4">
              <w:rPr>
                <w:rFonts w:ascii="Arial" w:hAnsi="Arial" w:cs="Arial"/>
                <w:sz w:val="21"/>
                <w:szCs w:val="21"/>
              </w:rPr>
              <w:t xml:space="preserve">Multifondos </w:t>
            </w:r>
            <w:r w:rsidR="00B76419" w:rsidRPr="00802FB4">
              <w:rPr>
                <w:rFonts w:ascii="Arial" w:hAnsi="Arial" w:cs="Arial"/>
                <w:sz w:val="21"/>
                <w:szCs w:val="21"/>
              </w:rPr>
              <w:t xml:space="preserve">no podrá realizar ajustes a la comisión de administración dentro del </w:t>
            </w:r>
            <w:r w:rsidR="004E57F5" w:rsidRPr="00802FB4">
              <w:rPr>
                <w:rFonts w:ascii="Arial" w:hAnsi="Arial" w:cs="Arial"/>
                <w:sz w:val="21"/>
                <w:szCs w:val="21"/>
              </w:rPr>
              <w:t>porcentaje</w:t>
            </w:r>
            <w:r w:rsidR="00B76419" w:rsidRPr="00802FB4">
              <w:rPr>
                <w:rFonts w:ascii="Arial" w:hAnsi="Arial" w:cs="Arial"/>
                <w:sz w:val="21"/>
                <w:szCs w:val="21"/>
              </w:rPr>
              <w:t xml:space="preserve"> máximo establecido, en periodos inferiores a un mes, estos ajustes serán comunicados como Hechos Relevantes en forma previa a su entrada en vigencia.</w:t>
            </w:r>
          </w:p>
          <w:p w14:paraId="7573BCE3" w14:textId="77777777" w:rsidR="00522646" w:rsidRPr="00802FB4" w:rsidRDefault="00522646" w:rsidP="006B0622">
            <w:pPr>
              <w:pStyle w:val="CNV"/>
              <w:widowControl w:val="0"/>
              <w:tabs>
                <w:tab w:val="left" w:pos="8910"/>
              </w:tabs>
              <w:spacing w:before="240"/>
              <w:rPr>
                <w:rFonts w:ascii="Arial" w:hAnsi="Arial" w:cs="Arial"/>
                <w:sz w:val="21"/>
                <w:szCs w:val="21"/>
                <w:lang w:val="es-CR"/>
              </w:rPr>
            </w:pPr>
            <w:r w:rsidRPr="00802FB4">
              <w:rPr>
                <w:rFonts w:ascii="Arial" w:hAnsi="Arial" w:cs="Arial"/>
                <w:sz w:val="21"/>
                <w:szCs w:val="21"/>
                <w:lang w:val="es-CR"/>
              </w:rPr>
              <w:t xml:space="preserve">Es importante señalar que no existe comisión por la compra ni por la venta de las participaciones del Fondo; sin embargo, es posible que el inversionista deba enfrentar un costo externo adicional en el momento en que decida adquirir o vender participaciones en el mercado secundario, se trata de una comisión bursátil (no una comisión del Fondo por concepto de retiro) definida por el puesto de bolsa como retribución por el servicio de intermediación brindado y por tanto no es un cargo del Fondo o de la Sociedad Administradora. </w:t>
            </w:r>
          </w:p>
          <w:p w14:paraId="74224CD8" w14:textId="77777777" w:rsidR="008C5E1B" w:rsidRPr="00802FB4" w:rsidRDefault="00522646" w:rsidP="006B0622">
            <w:pPr>
              <w:pStyle w:val="CNV"/>
              <w:widowControl w:val="0"/>
              <w:tabs>
                <w:tab w:val="left" w:pos="8910"/>
              </w:tabs>
              <w:spacing w:before="240"/>
              <w:rPr>
                <w:rFonts w:ascii="Arial" w:hAnsi="Arial" w:cs="Arial"/>
                <w:sz w:val="21"/>
                <w:szCs w:val="21"/>
                <w:lang w:val="es-ES"/>
              </w:rPr>
            </w:pPr>
            <w:r w:rsidRPr="00802FB4">
              <w:rPr>
                <w:rFonts w:ascii="Arial" w:hAnsi="Arial" w:cs="Arial"/>
                <w:sz w:val="21"/>
                <w:szCs w:val="21"/>
                <w:lang w:val="es-CR"/>
              </w:rPr>
              <w:t>No existen cargos adicionales por concepto de custodia de los títulos valores de la cartera de inversiones del Fondo, ni por la custodia de los documentos legales que certifiquen la propiedad de los bienes inmuebles pertenecientes al Fondo, estos son asumidos por la Sociedad Administradora a partir de la comisión de administración.</w:t>
            </w:r>
          </w:p>
        </w:tc>
      </w:tr>
      <w:tr w:rsidR="008C5E1B" w:rsidRPr="00802FB4" w14:paraId="332EE8DC" w14:textId="77777777" w:rsidTr="00CF46AE">
        <w:trPr>
          <w:jc w:val="center"/>
        </w:trPr>
        <w:tc>
          <w:tcPr>
            <w:tcW w:w="2689" w:type="dxa"/>
            <w:vAlign w:val="center"/>
          </w:tcPr>
          <w:p w14:paraId="68E209C9" w14:textId="77777777" w:rsidR="008C5E1B" w:rsidRPr="00802FB4" w:rsidRDefault="008C5E1B" w:rsidP="00D83795">
            <w:pPr>
              <w:pStyle w:val="CNV"/>
              <w:widowControl w:val="0"/>
              <w:tabs>
                <w:tab w:val="left" w:pos="8910"/>
              </w:tabs>
              <w:jc w:val="left"/>
              <w:rPr>
                <w:rFonts w:ascii="Arial" w:hAnsi="Arial" w:cs="Arial"/>
                <w:b/>
                <w:sz w:val="21"/>
                <w:szCs w:val="21"/>
                <w:lang w:val="es-ES"/>
              </w:rPr>
            </w:pPr>
            <w:r w:rsidRPr="00802FB4">
              <w:rPr>
                <w:rFonts w:ascii="Arial" w:hAnsi="Arial" w:cs="Arial"/>
                <w:b/>
                <w:sz w:val="21"/>
                <w:szCs w:val="21"/>
                <w:lang w:val="es-ES"/>
              </w:rPr>
              <w:t>Costos que asume el fondo de inversión</w:t>
            </w:r>
          </w:p>
        </w:tc>
        <w:tc>
          <w:tcPr>
            <w:tcW w:w="6551" w:type="dxa"/>
            <w:vAlign w:val="center"/>
          </w:tcPr>
          <w:p w14:paraId="429E4C78" w14:textId="77777777" w:rsidR="00522646" w:rsidRPr="00802FB4" w:rsidRDefault="00522646" w:rsidP="00522646">
            <w:pPr>
              <w:pStyle w:val="CNV"/>
              <w:widowControl w:val="0"/>
              <w:tabs>
                <w:tab w:val="left" w:pos="8910"/>
              </w:tabs>
              <w:rPr>
                <w:rFonts w:ascii="Arial" w:hAnsi="Arial" w:cs="Arial"/>
                <w:sz w:val="21"/>
                <w:szCs w:val="21"/>
                <w:lang w:val="es-CR"/>
              </w:rPr>
            </w:pPr>
            <w:r w:rsidRPr="00802FB4">
              <w:rPr>
                <w:rFonts w:ascii="Arial" w:hAnsi="Arial" w:cs="Arial"/>
                <w:sz w:val="21"/>
                <w:szCs w:val="21"/>
                <w:lang w:val="es-CR"/>
              </w:rPr>
              <w:t>Los gastos corrientes que cubrirá el fondo inmobiliario</w:t>
            </w:r>
            <w:r w:rsidR="00CD17A6" w:rsidRPr="00802FB4">
              <w:rPr>
                <w:rFonts w:ascii="Arial" w:hAnsi="Arial" w:cs="Arial"/>
                <w:sz w:val="21"/>
                <w:szCs w:val="21"/>
                <w:lang w:val="es-CR"/>
              </w:rPr>
              <w:t xml:space="preserve"> son</w:t>
            </w:r>
            <w:r w:rsidRPr="00802FB4">
              <w:rPr>
                <w:rFonts w:ascii="Arial" w:hAnsi="Arial" w:cs="Arial"/>
                <w:sz w:val="21"/>
                <w:szCs w:val="21"/>
                <w:lang w:val="es-CR"/>
              </w:rPr>
              <w:t>:</w:t>
            </w:r>
          </w:p>
          <w:p w14:paraId="4DE87960" w14:textId="77777777" w:rsidR="00522646" w:rsidRPr="00802FB4" w:rsidRDefault="00522646"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t>Honorarios asesores externos y dietas comité de inversión.</w:t>
            </w:r>
          </w:p>
          <w:p w14:paraId="6A853349" w14:textId="77777777" w:rsidR="00522646" w:rsidRPr="00802FB4" w:rsidRDefault="00522646"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t>Impuestos territoriales y municipales de los inmuebles del Fondo</w:t>
            </w:r>
            <w:r w:rsidR="00CE1531" w:rsidRPr="00802FB4">
              <w:rPr>
                <w:rFonts w:ascii="Arial" w:hAnsi="Arial" w:cs="Arial"/>
                <w:bCs/>
                <w:sz w:val="21"/>
                <w:szCs w:val="21"/>
              </w:rPr>
              <w:t>.</w:t>
            </w:r>
          </w:p>
          <w:p w14:paraId="130D6871" w14:textId="77777777" w:rsidR="00522646" w:rsidRPr="00802FB4" w:rsidRDefault="00522646"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lastRenderedPageBreak/>
              <w:t>Seguros de cobertura general (</w:t>
            </w:r>
            <w:r w:rsidR="00241F08" w:rsidRPr="00802FB4">
              <w:rPr>
                <w:rFonts w:ascii="Arial" w:hAnsi="Arial" w:cs="Arial"/>
                <w:bCs/>
                <w:sz w:val="21"/>
                <w:szCs w:val="21"/>
              </w:rPr>
              <w:t>todo riesgo daño físico, rentas caídas, responsabilidad civil</w:t>
            </w:r>
            <w:r w:rsidRPr="00802FB4">
              <w:rPr>
                <w:rFonts w:ascii="Arial" w:hAnsi="Arial" w:cs="Arial"/>
                <w:bCs/>
                <w:sz w:val="21"/>
                <w:szCs w:val="21"/>
              </w:rPr>
              <w:t xml:space="preserve"> y otros que requieran los inmuebles del Fondo)</w:t>
            </w:r>
            <w:r w:rsidR="00CE1531" w:rsidRPr="00802FB4">
              <w:rPr>
                <w:rFonts w:ascii="Arial" w:hAnsi="Arial" w:cs="Arial"/>
                <w:bCs/>
                <w:sz w:val="21"/>
                <w:szCs w:val="21"/>
              </w:rPr>
              <w:t>.</w:t>
            </w:r>
          </w:p>
          <w:p w14:paraId="046C6044" w14:textId="77777777" w:rsidR="00522646" w:rsidRPr="00802FB4" w:rsidRDefault="00522646"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t>Mantenimiento físico de los inmuebles.</w:t>
            </w:r>
          </w:p>
          <w:p w14:paraId="73A430D9" w14:textId="5208B00D" w:rsidR="00CD17A6" w:rsidRPr="00802FB4" w:rsidRDefault="00F45247" w:rsidP="00E56A35">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t>V</w:t>
            </w:r>
            <w:r w:rsidR="00522646" w:rsidRPr="00802FB4">
              <w:rPr>
                <w:rFonts w:ascii="Arial" w:hAnsi="Arial" w:cs="Arial"/>
                <w:bCs/>
                <w:sz w:val="21"/>
                <w:szCs w:val="21"/>
              </w:rPr>
              <w:t>aloraciones de las propiedades</w:t>
            </w:r>
            <w:r w:rsidR="00CE1531" w:rsidRPr="00802FB4">
              <w:rPr>
                <w:rFonts w:ascii="Arial" w:hAnsi="Arial" w:cs="Arial"/>
                <w:bCs/>
                <w:sz w:val="21"/>
                <w:szCs w:val="21"/>
              </w:rPr>
              <w:t>.</w:t>
            </w:r>
          </w:p>
          <w:p w14:paraId="7CF2DC74" w14:textId="7E912F76" w:rsidR="00522646" w:rsidRPr="00802FB4" w:rsidRDefault="007F45B7"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sz w:val="21"/>
                <w:szCs w:val="21"/>
              </w:rPr>
              <w:t>Las comisiones que cobra la Bolsa Nacional de Valores y el Puesto de Bolsa por cada oper</w:t>
            </w:r>
            <w:r w:rsidR="00CC1E93" w:rsidRPr="00802FB4">
              <w:rPr>
                <w:rFonts w:ascii="Arial" w:hAnsi="Arial" w:cs="Arial"/>
                <w:sz w:val="21"/>
                <w:szCs w:val="21"/>
              </w:rPr>
              <w:t xml:space="preserve">ación de la cartera de valores </w:t>
            </w:r>
            <w:r w:rsidRPr="00802FB4">
              <w:rPr>
                <w:rFonts w:ascii="Arial" w:hAnsi="Arial" w:cs="Arial"/>
                <w:sz w:val="21"/>
                <w:szCs w:val="21"/>
              </w:rPr>
              <w:t>que se realice a través de sus sistemas transaccionales</w:t>
            </w:r>
            <w:r w:rsidR="007063AC" w:rsidRPr="00802FB4">
              <w:rPr>
                <w:rFonts w:ascii="Arial" w:hAnsi="Arial" w:cs="Arial"/>
                <w:sz w:val="21"/>
                <w:szCs w:val="21"/>
              </w:rPr>
              <w:t>.</w:t>
            </w:r>
          </w:p>
          <w:p w14:paraId="22D6C7C4" w14:textId="77777777" w:rsidR="006C1993" w:rsidRPr="00802FB4" w:rsidRDefault="006C1993" w:rsidP="006C1993">
            <w:pPr>
              <w:autoSpaceDE w:val="0"/>
              <w:autoSpaceDN w:val="0"/>
              <w:adjustRightInd w:val="0"/>
              <w:ind w:left="459"/>
              <w:jc w:val="both"/>
              <w:rPr>
                <w:rFonts w:ascii="Arial" w:hAnsi="Arial" w:cs="Arial"/>
                <w:bCs/>
                <w:sz w:val="21"/>
                <w:szCs w:val="21"/>
              </w:rPr>
            </w:pPr>
          </w:p>
          <w:p w14:paraId="0C005670" w14:textId="77777777" w:rsidR="00600B43" w:rsidRPr="00802FB4" w:rsidRDefault="00522646" w:rsidP="00CD17A6">
            <w:pPr>
              <w:autoSpaceDE w:val="0"/>
              <w:autoSpaceDN w:val="0"/>
              <w:adjustRightInd w:val="0"/>
              <w:jc w:val="both"/>
              <w:rPr>
                <w:rFonts w:ascii="Arial" w:hAnsi="Arial" w:cs="Arial"/>
                <w:bCs/>
                <w:sz w:val="21"/>
                <w:szCs w:val="21"/>
              </w:rPr>
            </w:pPr>
            <w:r w:rsidRPr="00802FB4">
              <w:rPr>
                <w:rFonts w:ascii="Arial" w:hAnsi="Arial" w:cs="Arial"/>
                <w:bCs/>
                <w:sz w:val="21"/>
                <w:szCs w:val="21"/>
              </w:rPr>
              <w:t>Se estima que estos gastos podrían representar cerca de un 3% anual del valor de los activos netos del Fondo.</w:t>
            </w:r>
            <w:r w:rsidR="007F45B7" w:rsidRPr="00802FB4">
              <w:rPr>
                <w:rFonts w:ascii="Arial" w:hAnsi="Arial" w:cs="Arial"/>
                <w:bCs/>
                <w:sz w:val="21"/>
                <w:szCs w:val="21"/>
              </w:rPr>
              <w:t xml:space="preserve"> </w:t>
            </w:r>
          </w:p>
          <w:p w14:paraId="0400C9C1" w14:textId="77777777" w:rsidR="00600B43" w:rsidRPr="00802FB4" w:rsidRDefault="00600B43" w:rsidP="006B0622">
            <w:pPr>
              <w:autoSpaceDE w:val="0"/>
              <w:autoSpaceDN w:val="0"/>
              <w:adjustRightInd w:val="0"/>
              <w:spacing w:before="240"/>
              <w:jc w:val="both"/>
              <w:rPr>
                <w:rFonts w:ascii="Arial" w:hAnsi="Arial" w:cs="Arial"/>
                <w:bCs/>
                <w:sz w:val="21"/>
                <w:szCs w:val="21"/>
              </w:rPr>
            </w:pPr>
            <w:r w:rsidRPr="00802FB4">
              <w:rPr>
                <w:rFonts w:ascii="Arial" w:hAnsi="Arial" w:cs="Arial"/>
                <w:bCs/>
                <w:snapToGrid w:val="0"/>
                <w:sz w:val="21"/>
                <w:szCs w:val="21"/>
              </w:rPr>
              <w:t>Otros gastos extraordinarios a cargo del Fondo</w:t>
            </w:r>
            <w:r w:rsidR="00241F08" w:rsidRPr="00802FB4">
              <w:rPr>
                <w:rFonts w:ascii="Arial" w:hAnsi="Arial" w:cs="Arial"/>
                <w:bCs/>
                <w:snapToGrid w:val="0"/>
                <w:sz w:val="21"/>
                <w:szCs w:val="21"/>
              </w:rPr>
              <w:t xml:space="preserve"> son</w:t>
            </w:r>
            <w:r w:rsidRPr="00802FB4">
              <w:rPr>
                <w:rFonts w:ascii="Arial" w:hAnsi="Arial" w:cs="Arial"/>
                <w:bCs/>
                <w:snapToGrid w:val="0"/>
                <w:sz w:val="21"/>
                <w:szCs w:val="21"/>
              </w:rPr>
              <w:t>:</w:t>
            </w:r>
          </w:p>
          <w:p w14:paraId="2D489408" w14:textId="77777777" w:rsidR="007F45B7" w:rsidRPr="00802FB4" w:rsidRDefault="00600B43"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t>Comisiones a corredores de bienes raíces</w:t>
            </w:r>
            <w:r w:rsidR="00CE1531" w:rsidRPr="00802FB4">
              <w:rPr>
                <w:rFonts w:ascii="Arial" w:hAnsi="Arial" w:cs="Arial"/>
                <w:bCs/>
                <w:sz w:val="21"/>
                <w:szCs w:val="21"/>
              </w:rPr>
              <w:t>.</w:t>
            </w:r>
          </w:p>
          <w:p w14:paraId="5463C31B" w14:textId="77777777" w:rsidR="007F45B7" w:rsidRPr="00802FB4" w:rsidRDefault="00600B43"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t>Gastos de traspaso a cargo del Fondo en transacciones de compra y venta de inmuebles.</w:t>
            </w:r>
          </w:p>
          <w:p w14:paraId="1240D899" w14:textId="77777777" w:rsidR="007F45B7" w:rsidRPr="00802FB4" w:rsidRDefault="00600B43"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t>Costos de litigios y gastos legales por defensa del Fondo.</w:t>
            </w:r>
          </w:p>
          <w:p w14:paraId="5CC22DBD" w14:textId="77777777" w:rsidR="00600B43" w:rsidRPr="00802FB4" w:rsidRDefault="00600B43" w:rsidP="00CF46AE">
            <w:pPr>
              <w:numPr>
                <w:ilvl w:val="0"/>
                <w:numId w:val="25"/>
              </w:numPr>
              <w:autoSpaceDE w:val="0"/>
              <w:autoSpaceDN w:val="0"/>
              <w:adjustRightInd w:val="0"/>
              <w:ind w:left="459" w:hanging="426"/>
              <w:jc w:val="both"/>
              <w:rPr>
                <w:rFonts w:ascii="Arial" w:hAnsi="Arial" w:cs="Arial"/>
                <w:bCs/>
                <w:sz w:val="21"/>
                <w:szCs w:val="21"/>
              </w:rPr>
            </w:pPr>
            <w:r w:rsidRPr="00802FB4">
              <w:rPr>
                <w:rFonts w:ascii="Arial" w:hAnsi="Arial" w:cs="Arial"/>
                <w:bCs/>
                <w:sz w:val="21"/>
                <w:szCs w:val="21"/>
              </w:rPr>
              <w:t>Gastos de mantenimiento de inmuebles o locales desocupados.</w:t>
            </w:r>
          </w:p>
          <w:p w14:paraId="2061826E" w14:textId="77777777" w:rsidR="00825BF3" w:rsidRPr="00802FB4" w:rsidRDefault="00825BF3" w:rsidP="007F45B7">
            <w:pPr>
              <w:autoSpaceDE w:val="0"/>
              <w:autoSpaceDN w:val="0"/>
              <w:adjustRightInd w:val="0"/>
              <w:jc w:val="both"/>
              <w:rPr>
                <w:rFonts w:ascii="Arial" w:hAnsi="Arial" w:cs="Arial"/>
                <w:bCs/>
                <w:sz w:val="21"/>
                <w:szCs w:val="21"/>
              </w:rPr>
            </w:pPr>
          </w:p>
          <w:p w14:paraId="5A2FE379" w14:textId="598FFEEF" w:rsidR="00ED3A78" w:rsidRPr="00802FB4" w:rsidRDefault="009077B9" w:rsidP="009077B9">
            <w:pPr>
              <w:pStyle w:val="CNV"/>
              <w:widowControl w:val="0"/>
              <w:tabs>
                <w:tab w:val="left" w:pos="8910"/>
              </w:tabs>
              <w:rPr>
                <w:rFonts w:ascii="Arial" w:hAnsi="Arial" w:cs="Arial"/>
                <w:sz w:val="21"/>
                <w:szCs w:val="21"/>
              </w:rPr>
            </w:pPr>
            <w:r w:rsidRPr="00802FB4">
              <w:rPr>
                <w:rFonts w:ascii="Arial" w:hAnsi="Arial" w:cs="Arial"/>
                <w:sz w:val="21"/>
                <w:szCs w:val="21"/>
              </w:rPr>
              <w:t>En el caso de gastos como auditorias, calificaciones de riesgo y los servicios de la entidad comercializadora serán asumidos por la SAFI con cargo a sus ingresos.</w:t>
            </w:r>
            <w:r w:rsidR="007F45B7" w:rsidRPr="00802FB4">
              <w:rPr>
                <w:rFonts w:ascii="Arial" w:hAnsi="Arial" w:cs="Arial"/>
                <w:sz w:val="21"/>
                <w:szCs w:val="21"/>
              </w:rPr>
              <w:t xml:space="preserve"> </w:t>
            </w:r>
          </w:p>
          <w:p w14:paraId="04340460" w14:textId="77777777" w:rsidR="004D4ABE" w:rsidRPr="00802FB4" w:rsidRDefault="004D4ABE" w:rsidP="009077B9">
            <w:pPr>
              <w:pStyle w:val="CNV"/>
              <w:widowControl w:val="0"/>
              <w:tabs>
                <w:tab w:val="left" w:pos="8910"/>
              </w:tabs>
              <w:rPr>
                <w:rFonts w:ascii="Arial" w:hAnsi="Arial" w:cs="Arial"/>
                <w:sz w:val="21"/>
                <w:szCs w:val="21"/>
              </w:rPr>
            </w:pPr>
          </w:p>
          <w:p w14:paraId="57D57679" w14:textId="5D897CFA" w:rsidR="00D84167" w:rsidRPr="00802FB4" w:rsidRDefault="00D84167" w:rsidP="009077B9">
            <w:pPr>
              <w:pStyle w:val="CNV"/>
              <w:widowControl w:val="0"/>
              <w:tabs>
                <w:tab w:val="left" w:pos="8910"/>
              </w:tabs>
              <w:rPr>
                <w:rFonts w:ascii="Arial" w:hAnsi="Arial" w:cs="Arial"/>
                <w:sz w:val="21"/>
                <w:szCs w:val="21"/>
                <w:highlight w:val="yellow"/>
                <w:lang w:val="es-ES"/>
              </w:rPr>
            </w:pPr>
            <w:r w:rsidRPr="00802FB4">
              <w:rPr>
                <w:rFonts w:ascii="Arial" w:hAnsi="Arial" w:cs="Arial"/>
                <w:sz w:val="21"/>
                <w:szCs w:val="21"/>
              </w:rPr>
              <w:t>Periódicamente se puede consultar los costos reales incurridos por el fondo en los informes trimestrales</w:t>
            </w:r>
            <w:r w:rsidR="00ED3A78" w:rsidRPr="00802FB4">
              <w:rPr>
                <w:rFonts w:ascii="Arial" w:hAnsi="Arial" w:cs="Arial"/>
                <w:sz w:val="21"/>
                <w:szCs w:val="21"/>
              </w:rPr>
              <w:t>.</w:t>
            </w:r>
          </w:p>
        </w:tc>
      </w:tr>
    </w:tbl>
    <w:p w14:paraId="36FE4B6A" w14:textId="3B131178" w:rsidR="008C5E1B" w:rsidRPr="00802FB4" w:rsidRDefault="00691324" w:rsidP="004D4ABE">
      <w:pPr>
        <w:pStyle w:val="Ttulo1"/>
        <w:numPr>
          <w:ilvl w:val="0"/>
          <w:numId w:val="1"/>
        </w:numPr>
        <w:ind w:left="142"/>
        <w:rPr>
          <w:rFonts w:ascii="Arial" w:hAnsi="Arial" w:cs="Arial"/>
          <w:sz w:val="24"/>
          <w:szCs w:val="21"/>
        </w:rPr>
      </w:pPr>
      <w:bookmarkStart w:id="21" w:name="_Toc34228950"/>
      <w:r w:rsidRPr="00802FB4">
        <w:rPr>
          <w:rFonts w:ascii="Arial" w:hAnsi="Arial" w:cs="Arial"/>
          <w:sz w:val="24"/>
          <w:szCs w:val="21"/>
        </w:rPr>
        <w:lastRenderedPageBreak/>
        <w:t>Información a los Inversionistas</w:t>
      </w:r>
      <w:bookmarkEnd w:id="21"/>
      <w:r w:rsidRPr="00802FB4">
        <w:rPr>
          <w:rFonts w:ascii="Arial" w:hAnsi="Arial" w:cs="Arial"/>
          <w:sz w:val="24"/>
          <w:szCs w:val="21"/>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725"/>
        <w:gridCol w:w="4332"/>
      </w:tblGrid>
      <w:tr w:rsidR="008C5E1B" w:rsidRPr="00802FB4" w14:paraId="16A2EC37" w14:textId="77777777" w:rsidTr="007E2D35">
        <w:trPr>
          <w:trHeight w:val="538"/>
          <w:jc w:val="center"/>
        </w:trPr>
        <w:tc>
          <w:tcPr>
            <w:tcW w:w="9356" w:type="dxa"/>
            <w:gridSpan w:val="3"/>
            <w:vAlign w:val="center"/>
          </w:tcPr>
          <w:p w14:paraId="549FEF0F" w14:textId="77777777" w:rsidR="008C5E1B" w:rsidRPr="00802FB4" w:rsidRDefault="008C5E1B" w:rsidP="00740A4C">
            <w:pPr>
              <w:spacing w:before="120" w:after="120"/>
              <w:jc w:val="center"/>
              <w:rPr>
                <w:rFonts w:ascii="Arial" w:hAnsi="Arial" w:cs="Arial"/>
                <w:b/>
                <w:sz w:val="21"/>
                <w:szCs w:val="21"/>
              </w:rPr>
            </w:pPr>
            <w:r w:rsidRPr="00802FB4">
              <w:rPr>
                <w:rFonts w:ascii="Arial" w:hAnsi="Arial" w:cs="Arial"/>
                <w:b/>
                <w:sz w:val="21"/>
                <w:szCs w:val="21"/>
              </w:rPr>
              <w:t>Información periódica que los inversionistas pueden consultar</w:t>
            </w:r>
          </w:p>
        </w:tc>
      </w:tr>
      <w:tr w:rsidR="008C5E1B" w:rsidRPr="00802FB4" w14:paraId="40083CBF" w14:textId="77777777" w:rsidTr="007E2D35">
        <w:trPr>
          <w:jc w:val="center"/>
        </w:trPr>
        <w:tc>
          <w:tcPr>
            <w:tcW w:w="3299" w:type="dxa"/>
            <w:vAlign w:val="center"/>
          </w:tcPr>
          <w:p w14:paraId="034CC4B0" w14:textId="77777777" w:rsidR="008C5E1B" w:rsidRPr="00802FB4" w:rsidRDefault="008C5E1B" w:rsidP="00D83795">
            <w:pPr>
              <w:widowControl w:val="0"/>
              <w:tabs>
                <w:tab w:val="left" w:pos="8910"/>
              </w:tabs>
              <w:jc w:val="center"/>
              <w:rPr>
                <w:rFonts w:ascii="Arial" w:hAnsi="Arial" w:cs="Arial"/>
                <w:b/>
                <w:sz w:val="21"/>
                <w:szCs w:val="21"/>
              </w:rPr>
            </w:pPr>
            <w:r w:rsidRPr="00802FB4">
              <w:rPr>
                <w:rFonts w:ascii="Arial" w:hAnsi="Arial" w:cs="Arial"/>
                <w:b/>
                <w:sz w:val="21"/>
                <w:szCs w:val="21"/>
              </w:rPr>
              <w:t>Información</w:t>
            </w:r>
          </w:p>
        </w:tc>
        <w:tc>
          <w:tcPr>
            <w:tcW w:w="1725" w:type="dxa"/>
            <w:vAlign w:val="center"/>
          </w:tcPr>
          <w:p w14:paraId="33224B16" w14:textId="77777777" w:rsidR="008C5E1B" w:rsidRPr="00802FB4" w:rsidRDefault="008C5E1B" w:rsidP="00D83795">
            <w:pPr>
              <w:widowControl w:val="0"/>
              <w:tabs>
                <w:tab w:val="left" w:pos="8910"/>
              </w:tabs>
              <w:jc w:val="center"/>
              <w:rPr>
                <w:rFonts w:ascii="Arial" w:hAnsi="Arial" w:cs="Arial"/>
                <w:b/>
                <w:sz w:val="21"/>
                <w:szCs w:val="21"/>
              </w:rPr>
            </w:pPr>
            <w:r w:rsidRPr="00802FB4">
              <w:rPr>
                <w:rFonts w:ascii="Arial" w:hAnsi="Arial" w:cs="Arial"/>
                <w:b/>
                <w:sz w:val="21"/>
                <w:szCs w:val="21"/>
              </w:rPr>
              <w:t>Periodicidad</w:t>
            </w:r>
          </w:p>
        </w:tc>
        <w:tc>
          <w:tcPr>
            <w:tcW w:w="4332" w:type="dxa"/>
            <w:vAlign w:val="center"/>
          </w:tcPr>
          <w:p w14:paraId="45A758D8" w14:textId="77777777" w:rsidR="008C5E1B" w:rsidRPr="00802FB4" w:rsidRDefault="008C5E1B" w:rsidP="00D83795">
            <w:pPr>
              <w:widowControl w:val="0"/>
              <w:tabs>
                <w:tab w:val="left" w:pos="8910"/>
              </w:tabs>
              <w:jc w:val="both"/>
              <w:rPr>
                <w:rFonts w:ascii="Arial" w:hAnsi="Arial" w:cs="Arial"/>
                <w:b/>
                <w:sz w:val="21"/>
                <w:szCs w:val="21"/>
              </w:rPr>
            </w:pPr>
            <w:r w:rsidRPr="00802FB4">
              <w:rPr>
                <w:rFonts w:ascii="Arial" w:hAnsi="Arial" w:cs="Arial"/>
                <w:b/>
                <w:sz w:val="21"/>
                <w:szCs w:val="21"/>
              </w:rPr>
              <w:t>Lugares para consulta o medios para su difusión</w:t>
            </w:r>
          </w:p>
        </w:tc>
      </w:tr>
      <w:tr w:rsidR="00B04731" w:rsidRPr="00802FB4" w14:paraId="7F6C149B" w14:textId="77777777" w:rsidTr="007E2D35">
        <w:trPr>
          <w:jc w:val="center"/>
        </w:trPr>
        <w:tc>
          <w:tcPr>
            <w:tcW w:w="3299" w:type="dxa"/>
            <w:vAlign w:val="center"/>
          </w:tcPr>
          <w:p w14:paraId="170F42E8" w14:textId="77777777" w:rsidR="0054151F" w:rsidRPr="00802FB4" w:rsidRDefault="00B04731" w:rsidP="0054151F">
            <w:pPr>
              <w:widowControl w:val="0"/>
              <w:tabs>
                <w:tab w:val="left" w:pos="8910"/>
              </w:tabs>
              <w:rPr>
                <w:rFonts w:ascii="Arial" w:hAnsi="Arial" w:cs="Arial"/>
                <w:b/>
                <w:sz w:val="21"/>
                <w:szCs w:val="21"/>
              </w:rPr>
            </w:pPr>
            <w:r w:rsidRPr="00802FB4">
              <w:rPr>
                <w:rFonts w:ascii="Arial" w:hAnsi="Arial" w:cs="Arial"/>
                <w:b/>
                <w:sz w:val="21"/>
                <w:szCs w:val="21"/>
              </w:rPr>
              <w:t>Estados de cuenta</w:t>
            </w:r>
          </w:p>
          <w:p w14:paraId="3F8677C0" w14:textId="77777777" w:rsidR="00B04731" w:rsidRPr="00802FB4" w:rsidRDefault="00B04731" w:rsidP="0054151F">
            <w:pPr>
              <w:rPr>
                <w:rFonts w:ascii="Arial" w:hAnsi="Arial" w:cs="Arial"/>
                <w:sz w:val="21"/>
                <w:szCs w:val="21"/>
              </w:rPr>
            </w:pPr>
          </w:p>
        </w:tc>
        <w:tc>
          <w:tcPr>
            <w:tcW w:w="1725" w:type="dxa"/>
            <w:vAlign w:val="center"/>
          </w:tcPr>
          <w:p w14:paraId="24ACE6CE" w14:textId="77777777" w:rsidR="00B04731" w:rsidRPr="00802FB4" w:rsidRDefault="00B04731" w:rsidP="00691324">
            <w:pPr>
              <w:widowControl w:val="0"/>
              <w:tabs>
                <w:tab w:val="left" w:pos="8910"/>
              </w:tabs>
              <w:jc w:val="center"/>
              <w:rPr>
                <w:rFonts w:ascii="Arial" w:hAnsi="Arial" w:cs="Arial"/>
                <w:i/>
                <w:sz w:val="21"/>
                <w:szCs w:val="21"/>
                <w:lang w:val="es-CR"/>
              </w:rPr>
            </w:pPr>
            <w:r w:rsidRPr="00802FB4">
              <w:rPr>
                <w:rFonts w:ascii="Arial" w:hAnsi="Arial" w:cs="Arial"/>
                <w:i/>
                <w:sz w:val="21"/>
                <w:szCs w:val="21"/>
                <w:lang w:val="es-CR"/>
              </w:rPr>
              <w:t>Mensual</w:t>
            </w:r>
          </w:p>
        </w:tc>
        <w:tc>
          <w:tcPr>
            <w:tcW w:w="4332" w:type="dxa"/>
            <w:vAlign w:val="center"/>
          </w:tcPr>
          <w:p w14:paraId="51DF1051" w14:textId="77777777" w:rsidR="00121BAA" w:rsidRPr="00802FB4" w:rsidRDefault="00121BAA" w:rsidP="00121BAA">
            <w:pPr>
              <w:jc w:val="both"/>
              <w:rPr>
                <w:rFonts w:ascii="Arial" w:hAnsi="Arial" w:cs="Arial"/>
                <w:sz w:val="21"/>
                <w:szCs w:val="21"/>
                <w:lang w:val="es-CR"/>
              </w:rPr>
            </w:pPr>
            <w:r w:rsidRPr="00802FB4">
              <w:rPr>
                <w:rFonts w:ascii="Arial" w:hAnsi="Arial" w:cs="Arial"/>
                <w:sz w:val="21"/>
                <w:szCs w:val="21"/>
                <w:lang w:val="es-CR"/>
              </w:rPr>
              <w:t xml:space="preserve">Los estados de cuenta son enviados por las entidades comercializadoras y de custodia de las participaciones. </w:t>
            </w:r>
          </w:p>
          <w:p w14:paraId="181F2F73" w14:textId="025C27B8" w:rsidR="007C2A9F" w:rsidRPr="00802FB4" w:rsidRDefault="00121BAA" w:rsidP="00EE4CB9">
            <w:pPr>
              <w:jc w:val="both"/>
              <w:rPr>
                <w:rFonts w:ascii="Arial" w:hAnsi="Arial" w:cs="Arial"/>
                <w:sz w:val="21"/>
                <w:szCs w:val="21"/>
                <w:lang w:val="es-CR"/>
              </w:rPr>
            </w:pPr>
            <w:r w:rsidRPr="00802FB4">
              <w:rPr>
                <w:rFonts w:ascii="Arial" w:hAnsi="Arial" w:cs="Arial"/>
                <w:sz w:val="21"/>
                <w:szCs w:val="21"/>
                <w:lang w:val="es-CR"/>
              </w:rPr>
              <w:t>En el caso del Grupo Financiero Mercado de Valores, el inversionista los recibe a través del medio que solicitó en la información de su cuenta, en el tanto el mecanismo de distribución esté autorizado por parte del Grupo Financiero.</w:t>
            </w:r>
          </w:p>
        </w:tc>
      </w:tr>
      <w:tr w:rsidR="00B04731" w:rsidRPr="00802FB4" w14:paraId="6341B3ED" w14:textId="77777777" w:rsidTr="007E2D35">
        <w:trPr>
          <w:jc w:val="center"/>
        </w:trPr>
        <w:tc>
          <w:tcPr>
            <w:tcW w:w="3299" w:type="dxa"/>
            <w:vAlign w:val="center"/>
          </w:tcPr>
          <w:p w14:paraId="705F8999" w14:textId="77777777" w:rsidR="00B04731" w:rsidRPr="00802FB4" w:rsidRDefault="00B04731" w:rsidP="0054151F">
            <w:pPr>
              <w:widowControl w:val="0"/>
              <w:tabs>
                <w:tab w:val="left" w:pos="8910"/>
              </w:tabs>
              <w:rPr>
                <w:rFonts w:ascii="Arial" w:hAnsi="Arial" w:cs="Arial"/>
                <w:b/>
                <w:sz w:val="21"/>
                <w:szCs w:val="21"/>
              </w:rPr>
            </w:pPr>
            <w:r w:rsidRPr="00802FB4">
              <w:rPr>
                <w:rFonts w:ascii="Arial" w:hAnsi="Arial" w:cs="Arial"/>
                <w:b/>
                <w:sz w:val="21"/>
                <w:szCs w:val="21"/>
              </w:rPr>
              <w:t>Informes trimestrales</w:t>
            </w:r>
          </w:p>
        </w:tc>
        <w:tc>
          <w:tcPr>
            <w:tcW w:w="1725" w:type="dxa"/>
            <w:vAlign w:val="center"/>
          </w:tcPr>
          <w:p w14:paraId="1C2EA633" w14:textId="77777777" w:rsidR="00B04731" w:rsidRPr="00802FB4" w:rsidRDefault="00B04731" w:rsidP="00691324">
            <w:pPr>
              <w:jc w:val="center"/>
              <w:rPr>
                <w:rFonts w:ascii="Arial" w:hAnsi="Arial" w:cs="Arial"/>
                <w:i/>
                <w:sz w:val="21"/>
                <w:szCs w:val="21"/>
              </w:rPr>
            </w:pPr>
            <w:r w:rsidRPr="00802FB4">
              <w:rPr>
                <w:rFonts w:ascii="Arial" w:hAnsi="Arial" w:cs="Arial"/>
                <w:i/>
                <w:sz w:val="21"/>
                <w:szCs w:val="21"/>
                <w:lang w:val="es-CR"/>
              </w:rPr>
              <w:t>Trimestral</w:t>
            </w:r>
          </w:p>
        </w:tc>
        <w:tc>
          <w:tcPr>
            <w:tcW w:w="4332" w:type="dxa"/>
            <w:vAlign w:val="center"/>
          </w:tcPr>
          <w:p w14:paraId="1E5EFB72" w14:textId="7382A434" w:rsidR="006F4423" w:rsidRPr="00802FB4" w:rsidRDefault="006F4423" w:rsidP="006F4423">
            <w:pPr>
              <w:widowControl w:val="0"/>
              <w:tabs>
                <w:tab w:val="left" w:pos="8910"/>
              </w:tabs>
              <w:jc w:val="both"/>
              <w:rPr>
                <w:rFonts w:ascii="Arial" w:hAnsi="Arial" w:cs="Arial"/>
                <w:sz w:val="21"/>
                <w:szCs w:val="21"/>
                <w:lang w:val="es-CR"/>
              </w:rPr>
            </w:pPr>
            <w:r w:rsidRPr="00802FB4">
              <w:rPr>
                <w:rFonts w:ascii="Arial" w:hAnsi="Arial" w:cs="Arial"/>
                <w:sz w:val="21"/>
                <w:szCs w:val="21"/>
                <w:lang w:val="es-CR"/>
              </w:rPr>
              <w:t xml:space="preserve">Los informes trimestrales son enviados por las entidades comercializadoras y de custodia de las participaciones. </w:t>
            </w:r>
          </w:p>
          <w:p w14:paraId="08C2E955" w14:textId="77777777" w:rsidR="006F4423" w:rsidRPr="00802FB4" w:rsidRDefault="006F4423" w:rsidP="006F4423">
            <w:pPr>
              <w:jc w:val="both"/>
              <w:rPr>
                <w:rFonts w:ascii="Arial" w:hAnsi="Arial" w:cs="Arial"/>
                <w:sz w:val="21"/>
                <w:szCs w:val="21"/>
                <w:lang w:val="es-CR"/>
              </w:rPr>
            </w:pPr>
            <w:r w:rsidRPr="00802FB4">
              <w:rPr>
                <w:rFonts w:ascii="Arial" w:hAnsi="Arial" w:cs="Arial"/>
                <w:sz w:val="21"/>
                <w:szCs w:val="21"/>
                <w:lang w:val="es-CR"/>
              </w:rPr>
              <w:t>En el caso del Grupo Financiero Mercado de Valores, el inversionista los recibe a través del medio que solicitó en la información de su cuenta, en el tanto el mecanismo de distribución esté autorizado por parte del Grupo Financiero.</w:t>
            </w:r>
          </w:p>
          <w:p w14:paraId="44AAB07E" w14:textId="108B5D27" w:rsidR="00B04731" w:rsidRPr="00802FB4" w:rsidRDefault="00E43AC5" w:rsidP="006F4423">
            <w:pPr>
              <w:jc w:val="both"/>
              <w:rPr>
                <w:rFonts w:ascii="Arial" w:hAnsi="Arial" w:cs="Arial"/>
                <w:sz w:val="21"/>
                <w:szCs w:val="21"/>
                <w:lang w:val="es-CR"/>
              </w:rPr>
            </w:pPr>
            <w:r w:rsidRPr="00802FB4">
              <w:rPr>
                <w:rFonts w:ascii="Arial" w:hAnsi="Arial" w:cs="Arial"/>
                <w:sz w:val="21"/>
                <w:szCs w:val="21"/>
              </w:rPr>
              <w:lastRenderedPageBreak/>
              <w:t>Sitio web</w:t>
            </w:r>
            <w:r w:rsidR="008A6822" w:rsidRPr="00802FB4">
              <w:rPr>
                <w:rFonts w:ascii="Arial" w:hAnsi="Arial" w:cs="Arial"/>
                <w:sz w:val="21"/>
                <w:szCs w:val="21"/>
              </w:rPr>
              <w:t>:</w:t>
            </w:r>
            <w:r w:rsidRPr="00802FB4">
              <w:rPr>
                <w:rFonts w:ascii="Arial" w:hAnsi="Arial" w:cs="Arial"/>
                <w:sz w:val="21"/>
                <w:szCs w:val="21"/>
              </w:rPr>
              <w:t xml:space="preserve"> </w:t>
            </w:r>
            <w:proofErr w:type="gramStart"/>
            <w:r w:rsidR="00212403" w:rsidRPr="00802FB4">
              <w:rPr>
                <w:rFonts w:ascii="Arial" w:hAnsi="Arial" w:cs="Arial"/>
                <w:sz w:val="21"/>
                <w:szCs w:val="21"/>
                <w:lang w:val="es-CR"/>
              </w:rPr>
              <w:t>www.mvalores.fi.cr</w:t>
            </w:r>
            <w:r w:rsidR="006C2047" w:rsidRPr="00802FB4">
              <w:rPr>
                <w:rStyle w:val="Hipervnculo"/>
                <w:rFonts w:ascii="Arial" w:hAnsi="Arial" w:cs="Arial"/>
                <w:color w:val="auto"/>
                <w:sz w:val="21"/>
                <w:szCs w:val="21"/>
                <w:u w:val="none"/>
                <w:lang w:val="es-CR"/>
              </w:rPr>
              <w:t xml:space="preserve"> </w:t>
            </w:r>
            <w:r w:rsidRPr="00802FB4">
              <w:rPr>
                <w:rFonts w:ascii="Arial" w:hAnsi="Arial" w:cs="Arial"/>
                <w:sz w:val="21"/>
                <w:szCs w:val="21"/>
                <w:lang w:val="es-CR"/>
              </w:rPr>
              <w:t xml:space="preserve"> y</w:t>
            </w:r>
            <w:proofErr w:type="gramEnd"/>
            <w:r w:rsidR="006C2047" w:rsidRPr="00802FB4">
              <w:rPr>
                <w:rFonts w:ascii="Arial" w:hAnsi="Arial" w:cs="Arial"/>
                <w:sz w:val="21"/>
                <w:szCs w:val="21"/>
                <w:lang w:val="es-CR"/>
              </w:rPr>
              <w:t xml:space="preserve"> </w:t>
            </w:r>
            <w:hyperlink r:id="rId17" w:history="1">
              <w:r w:rsidR="006C2047" w:rsidRPr="00802FB4">
                <w:rPr>
                  <w:rStyle w:val="Hipervnculo"/>
                  <w:rFonts w:ascii="Arial" w:hAnsi="Arial" w:cs="Arial"/>
                  <w:color w:val="auto"/>
                  <w:sz w:val="21"/>
                  <w:szCs w:val="21"/>
                  <w:u w:val="none"/>
                  <w:lang w:val="es-CR"/>
                </w:rPr>
                <w:t>www.sugeval.fi.cr</w:t>
              </w:r>
            </w:hyperlink>
            <w:r w:rsidR="006C2047" w:rsidRPr="00802FB4">
              <w:rPr>
                <w:rStyle w:val="Hipervnculo"/>
                <w:rFonts w:ascii="Arial" w:hAnsi="Arial" w:cs="Arial"/>
                <w:color w:val="auto"/>
                <w:sz w:val="21"/>
                <w:szCs w:val="21"/>
                <w:u w:val="none"/>
                <w:lang w:val="es-CR"/>
              </w:rPr>
              <w:t xml:space="preserve">    </w:t>
            </w:r>
          </w:p>
        </w:tc>
      </w:tr>
      <w:tr w:rsidR="00B04731" w:rsidRPr="00E52E5A" w14:paraId="6EDAF6D4" w14:textId="77777777" w:rsidTr="007D6BC2">
        <w:trPr>
          <w:trHeight w:val="754"/>
          <w:jc w:val="center"/>
        </w:trPr>
        <w:tc>
          <w:tcPr>
            <w:tcW w:w="3299" w:type="dxa"/>
            <w:vAlign w:val="center"/>
          </w:tcPr>
          <w:p w14:paraId="6AA08959" w14:textId="77777777" w:rsidR="00B04731" w:rsidRPr="00802FB4" w:rsidRDefault="00B04731" w:rsidP="0054151F">
            <w:pPr>
              <w:widowControl w:val="0"/>
              <w:tabs>
                <w:tab w:val="left" w:pos="8910"/>
              </w:tabs>
              <w:rPr>
                <w:rFonts w:ascii="Arial" w:hAnsi="Arial" w:cs="Arial"/>
                <w:b/>
                <w:sz w:val="21"/>
                <w:szCs w:val="21"/>
              </w:rPr>
            </w:pPr>
            <w:r w:rsidRPr="00802FB4">
              <w:rPr>
                <w:rFonts w:ascii="Arial" w:hAnsi="Arial" w:cs="Arial"/>
                <w:b/>
                <w:sz w:val="21"/>
                <w:szCs w:val="21"/>
              </w:rPr>
              <w:lastRenderedPageBreak/>
              <w:t>Hechos relevantes</w:t>
            </w:r>
          </w:p>
        </w:tc>
        <w:tc>
          <w:tcPr>
            <w:tcW w:w="1725" w:type="dxa"/>
            <w:vAlign w:val="center"/>
          </w:tcPr>
          <w:p w14:paraId="2BC21E02" w14:textId="77777777" w:rsidR="00B04731" w:rsidRPr="00802FB4" w:rsidRDefault="00B04731" w:rsidP="00691324">
            <w:pPr>
              <w:jc w:val="center"/>
              <w:rPr>
                <w:rFonts w:ascii="Arial" w:hAnsi="Arial" w:cs="Arial"/>
                <w:i/>
                <w:sz w:val="21"/>
                <w:szCs w:val="21"/>
                <w:lang w:val="es-CR"/>
              </w:rPr>
            </w:pPr>
            <w:r w:rsidRPr="00802FB4">
              <w:rPr>
                <w:rFonts w:ascii="Arial" w:hAnsi="Arial" w:cs="Arial"/>
                <w:i/>
                <w:sz w:val="21"/>
                <w:szCs w:val="21"/>
                <w:lang w:val="es-CR"/>
              </w:rPr>
              <w:t>Inmediatamente después de su conocimiento</w:t>
            </w:r>
          </w:p>
        </w:tc>
        <w:tc>
          <w:tcPr>
            <w:tcW w:w="4332" w:type="dxa"/>
            <w:vAlign w:val="center"/>
          </w:tcPr>
          <w:p w14:paraId="5106042C" w14:textId="42C0FC79" w:rsidR="00B04731" w:rsidRPr="00802FB4" w:rsidRDefault="00EE6013" w:rsidP="00691324">
            <w:pPr>
              <w:rPr>
                <w:rFonts w:ascii="Arial" w:hAnsi="Arial" w:cs="Arial"/>
                <w:sz w:val="21"/>
                <w:szCs w:val="21"/>
                <w:lang w:val="en-US"/>
              </w:rPr>
            </w:pPr>
            <w:r w:rsidRPr="00802FB4">
              <w:rPr>
                <w:rFonts w:ascii="Arial" w:hAnsi="Arial" w:cs="Arial"/>
                <w:sz w:val="21"/>
                <w:szCs w:val="21"/>
                <w:lang w:val="en-US"/>
              </w:rPr>
              <w:t xml:space="preserve">Sitio web </w:t>
            </w:r>
            <w:r w:rsidR="00B125DD" w:rsidRPr="00802FB4">
              <w:rPr>
                <w:rFonts w:ascii="Arial" w:hAnsi="Arial" w:cs="Arial"/>
                <w:sz w:val="21"/>
                <w:szCs w:val="21"/>
                <w:lang w:val="en-US"/>
              </w:rPr>
              <w:t>www.sugeval.fi.cr</w:t>
            </w:r>
          </w:p>
        </w:tc>
      </w:tr>
      <w:tr w:rsidR="00B04731" w:rsidRPr="00802FB4" w14:paraId="6E47379C" w14:textId="77777777" w:rsidTr="007E2D35">
        <w:trPr>
          <w:jc w:val="center"/>
        </w:trPr>
        <w:tc>
          <w:tcPr>
            <w:tcW w:w="3299" w:type="dxa"/>
            <w:vAlign w:val="center"/>
          </w:tcPr>
          <w:p w14:paraId="613C23F7" w14:textId="77777777" w:rsidR="00B04731" w:rsidRPr="00802FB4" w:rsidRDefault="00B04731" w:rsidP="0054151F">
            <w:pPr>
              <w:widowControl w:val="0"/>
              <w:tabs>
                <w:tab w:val="left" w:pos="8910"/>
              </w:tabs>
              <w:rPr>
                <w:rFonts w:ascii="Arial" w:hAnsi="Arial" w:cs="Arial"/>
                <w:b/>
                <w:sz w:val="21"/>
                <w:szCs w:val="21"/>
              </w:rPr>
            </w:pPr>
            <w:r w:rsidRPr="00802FB4">
              <w:rPr>
                <w:rFonts w:ascii="Arial" w:hAnsi="Arial" w:cs="Arial"/>
                <w:b/>
                <w:sz w:val="21"/>
                <w:szCs w:val="21"/>
              </w:rPr>
              <w:t xml:space="preserve">Calificación de riesgo </w:t>
            </w:r>
          </w:p>
        </w:tc>
        <w:tc>
          <w:tcPr>
            <w:tcW w:w="1725" w:type="dxa"/>
            <w:vAlign w:val="center"/>
          </w:tcPr>
          <w:p w14:paraId="5B3CABCC" w14:textId="77777777" w:rsidR="00B04731" w:rsidRPr="00802FB4" w:rsidRDefault="00B04731" w:rsidP="00691324">
            <w:pPr>
              <w:jc w:val="center"/>
              <w:rPr>
                <w:rFonts w:ascii="Arial" w:hAnsi="Arial" w:cs="Arial"/>
                <w:i/>
                <w:sz w:val="21"/>
                <w:szCs w:val="21"/>
                <w:lang w:val="es-CR"/>
              </w:rPr>
            </w:pPr>
            <w:r w:rsidRPr="00802FB4">
              <w:rPr>
                <w:rFonts w:ascii="Arial" w:hAnsi="Arial" w:cs="Arial"/>
                <w:i/>
                <w:sz w:val="21"/>
                <w:szCs w:val="21"/>
                <w:lang w:val="es-CR"/>
              </w:rPr>
              <w:t>Semestral</w:t>
            </w:r>
          </w:p>
        </w:tc>
        <w:tc>
          <w:tcPr>
            <w:tcW w:w="4332" w:type="dxa"/>
            <w:vAlign w:val="center"/>
          </w:tcPr>
          <w:p w14:paraId="41978E9F" w14:textId="78DD89FA" w:rsidR="00B04731" w:rsidRPr="00802FB4" w:rsidRDefault="00B04731" w:rsidP="00691324">
            <w:pPr>
              <w:rPr>
                <w:rFonts w:ascii="Arial" w:hAnsi="Arial" w:cs="Arial"/>
                <w:sz w:val="21"/>
                <w:szCs w:val="21"/>
                <w:lang w:val="es-CR"/>
              </w:rPr>
            </w:pPr>
            <w:r w:rsidRPr="00802FB4">
              <w:rPr>
                <w:rFonts w:ascii="Arial" w:hAnsi="Arial" w:cs="Arial"/>
                <w:sz w:val="21"/>
                <w:szCs w:val="21"/>
                <w:lang w:val="es-CR"/>
              </w:rPr>
              <w:t>Sitio</w:t>
            </w:r>
            <w:r w:rsidR="00EF7BCD" w:rsidRPr="00802FB4">
              <w:rPr>
                <w:rFonts w:ascii="Arial" w:hAnsi="Arial" w:cs="Arial"/>
                <w:sz w:val="21"/>
                <w:szCs w:val="21"/>
                <w:lang w:val="es-CR"/>
              </w:rPr>
              <w:t xml:space="preserve"> </w:t>
            </w:r>
            <w:r w:rsidR="00DF1A4F" w:rsidRPr="00802FB4">
              <w:rPr>
                <w:rFonts w:ascii="Arial" w:hAnsi="Arial" w:cs="Arial"/>
                <w:sz w:val="21"/>
                <w:szCs w:val="21"/>
                <w:lang w:val="es-CR"/>
              </w:rPr>
              <w:t xml:space="preserve">web </w:t>
            </w:r>
            <w:r w:rsidR="00212403" w:rsidRPr="00802FB4">
              <w:rPr>
                <w:rFonts w:ascii="Arial" w:hAnsi="Arial" w:cs="Arial"/>
                <w:sz w:val="21"/>
                <w:szCs w:val="21"/>
                <w:lang w:val="es-CR"/>
              </w:rPr>
              <w:t>www.mvalores.fi.cr</w:t>
            </w:r>
            <w:r w:rsidR="00B125DD" w:rsidRPr="00802FB4">
              <w:rPr>
                <w:rFonts w:ascii="Arial" w:hAnsi="Arial" w:cs="Arial"/>
                <w:sz w:val="21"/>
                <w:szCs w:val="21"/>
                <w:lang w:val="es-CR"/>
              </w:rPr>
              <w:t xml:space="preserve"> </w:t>
            </w:r>
            <w:r w:rsidRPr="00802FB4">
              <w:rPr>
                <w:rFonts w:ascii="Arial" w:hAnsi="Arial" w:cs="Arial"/>
                <w:sz w:val="21"/>
                <w:szCs w:val="21"/>
                <w:lang w:val="es-CR"/>
              </w:rPr>
              <w:t xml:space="preserve">y en el sitio web </w:t>
            </w:r>
            <w:hyperlink r:id="rId18" w:history="1">
              <w:r w:rsidR="00BF12DE" w:rsidRPr="00802FB4">
                <w:rPr>
                  <w:rStyle w:val="Hipervnculo"/>
                  <w:rFonts w:ascii="Arial" w:hAnsi="Arial" w:cs="Arial"/>
                  <w:color w:val="auto"/>
                  <w:sz w:val="21"/>
                  <w:szCs w:val="21"/>
                  <w:u w:val="none"/>
                  <w:lang w:val="es-CR"/>
                </w:rPr>
                <w:t>www.sugeval.fi.cr</w:t>
              </w:r>
            </w:hyperlink>
            <w:r w:rsidR="006C2047" w:rsidRPr="00802FB4">
              <w:rPr>
                <w:rStyle w:val="Hipervnculo"/>
                <w:rFonts w:ascii="Arial" w:hAnsi="Arial" w:cs="Arial"/>
                <w:color w:val="auto"/>
                <w:sz w:val="21"/>
                <w:szCs w:val="21"/>
                <w:u w:val="none"/>
                <w:lang w:val="es-CR"/>
              </w:rPr>
              <w:t xml:space="preserve"> </w:t>
            </w:r>
          </w:p>
        </w:tc>
      </w:tr>
      <w:tr w:rsidR="00B04731" w:rsidRPr="00802FB4" w14:paraId="3CFBAE2B" w14:textId="77777777" w:rsidTr="007E2D35">
        <w:trPr>
          <w:jc w:val="center"/>
        </w:trPr>
        <w:tc>
          <w:tcPr>
            <w:tcW w:w="3299" w:type="dxa"/>
            <w:vAlign w:val="center"/>
          </w:tcPr>
          <w:p w14:paraId="3D2D514F" w14:textId="77777777" w:rsidR="00B04731" w:rsidRPr="00802FB4" w:rsidRDefault="00B04731" w:rsidP="0054151F">
            <w:pPr>
              <w:widowControl w:val="0"/>
              <w:tabs>
                <w:tab w:val="left" w:pos="8910"/>
              </w:tabs>
              <w:rPr>
                <w:rFonts w:ascii="Arial" w:hAnsi="Arial" w:cs="Arial"/>
                <w:b/>
                <w:sz w:val="21"/>
                <w:szCs w:val="21"/>
              </w:rPr>
            </w:pPr>
            <w:r w:rsidRPr="00802FB4">
              <w:rPr>
                <w:rFonts w:ascii="Arial" w:hAnsi="Arial" w:cs="Arial"/>
                <w:b/>
                <w:sz w:val="21"/>
                <w:szCs w:val="21"/>
              </w:rPr>
              <w:t>Estados financieros mensuales no auditados de la SAFI y sus fondos</w:t>
            </w:r>
          </w:p>
        </w:tc>
        <w:tc>
          <w:tcPr>
            <w:tcW w:w="1725" w:type="dxa"/>
            <w:vAlign w:val="center"/>
          </w:tcPr>
          <w:p w14:paraId="0E95246F" w14:textId="77777777" w:rsidR="00B04731" w:rsidRPr="00802FB4" w:rsidRDefault="00B04731" w:rsidP="00691324">
            <w:pPr>
              <w:jc w:val="center"/>
              <w:rPr>
                <w:rFonts w:ascii="Arial" w:hAnsi="Arial" w:cs="Arial"/>
                <w:i/>
                <w:sz w:val="21"/>
                <w:szCs w:val="21"/>
              </w:rPr>
            </w:pPr>
            <w:r w:rsidRPr="00802FB4">
              <w:rPr>
                <w:rFonts w:ascii="Arial" w:hAnsi="Arial" w:cs="Arial"/>
                <w:i/>
                <w:sz w:val="21"/>
                <w:szCs w:val="21"/>
                <w:lang w:val="es-CR"/>
              </w:rPr>
              <w:t>Mensual</w:t>
            </w:r>
          </w:p>
        </w:tc>
        <w:tc>
          <w:tcPr>
            <w:tcW w:w="4332" w:type="dxa"/>
            <w:vAlign w:val="center"/>
          </w:tcPr>
          <w:p w14:paraId="0AA37CE9" w14:textId="03777BEF" w:rsidR="00B04731" w:rsidRPr="00802FB4" w:rsidRDefault="00B04731" w:rsidP="00691324">
            <w:pPr>
              <w:rPr>
                <w:rFonts w:ascii="Arial" w:hAnsi="Arial" w:cs="Arial"/>
                <w:sz w:val="21"/>
                <w:szCs w:val="21"/>
                <w:lang w:val="es-CR"/>
              </w:rPr>
            </w:pPr>
            <w:r w:rsidRPr="00802FB4">
              <w:rPr>
                <w:rFonts w:ascii="Arial" w:hAnsi="Arial" w:cs="Arial"/>
                <w:sz w:val="21"/>
                <w:szCs w:val="21"/>
                <w:lang w:val="es-CR"/>
              </w:rPr>
              <w:t xml:space="preserve">Por solicitud a las oficinas de </w:t>
            </w:r>
            <w:r w:rsidR="00A865D7" w:rsidRPr="00802FB4">
              <w:rPr>
                <w:rFonts w:ascii="Arial" w:hAnsi="Arial" w:cs="Arial"/>
                <w:sz w:val="21"/>
                <w:szCs w:val="21"/>
                <w:lang w:val="es-CR"/>
              </w:rPr>
              <w:t>Multifondos</w:t>
            </w:r>
            <w:r w:rsidRPr="00802FB4">
              <w:rPr>
                <w:rFonts w:ascii="Arial" w:hAnsi="Arial" w:cs="Arial"/>
                <w:sz w:val="21"/>
                <w:szCs w:val="21"/>
                <w:lang w:val="es-CR"/>
              </w:rPr>
              <w:t xml:space="preserve"> y en el sitio web </w:t>
            </w:r>
            <w:hyperlink r:id="rId19" w:history="1">
              <w:r w:rsidR="00BF12DE" w:rsidRPr="00802FB4">
                <w:rPr>
                  <w:rStyle w:val="Hipervnculo"/>
                  <w:rFonts w:ascii="Arial" w:hAnsi="Arial" w:cs="Arial"/>
                  <w:color w:val="auto"/>
                  <w:sz w:val="21"/>
                  <w:szCs w:val="21"/>
                  <w:u w:val="none"/>
                  <w:lang w:val="es-CR"/>
                </w:rPr>
                <w:t>www.sugeval.fi.cr</w:t>
              </w:r>
            </w:hyperlink>
            <w:r w:rsidR="006C2047" w:rsidRPr="00802FB4">
              <w:rPr>
                <w:rStyle w:val="Hipervnculo"/>
                <w:rFonts w:ascii="Arial" w:hAnsi="Arial" w:cs="Arial"/>
                <w:color w:val="auto"/>
                <w:sz w:val="21"/>
                <w:szCs w:val="21"/>
                <w:u w:val="none"/>
                <w:lang w:val="es-CR"/>
              </w:rPr>
              <w:t xml:space="preserve">  </w:t>
            </w:r>
          </w:p>
        </w:tc>
      </w:tr>
      <w:tr w:rsidR="00B04731" w:rsidRPr="00802FB4" w14:paraId="4C8A18EF" w14:textId="77777777" w:rsidTr="007E2D35">
        <w:trPr>
          <w:jc w:val="center"/>
        </w:trPr>
        <w:tc>
          <w:tcPr>
            <w:tcW w:w="3299" w:type="dxa"/>
            <w:vAlign w:val="center"/>
          </w:tcPr>
          <w:p w14:paraId="1E5571F4" w14:textId="77777777" w:rsidR="00B04731" w:rsidRPr="00802FB4" w:rsidRDefault="00B04731" w:rsidP="0054151F">
            <w:pPr>
              <w:widowControl w:val="0"/>
              <w:tabs>
                <w:tab w:val="left" w:pos="8910"/>
              </w:tabs>
              <w:rPr>
                <w:rFonts w:ascii="Arial" w:hAnsi="Arial" w:cs="Arial"/>
                <w:b/>
                <w:sz w:val="21"/>
                <w:szCs w:val="21"/>
              </w:rPr>
            </w:pPr>
            <w:r w:rsidRPr="00802FB4">
              <w:rPr>
                <w:rFonts w:ascii="Arial" w:hAnsi="Arial" w:cs="Arial"/>
                <w:b/>
                <w:sz w:val="21"/>
                <w:szCs w:val="21"/>
              </w:rPr>
              <w:t>Estados financieros auditados de la SAFI y sus fondos</w:t>
            </w:r>
          </w:p>
        </w:tc>
        <w:tc>
          <w:tcPr>
            <w:tcW w:w="1725" w:type="dxa"/>
            <w:vAlign w:val="center"/>
          </w:tcPr>
          <w:p w14:paraId="4F01584F" w14:textId="77777777" w:rsidR="00B04731" w:rsidRPr="00802FB4" w:rsidRDefault="00B04731" w:rsidP="00691324">
            <w:pPr>
              <w:jc w:val="center"/>
              <w:rPr>
                <w:rFonts w:ascii="Arial" w:hAnsi="Arial" w:cs="Arial"/>
                <w:i/>
                <w:sz w:val="21"/>
                <w:szCs w:val="21"/>
              </w:rPr>
            </w:pPr>
            <w:r w:rsidRPr="00802FB4">
              <w:rPr>
                <w:rFonts w:ascii="Arial" w:hAnsi="Arial" w:cs="Arial"/>
                <w:i/>
                <w:sz w:val="21"/>
                <w:szCs w:val="21"/>
                <w:lang w:val="es-CR"/>
              </w:rPr>
              <w:t>Anual</w:t>
            </w:r>
          </w:p>
        </w:tc>
        <w:tc>
          <w:tcPr>
            <w:tcW w:w="4332" w:type="dxa"/>
            <w:vAlign w:val="center"/>
          </w:tcPr>
          <w:p w14:paraId="01A5B129" w14:textId="2392F5D4" w:rsidR="00B04731" w:rsidRPr="00802FB4" w:rsidRDefault="00B04731" w:rsidP="00691324">
            <w:pPr>
              <w:rPr>
                <w:rFonts w:ascii="Arial" w:hAnsi="Arial" w:cs="Arial"/>
                <w:sz w:val="21"/>
                <w:szCs w:val="21"/>
                <w:lang w:val="es-CR"/>
              </w:rPr>
            </w:pPr>
            <w:r w:rsidRPr="00802FB4">
              <w:rPr>
                <w:rFonts w:ascii="Arial" w:hAnsi="Arial" w:cs="Arial"/>
                <w:sz w:val="21"/>
                <w:szCs w:val="21"/>
                <w:lang w:val="es-CR"/>
              </w:rPr>
              <w:t>Sitio web</w:t>
            </w:r>
            <w:r w:rsidR="00DF1A4F" w:rsidRPr="00802FB4">
              <w:rPr>
                <w:rFonts w:ascii="Arial" w:hAnsi="Arial" w:cs="Arial"/>
                <w:sz w:val="21"/>
                <w:szCs w:val="21"/>
                <w:lang w:val="es-CR"/>
              </w:rPr>
              <w:t xml:space="preserve"> </w:t>
            </w:r>
            <w:proofErr w:type="gramStart"/>
            <w:r w:rsidR="00212403" w:rsidRPr="00802FB4">
              <w:rPr>
                <w:rFonts w:ascii="Arial" w:hAnsi="Arial" w:cs="Arial"/>
                <w:sz w:val="21"/>
                <w:szCs w:val="21"/>
                <w:lang w:val="es-CR"/>
              </w:rPr>
              <w:t>www.mvalores.fi.cr</w:t>
            </w:r>
            <w:r w:rsidR="006C2047" w:rsidRPr="00802FB4">
              <w:rPr>
                <w:rFonts w:ascii="Arial" w:hAnsi="Arial" w:cs="Arial"/>
                <w:sz w:val="21"/>
                <w:szCs w:val="21"/>
                <w:lang w:val="es-CR"/>
              </w:rPr>
              <w:t xml:space="preserve"> </w:t>
            </w:r>
            <w:r w:rsidR="00EF7BCD" w:rsidRPr="00802FB4">
              <w:rPr>
                <w:rFonts w:ascii="Arial" w:hAnsi="Arial" w:cs="Arial"/>
                <w:sz w:val="21"/>
                <w:szCs w:val="21"/>
                <w:lang w:val="es-CR"/>
              </w:rPr>
              <w:t xml:space="preserve"> </w:t>
            </w:r>
            <w:r w:rsidRPr="00802FB4">
              <w:rPr>
                <w:rFonts w:ascii="Arial" w:hAnsi="Arial" w:cs="Arial"/>
                <w:sz w:val="21"/>
                <w:szCs w:val="21"/>
                <w:lang w:val="es-CR"/>
              </w:rPr>
              <w:t>y</w:t>
            </w:r>
            <w:proofErr w:type="gramEnd"/>
            <w:r w:rsidRPr="00802FB4">
              <w:rPr>
                <w:rFonts w:ascii="Arial" w:hAnsi="Arial" w:cs="Arial"/>
                <w:sz w:val="21"/>
                <w:szCs w:val="21"/>
                <w:lang w:val="es-CR"/>
              </w:rPr>
              <w:t xml:space="preserve"> </w:t>
            </w:r>
            <w:hyperlink r:id="rId20" w:history="1">
              <w:r w:rsidR="00BF12DE" w:rsidRPr="00802FB4">
                <w:rPr>
                  <w:rStyle w:val="Hipervnculo"/>
                  <w:rFonts w:ascii="Arial" w:hAnsi="Arial" w:cs="Arial"/>
                  <w:color w:val="auto"/>
                  <w:sz w:val="21"/>
                  <w:szCs w:val="21"/>
                  <w:u w:val="none"/>
                  <w:lang w:val="es-CR"/>
                </w:rPr>
                <w:t>www.sugeval.fi.cr</w:t>
              </w:r>
            </w:hyperlink>
            <w:r w:rsidR="006C2047" w:rsidRPr="00802FB4">
              <w:rPr>
                <w:rStyle w:val="Hipervnculo"/>
                <w:rFonts w:ascii="Arial" w:hAnsi="Arial" w:cs="Arial"/>
                <w:color w:val="auto"/>
                <w:sz w:val="21"/>
                <w:szCs w:val="21"/>
                <w:u w:val="none"/>
                <w:lang w:val="es-CR"/>
              </w:rPr>
              <w:t xml:space="preserve"> </w:t>
            </w:r>
          </w:p>
        </w:tc>
      </w:tr>
      <w:tr w:rsidR="00B04731" w:rsidRPr="00E52E5A" w14:paraId="114FAC47" w14:textId="77777777" w:rsidTr="007E2D35">
        <w:trPr>
          <w:jc w:val="center"/>
        </w:trPr>
        <w:tc>
          <w:tcPr>
            <w:tcW w:w="3299" w:type="dxa"/>
            <w:vAlign w:val="center"/>
          </w:tcPr>
          <w:p w14:paraId="68EB54A7" w14:textId="77777777" w:rsidR="00B04731" w:rsidRPr="00802FB4" w:rsidRDefault="00B04731" w:rsidP="0054151F">
            <w:pPr>
              <w:widowControl w:val="0"/>
              <w:tabs>
                <w:tab w:val="left" w:pos="8910"/>
              </w:tabs>
              <w:rPr>
                <w:rFonts w:ascii="Arial" w:hAnsi="Arial" w:cs="Arial"/>
                <w:b/>
                <w:sz w:val="21"/>
                <w:szCs w:val="21"/>
              </w:rPr>
            </w:pPr>
            <w:r w:rsidRPr="00802FB4">
              <w:rPr>
                <w:rFonts w:ascii="Arial" w:hAnsi="Arial" w:cs="Arial"/>
                <w:b/>
                <w:sz w:val="21"/>
                <w:szCs w:val="21"/>
              </w:rPr>
              <w:t xml:space="preserve">Reporte de composición de cartera de los fondos </w:t>
            </w:r>
          </w:p>
        </w:tc>
        <w:tc>
          <w:tcPr>
            <w:tcW w:w="1725" w:type="dxa"/>
            <w:vAlign w:val="center"/>
          </w:tcPr>
          <w:p w14:paraId="271B6914" w14:textId="77777777" w:rsidR="00B04731" w:rsidRPr="00802FB4" w:rsidRDefault="005505F5" w:rsidP="00691324">
            <w:pPr>
              <w:jc w:val="center"/>
              <w:rPr>
                <w:rFonts w:ascii="Arial" w:hAnsi="Arial" w:cs="Arial"/>
                <w:i/>
                <w:sz w:val="21"/>
                <w:szCs w:val="21"/>
              </w:rPr>
            </w:pPr>
            <w:r w:rsidRPr="00802FB4">
              <w:rPr>
                <w:rFonts w:ascii="Arial" w:hAnsi="Arial" w:cs="Arial"/>
                <w:i/>
                <w:sz w:val="21"/>
                <w:szCs w:val="21"/>
                <w:lang w:val="es-CR"/>
              </w:rPr>
              <w:t>Q</w:t>
            </w:r>
            <w:r w:rsidR="00976037" w:rsidRPr="00802FB4">
              <w:rPr>
                <w:rFonts w:ascii="Arial" w:hAnsi="Arial" w:cs="Arial"/>
                <w:i/>
                <w:sz w:val="21"/>
                <w:szCs w:val="21"/>
                <w:lang w:val="es-CR"/>
              </w:rPr>
              <w:t xml:space="preserve">uincenal </w:t>
            </w:r>
          </w:p>
        </w:tc>
        <w:tc>
          <w:tcPr>
            <w:tcW w:w="4332" w:type="dxa"/>
            <w:vAlign w:val="center"/>
          </w:tcPr>
          <w:p w14:paraId="619AF902" w14:textId="5C50F625" w:rsidR="00B04731" w:rsidRPr="00802FB4" w:rsidRDefault="00EE6013" w:rsidP="00691324">
            <w:pPr>
              <w:rPr>
                <w:rFonts w:ascii="Arial" w:hAnsi="Arial" w:cs="Arial"/>
                <w:sz w:val="21"/>
                <w:szCs w:val="21"/>
                <w:lang w:val="en-US"/>
              </w:rPr>
            </w:pPr>
            <w:r w:rsidRPr="00802FB4">
              <w:rPr>
                <w:rFonts w:ascii="Arial" w:hAnsi="Arial" w:cs="Arial"/>
                <w:sz w:val="21"/>
                <w:szCs w:val="21"/>
                <w:lang w:val="en-US"/>
              </w:rPr>
              <w:t xml:space="preserve">Sitio web </w:t>
            </w:r>
            <w:r w:rsidR="00B125DD" w:rsidRPr="00802FB4">
              <w:rPr>
                <w:rFonts w:ascii="Arial" w:hAnsi="Arial" w:cs="Arial"/>
                <w:sz w:val="21"/>
                <w:szCs w:val="21"/>
                <w:lang w:val="en-US"/>
              </w:rPr>
              <w:t>www.sugeval.fi.cr</w:t>
            </w:r>
          </w:p>
        </w:tc>
      </w:tr>
      <w:tr w:rsidR="00B04731" w:rsidRPr="00802FB4" w14:paraId="62A5425C" w14:textId="77777777" w:rsidTr="007E2D35">
        <w:trPr>
          <w:trHeight w:val="1193"/>
          <w:jc w:val="center"/>
        </w:trPr>
        <w:tc>
          <w:tcPr>
            <w:tcW w:w="3299" w:type="dxa"/>
            <w:vAlign w:val="center"/>
          </w:tcPr>
          <w:p w14:paraId="3890DE82" w14:textId="77777777" w:rsidR="00B04731" w:rsidRPr="00802FB4" w:rsidRDefault="00B04731" w:rsidP="0054151F">
            <w:pPr>
              <w:widowControl w:val="0"/>
              <w:tabs>
                <w:tab w:val="left" w:pos="8910"/>
              </w:tabs>
              <w:rPr>
                <w:rFonts w:ascii="Arial" w:hAnsi="Arial" w:cs="Arial"/>
                <w:b/>
                <w:sz w:val="21"/>
                <w:szCs w:val="21"/>
              </w:rPr>
            </w:pPr>
            <w:r w:rsidRPr="00802FB4">
              <w:rPr>
                <w:rFonts w:ascii="Arial" w:hAnsi="Arial" w:cs="Arial"/>
                <w:b/>
                <w:sz w:val="21"/>
                <w:szCs w:val="21"/>
              </w:rPr>
              <w:t>Reporte de comisiones de administración, valor del activo neto del fondo, valor de la participación, y rendimientos del fondo</w:t>
            </w:r>
          </w:p>
        </w:tc>
        <w:tc>
          <w:tcPr>
            <w:tcW w:w="1725" w:type="dxa"/>
            <w:vAlign w:val="center"/>
          </w:tcPr>
          <w:p w14:paraId="28B4FC57" w14:textId="77777777" w:rsidR="00B04731" w:rsidRPr="00802FB4" w:rsidRDefault="00B04731" w:rsidP="00691324">
            <w:pPr>
              <w:jc w:val="center"/>
              <w:rPr>
                <w:rFonts w:ascii="Arial" w:hAnsi="Arial" w:cs="Arial"/>
                <w:i/>
                <w:sz w:val="21"/>
                <w:szCs w:val="21"/>
              </w:rPr>
            </w:pPr>
            <w:r w:rsidRPr="00802FB4">
              <w:rPr>
                <w:rFonts w:ascii="Arial" w:hAnsi="Arial" w:cs="Arial"/>
                <w:i/>
                <w:sz w:val="21"/>
                <w:szCs w:val="21"/>
                <w:lang w:val="es-CR"/>
              </w:rPr>
              <w:t>Diario</w:t>
            </w:r>
          </w:p>
        </w:tc>
        <w:tc>
          <w:tcPr>
            <w:tcW w:w="4332" w:type="dxa"/>
            <w:vAlign w:val="center"/>
          </w:tcPr>
          <w:p w14:paraId="42416AA6" w14:textId="51A48B88" w:rsidR="00B04731" w:rsidRPr="00802FB4" w:rsidRDefault="00B04731" w:rsidP="00691324">
            <w:pPr>
              <w:rPr>
                <w:rFonts w:ascii="Arial" w:hAnsi="Arial" w:cs="Arial"/>
                <w:sz w:val="21"/>
                <w:szCs w:val="21"/>
                <w:lang w:val="es-CR"/>
              </w:rPr>
            </w:pPr>
            <w:r w:rsidRPr="00802FB4">
              <w:rPr>
                <w:rFonts w:ascii="Arial" w:hAnsi="Arial" w:cs="Arial"/>
                <w:sz w:val="21"/>
                <w:szCs w:val="21"/>
                <w:lang w:val="es-CR"/>
              </w:rPr>
              <w:t xml:space="preserve">Sitio web </w:t>
            </w:r>
            <w:r w:rsidR="00212403" w:rsidRPr="00802FB4">
              <w:rPr>
                <w:rFonts w:ascii="Arial" w:hAnsi="Arial" w:cs="Arial"/>
                <w:sz w:val="21"/>
                <w:szCs w:val="21"/>
                <w:lang w:val="es-CR"/>
              </w:rPr>
              <w:t>www.mvalores.fi.cr</w:t>
            </w:r>
            <w:r w:rsidR="006C2047" w:rsidRPr="00802FB4">
              <w:rPr>
                <w:rFonts w:ascii="Arial" w:hAnsi="Arial" w:cs="Arial"/>
                <w:sz w:val="21"/>
                <w:szCs w:val="21"/>
                <w:lang w:val="es-CR"/>
              </w:rPr>
              <w:t xml:space="preserve"> </w:t>
            </w:r>
            <w:r w:rsidRPr="00802FB4">
              <w:rPr>
                <w:rFonts w:ascii="Arial" w:hAnsi="Arial" w:cs="Arial"/>
                <w:sz w:val="21"/>
                <w:szCs w:val="21"/>
                <w:lang w:val="es-CR"/>
              </w:rPr>
              <w:t xml:space="preserve">y </w:t>
            </w:r>
            <w:hyperlink r:id="rId21" w:history="1">
              <w:r w:rsidR="00EE6013" w:rsidRPr="00802FB4">
                <w:rPr>
                  <w:rFonts w:ascii="Arial" w:hAnsi="Arial" w:cs="Arial"/>
                  <w:sz w:val="21"/>
                  <w:szCs w:val="21"/>
                </w:rPr>
                <w:t>www.sugeval.fi.cr</w:t>
              </w:r>
            </w:hyperlink>
          </w:p>
        </w:tc>
      </w:tr>
      <w:tr w:rsidR="008C5E1B" w:rsidRPr="00802FB4" w14:paraId="59B31F88" w14:textId="77777777" w:rsidTr="007E2D35">
        <w:trPr>
          <w:trHeight w:val="277"/>
          <w:jc w:val="center"/>
        </w:trPr>
        <w:tc>
          <w:tcPr>
            <w:tcW w:w="3299" w:type="dxa"/>
            <w:vAlign w:val="center"/>
          </w:tcPr>
          <w:p w14:paraId="78EFBE60" w14:textId="3256CF98" w:rsidR="008C5E1B" w:rsidRPr="00802FB4" w:rsidRDefault="008C5E1B" w:rsidP="0054151F">
            <w:pPr>
              <w:widowControl w:val="0"/>
              <w:tabs>
                <w:tab w:val="left" w:pos="8910"/>
              </w:tabs>
              <w:rPr>
                <w:rFonts w:ascii="Arial" w:hAnsi="Arial" w:cs="Arial"/>
                <w:b/>
                <w:sz w:val="21"/>
                <w:szCs w:val="21"/>
              </w:rPr>
            </w:pPr>
            <w:r w:rsidRPr="00802FB4">
              <w:rPr>
                <w:rFonts w:ascii="Arial" w:hAnsi="Arial" w:cs="Arial"/>
                <w:b/>
                <w:sz w:val="21"/>
                <w:szCs w:val="21"/>
              </w:rPr>
              <w:t xml:space="preserve">Valoraciones de los inmuebles </w:t>
            </w:r>
          </w:p>
        </w:tc>
        <w:tc>
          <w:tcPr>
            <w:tcW w:w="1725" w:type="dxa"/>
            <w:vAlign w:val="center"/>
          </w:tcPr>
          <w:p w14:paraId="20676BDA" w14:textId="77777777" w:rsidR="008C5E1B" w:rsidRPr="00802FB4" w:rsidRDefault="008C5E1B" w:rsidP="00D83795">
            <w:pPr>
              <w:jc w:val="center"/>
              <w:rPr>
                <w:rFonts w:ascii="Arial" w:hAnsi="Arial" w:cs="Arial"/>
                <w:i/>
                <w:sz w:val="21"/>
                <w:szCs w:val="21"/>
              </w:rPr>
            </w:pPr>
            <w:r w:rsidRPr="00802FB4">
              <w:rPr>
                <w:rFonts w:ascii="Arial" w:hAnsi="Arial" w:cs="Arial"/>
                <w:i/>
                <w:sz w:val="21"/>
                <w:szCs w:val="21"/>
              </w:rPr>
              <w:t>Anual</w:t>
            </w:r>
          </w:p>
        </w:tc>
        <w:tc>
          <w:tcPr>
            <w:tcW w:w="4332" w:type="dxa"/>
            <w:vAlign w:val="center"/>
          </w:tcPr>
          <w:p w14:paraId="3AA15127" w14:textId="77777777" w:rsidR="008C5E1B" w:rsidRPr="00802FB4" w:rsidRDefault="008144D3" w:rsidP="008144D3">
            <w:pPr>
              <w:jc w:val="both"/>
              <w:rPr>
                <w:rFonts w:ascii="Arial" w:hAnsi="Arial" w:cs="Arial"/>
                <w:sz w:val="21"/>
                <w:szCs w:val="21"/>
                <w:lang w:val="es-CR"/>
              </w:rPr>
            </w:pPr>
            <w:r w:rsidRPr="00802FB4">
              <w:rPr>
                <w:rFonts w:ascii="Arial" w:hAnsi="Arial" w:cs="Arial"/>
                <w:sz w:val="21"/>
                <w:szCs w:val="21"/>
                <w:lang w:val="es-CR"/>
              </w:rPr>
              <w:t xml:space="preserve">En </w:t>
            </w:r>
            <w:r w:rsidR="00B04731" w:rsidRPr="00802FB4">
              <w:rPr>
                <w:rFonts w:ascii="Arial" w:hAnsi="Arial" w:cs="Arial"/>
                <w:sz w:val="21"/>
                <w:szCs w:val="21"/>
                <w:lang w:val="es-CR"/>
              </w:rPr>
              <w:t xml:space="preserve">las oficinas de </w:t>
            </w:r>
            <w:r w:rsidR="00A865D7" w:rsidRPr="00802FB4">
              <w:rPr>
                <w:rFonts w:ascii="Arial" w:hAnsi="Arial" w:cs="Arial"/>
                <w:sz w:val="21"/>
                <w:szCs w:val="21"/>
                <w:lang w:val="es-CR"/>
              </w:rPr>
              <w:t>Multifondos</w:t>
            </w:r>
            <w:r w:rsidR="00CD5439" w:rsidRPr="00802FB4">
              <w:rPr>
                <w:rFonts w:ascii="Arial" w:hAnsi="Arial" w:cs="Arial"/>
                <w:sz w:val="21"/>
                <w:szCs w:val="21"/>
                <w:lang w:val="es-CR"/>
              </w:rPr>
              <w:t xml:space="preserve"> y en la Sugeval</w:t>
            </w:r>
          </w:p>
        </w:tc>
      </w:tr>
    </w:tbl>
    <w:p w14:paraId="47CD807E" w14:textId="77777777" w:rsidR="0054151F" w:rsidRPr="00802FB4" w:rsidRDefault="0054151F">
      <w:pPr>
        <w:rPr>
          <w:rFonts w:ascii="Arial" w:hAnsi="Arial" w:cs="Arial"/>
          <w:sz w:val="21"/>
          <w:szCs w:val="21"/>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C5E1B" w:rsidRPr="00802FB4" w14:paraId="44A2980F" w14:textId="77777777" w:rsidTr="5B6FDD31">
        <w:trPr>
          <w:jc w:val="center"/>
        </w:trPr>
        <w:tc>
          <w:tcPr>
            <w:tcW w:w="9356" w:type="dxa"/>
            <w:vAlign w:val="center"/>
          </w:tcPr>
          <w:p w14:paraId="31C744AE" w14:textId="77777777" w:rsidR="008C5E1B" w:rsidRPr="00802FB4" w:rsidRDefault="008C5E1B" w:rsidP="00D83795">
            <w:pPr>
              <w:spacing w:before="120" w:after="120"/>
              <w:jc w:val="center"/>
              <w:rPr>
                <w:rFonts w:ascii="Arial" w:hAnsi="Arial" w:cs="Arial"/>
                <w:b/>
                <w:sz w:val="21"/>
                <w:szCs w:val="21"/>
              </w:rPr>
            </w:pPr>
            <w:r w:rsidRPr="00802FB4">
              <w:rPr>
                <w:rFonts w:ascii="Arial" w:hAnsi="Arial" w:cs="Arial"/>
                <w:b/>
                <w:sz w:val="21"/>
                <w:szCs w:val="21"/>
              </w:rPr>
              <w:t>Régimen fiscal que le aplica al fondo</w:t>
            </w:r>
          </w:p>
        </w:tc>
      </w:tr>
      <w:tr w:rsidR="008C5E1B" w:rsidRPr="00802FB4" w14:paraId="43698156" w14:textId="77777777" w:rsidTr="5B6FDD31">
        <w:trPr>
          <w:jc w:val="center"/>
        </w:trPr>
        <w:tc>
          <w:tcPr>
            <w:tcW w:w="9356" w:type="dxa"/>
          </w:tcPr>
          <w:p w14:paraId="357DF864" w14:textId="1C344F45" w:rsidR="00C07BC3" w:rsidRPr="00802FB4" w:rsidRDefault="00C07BC3" w:rsidP="00C07BC3">
            <w:pPr>
              <w:jc w:val="both"/>
              <w:rPr>
                <w:rFonts w:ascii="Arial" w:hAnsi="Arial" w:cs="Arial"/>
                <w:sz w:val="21"/>
                <w:szCs w:val="21"/>
                <w:lang w:val="es-ES_tradnl"/>
              </w:rPr>
            </w:pPr>
            <w:r w:rsidRPr="00802FB4">
              <w:rPr>
                <w:rFonts w:ascii="Arial" w:hAnsi="Arial" w:cs="Arial"/>
                <w:sz w:val="21"/>
                <w:szCs w:val="21"/>
                <w:lang w:val="es-ES_tradnl"/>
              </w:rPr>
              <w:t xml:space="preserve">Los fondos de inversión son contribuyentes de las rentas de capital y ganancias y pérdidas de capital de conformidad con lo dispuesto en la Ley No. 7092, Ley del Impuesto sobre la Renta, reformada por la Ley 9635 “Fortalecimiento de las Finanzas Públicas”, vigente a partir </w:t>
            </w:r>
            <w:r w:rsidR="005F2EAE" w:rsidRPr="00802FB4">
              <w:rPr>
                <w:rFonts w:ascii="Arial" w:hAnsi="Arial" w:cs="Arial"/>
                <w:sz w:val="21"/>
                <w:szCs w:val="21"/>
                <w:lang w:val="es-ES_tradnl"/>
              </w:rPr>
              <w:t>del 1</w:t>
            </w:r>
            <w:r w:rsidRPr="00802FB4">
              <w:rPr>
                <w:rFonts w:ascii="Arial" w:hAnsi="Arial" w:cs="Arial"/>
                <w:sz w:val="21"/>
                <w:szCs w:val="21"/>
                <w:lang w:val="es-ES_tradnl"/>
              </w:rPr>
              <w:t xml:space="preserve"> de julio del 2019.</w:t>
            </w:r>
          </w:p>
          <w:p w14:paraId="1DD1BB99" w14:textId="77777777" w:rsidR="00657A5D" w:rsidRPr="00802FB4" w:rsidRDefault="00657A5D" w:rsidP="00C07BC3">
            <w:pPr>
              <w:jc w:val="both"/>
              <w:rPr>
                <w:rFonts w:ascii="Arial" w:hAnsi="Arial" w:cs="Arial"/>
                <w:sz w:val="21"/>
                <w:szCs w:val="21"/>
                <w:lang w:val="es-ES_tradnl"/>
              </w:rPr>
            </w:pPr>
          </w:p>
          <w:p w14:paraId="73F61AA7" w14:textId="267DD76C" w:rsidR="00426039" w:rsidRPr="00802FB4" w:rsidRDefault="00C07BC3" w:rsidP="5B6FDD31">
            <w:pPr>
              <w:jc w:val="both"/>
              <w:rPr>
                <w:rFonts w:ascii="Arial" w:hAnsi="Arial" w:cs="Arial"/>
                <w:sz w:val="21"/>
                <w:szCs w:val="21"/>
              </w:rPr>
            </w:pPr>
            <w:r w:rsidRPr="00802FB4">
              <w:rPr>
                <w:rFonts w:ascii="Arial" w:hAnsi="Arial" w:cs="Arial"/>
                <w:sz w:val="21"/>
                <w:szCs w:val="21"/>
              </w:rPr>
              <w:t>El tratamiento tributario de las participaciones emitidas por el fondo de inversión se encuentra sujeto al ordenamiento jurídico costarricense, de conformidad con lo dispuesto en la Ley No. 7092, Ley del Impuesto sobre la Renta, reformada por la Ley 9635 “Fortalecimiento de las Finanzas Públicas”, vigente a partir del 1 de julio del 2019. Es responsabilidad del adquirente de los valores verificar el tratamiento tributario aplicable a su caso particular de conformidad con lo establecido en la Ley No. 7092, Ley de Impuesto sobre la Renta y su Reglamento.  Si las participaciones son colocadas fuera del territorio costarricense, el inversionista es responsable de verificar el tratamiento tributario aplicable en la jurisdicción donde lo adquiera. Las modificaciones futuras en la tasa impositiva serán asumidas directamente por los inversionistas, todo de conformidad con el marco legal vigente.</w:t>
            </w:r>
          </w:p>
        </w:tc>
      </w:tr>
    </w:tbl>
    <w:p w14:paraId="162736DF" w14:textId="6A7EC613" w:rsidR="008C5E1B" w:rsidRPr="00802FB4" w:rsidRDefault="00691324" w:rsidP="004D4ABE">
      <w:pPr>
        <w:pStyle w:val="Ttulo1"/>
        <w:numPr>
          <w:ilvl w:val="0"/>
          <w:numId w:val="1"/>
        </w:numPr>
        <w:ind w:left="142"/>
        <w:rPr>
          <w:rFonts w:ascii="Arial" w:hAnsi="Arial" w:cs="Arial"/>
          <w:sz w:val="24"/>
          <w:szCs w:val="21"/>
        </w:rPr>
      </w:pPr>
      <w:bookmarkStart w:id="22" w:name="_Toc34228951"/>
      <w:r w:rsidRPr="00802FB4">
        <w:rPr>
          <w:rFonts w:ascii="Arial" w:hAnsi="Arial" w:cs="Arial"/>
          <w:sz w:val="24"/>
          <w:szCs w:val="21"/>
        </w:rPr>
        <w:t>Información sobre la Sociedad Administradora y su Grupo Financiero</w:t>
      </w:r>
      <w:bookmarkEnd w:id="22"/>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5387"/>
        <w:gridCol w:w="1759"/>
      </w:tblGrid>
      <w:tr w:rsidR="00740A4C" w:rsidRPr="00802FB4" w14:paraId="767A27E1" w14:textId="77777777" w:rsidTr="006D6807">
        <w:trPr>
          <w:trHeight w:val="47"/>
          <w:jc w:val="center"/>
        </w:trPr>
        <w:tc>
          <w:tcPr>
            <w:tcW w:w="9339" w:type="dxa"/>
            <w:gridSpan w:val="3"/>
            <w:vAlign w:val="center"/>
          </w:tcPr>
          <w:p w14:paraId="7970C673" w14:textId="77777777" w:rsidR="00740A4C" w:rsidRPr="00802FB4" w:rsidRDefault="00740A4C" w:rsidP="006D6807">
            <w:pPr>
              <w:spacing w:before="120" w:after="120"/>
              <w:jc w:val="center"/>
              <w:rPr>
                <w:rFonts w:ascii="Arial" w:hAnsi="Arial" w:cs="Arial"/>
                <w:b/>
                <w:sz w:val="21"/>
                <w:szCs w:val="21"/>
              </w:rPr>
            </w:pPr>
            <w:r w:rsidRPr="00802FB4">
              <w:rPr>
                <w:rFonts w:ascii="Arial" w:hAnsi="Arial" w:cs="Arial"/>
                <w:b/>
                <w:sz w:val="21"/>
                <w:szCs w:val="21"/>
              </w:rPr>
              <w:t>Información sobre la Sociedad Administradora</w:t>
            </w:r>
          </w:p>
        </w:tc>
      </w:tr>
      <w:tr w:rsidR="00740A4C" w:rsidRPr="00802FB4" w14:paraId="1D893E05" w14:textId="77777777" w:rsidTr="006D6807">
        <w:trPr>
          <w:jc w:val="center"/>
        </w:trPr>
        <w:tc>
          <w:tcPr>
            <w:tcW w:w="2193" w:type="dxa"/>
            <w:vAlign w:val="center"/>
          </w:tcPr>
          <w:p w14:paraId="4758D78D" w14:textId="77777777" w:rsidR="00740A4C" w:rsidRPr="00802FB4" w:rsidRDefault="00740A4C" w:rsidP="006D6807">
            <w:pPr>
              <w:rPr>
                <w:rFonts w:ascii="Arial" w:hAnsi="Arial" w:cs="Arial"/>
                <w:b/>
                <w:sz w:val="21"/>
                <w:szCs w:val="21"/>
              </w:rPr>
            </w:pPr>
            <w:r w:rsidRPr="00802FB4">
              <w:rPr>
                <w:rFonts w:ascii="Arial" w:hAnsi="Arial" w:cs="Arial"/>
                <w:b/>
                <w:sz w:val="21"/>
                <w:szCs w:val="21"/>
              </w:rPr>
              <w:t>Direcciones</w:t>
            </w:r>
          </w:p>
        </w:tc>
        <w:tc>
          <w:tcPr>
            <w:tcW w:w="7146" w:type="dxa"/>
            <w:gridSpan w:val="2"/>
            <w:vAlign w:val="center"/>
          </w:tcPr>
          <w:p w14:paraId="36521CF5" w14:textId="77777777" w:rsidR="00740A4C" w:rsidRPr="00802FB4" w:rsidRDefault="00740A4C" w:rsidP="006D6807">
            <w:pPr>
              <w:rPr>
                <w:rFonts w:ascii="Arial" w:hAnsi="Arial" w:cs="Arial"/>
                <w:sz w:val="21"/>
                <w:szCs w:val="21"/>
                <w:lang w:val="en-US"/>
              </w:rPr>
            </w:pPr>
            <w:r w:rsidRPr="00802FB4">
              <w:rPr>
                <w:rFonts w:ascii="Arial" w:hAnsi="Arial" w:cs="Arial"/>
                <w:sz w:val="21"/>
                <w:szCs w:val="21"/>
                <w:lang w:val="en-US"/>
              </w:rPr>
              <w:t>Tel.: (506) 2201-2400</w:t>
            </w:r>
          </w:p>
          <w:p w14:paraId="072DA997" w14:textId="77777777" w:rsidR="00740A4C" w:rsidRPr="00802FB4" w:rsidRDefault="00740A4C" w:rsidP="006D6807">
            <w:pPr>
              <w:rPr>
                <w:rFonts w:ascii="Arial" w:hAnsi="Arial" w:cs="Arial"/>
                <w:sz w:val="21"/>
                <w:szCs w:val="21"/>
                <w:lang w:val="en-US"/>
              </w:rPr>
            </w:pPr>
            <w:r w:rsidRPr="00802FB4">
              <w:rPr>
                <w:rFonts w:ascii="Arial" w:hAnsi="Arial" w:cs="Arial"/>
                <w:sz w:val="21"/>
                <w:szCs w:val="21"/>
                <w:lang w:val="en-US"/>
              </w:rPr>
              <w:t>Fax: (506) 2201-8521</w:t>
            </w:r>
          </w:p>
          <w:p w14:paraId="61A708A4" w14:textId="3D83A1F2" w:rsidR="00AB0D35" w:rsidRPr="000001A9" w:rsidRDefault="00740A4C" w:rsidP="006D6807">
            <w:pPr>
              <w:rPr>
                <w:rFonts w:ascii="Arial" w:hAnsi="Arial" w:cs="Arial"/>
                <w:sz w:val="21"/>
                <w:szCs w:val="21"/>
                <w:lang w:val="en-US"/>
              </w:rPr>
            </w:pPr>
            <w:r w:rsidRPr="00802FB4">
              <w:rPr>
                <w:rFonts w:ascii="Arial" w:hAnsi="Arial" w:cs="Arial"/>
                <w:sz w:val="21"/>
                <w:szCs w:val="21"/>
                <w:lang w:val="en-US"/>
              </w:rPr>
              <w:t xml:space="preserve">Email: </w:t>
            </w:r>
            <w:r w:rsidR="00AC18C9" w:rsidRPr="00753FD7">
              <w:rPr>
                <w:rFonts w:ascii="Arial" w:hAnsi="Arial" w:cs="Arial"/>
                <w:sz w:val="21"/>
                <w:szCs w:val="21"/>
                <w:lang w:val="en-US"/>
              </w:rPr>
              <w:t>merca@mvalores.fi.cr</w:t>
            </w:r>
          </w:p>
          <w:p w14:paraId="25A0FC92" w14:textId="21245D05" w:rsidR="00740A4C" w:rsidRPr="000001A9" w:rsidRDefault="00740A4C" w:rsidP="006D6807">
            <w:pPr>
              <w:rPr>
                <w:rFonts w:ascii="Arial" w:hAnsi="Arial" w:cs="Arial"/>
                <w:sz w:val="21"/>
                <w:szCs w:val="21"/>
                <w:lang w:val="en-US"/>
              </w:rPr>
            </w:pPr>
            <w:r w:rsidRPr="000001A9">
              <w:rPr>
                <w:rFonts w:ascii="Arial" w:hAnsi="Arial" w:cs="Arial"/>
                <w:sz w:val="21"/>
                <w:szCs w:val="21"/>
                <w:lang w:val="en-US"/>
              </w:rPr>
              <w:t xml:space="preserve">Sitio web: </w:t>
            </w:r>
            <w:r w:rsidR="00AC18C9" w:rsidRPr="00753FD7">
              <w:rPr>
                <w:rStyle w:val="Hipervnculo"/>
                <w:rFonts w:ascii="Arial" w:hAnsi="Arial" w:cs="Arial"/>
                <w:sz w:val="21"/>
                <w:szCs w:val="21"/>
                <w:lang w:val="en-US"/>
              </w:rPr>
              <w:t>www.mvalores.fi.cr</w:t>
            </w:r>
          </w:p>
          <w:p w14:paraId="2C0627B6" w14:textId="77777777" w:rsidR="00740A4C" w:rsidRPr="00802FB4" w:rsidRDefault="00740A4C" w:rsidP="006D6807">
            <w:pPr>
              <w:rPr>
                <w:rFonts w:ascii="Arial" w:hAnsi="Arial" w:cs="Arial"/>
                <w:sz w:val="21"/>
                <w:szCs w:val="21"/>
                <w:lang w:val="es-CR"/>
              </w:rPr>
            </w:pPr>
            <w:r w:rsidRPr="00802FB4">
              <w:rPr>
                <w:rFonts w:ascii="Arial" w:hAnsi="Arial" w:cs="Arial"/>
                <w:sz w:val="21"/>
                <w:szCs w:val="21"/>
                <w:lang w:val="es-CR"/>
              </w:rPr>
              <w:t>Apartado postal: 6727-1000, San José, Costa Rica</w:t>
            </w:r>
          </w:p>
          <w:p w14:paraId="032E2D37" w14:textId="77777777" w:rsidR="00740A4C" w:rsidRPr="00802FB4" w:rsidRDefault="00740A4C" w:rsidP="006D6807">
            <w:pPr>
              <w:rPr>
                <w:rFonts w:ascii="Arial" w:hAnsi="Arial" w:cs="Arial"/>
                <w:sz w:val="21"/>
                <w:szCs w:val="21"/>
                <w:lang w:val="es-CR"/>
              </w:rPr>
            </w:pPr>
            <w:r w:rsidRPr="00802FB4">
              <w:rPr>
                <w:rFonts w:ascii="Arial" w:hAnsi="Arial" w:cs="Arial"/>
                <w:sz w:val="21"/>
                <w:szCs w:val="21"/>
                <w:lang w:val="es-CR"/>
              </w:rPr>
              <w:t>Dirección física: Oficentro Plaza Roble, Edificio Los Balcones, 2ndo piso, Escazú, Costa Rica</w:t>
            </w:r>
          </w:p>
        </w:tc>
      </w:tr>
      <w:tr w:rsidR="00740A4C" w:rsidRPr="00802FB4" w14:paraId="666C8E85" w14:textId="77777777" w:rsidTr="006D6807">
        <w:trPr>
          <w:jc w:val="center"/>
        </w:trPr>
        <w:tc>
          <w:tcPr>
            <w:tcW w:w="2193" w:type="dxa"/>
            <w:vAlign w:val="center"/>
          </w:tcPr>
          <w:p w14:paraId="351D11A6" w14:textId="77777777" w:rsidR="00740A4C" w:rsidRPr="00802FB4" w:rsidRDefault="00740A4C" w:rsidP="006D6807">
            <w:pPr>
              <w:ind w:left="-20"/>
              <w:rPr>
                <w:rFonts w:ascii="Arial" w:hAnsi="Arial" w:cs="Arial"/>
                <w:b/>
                <w:sz w:val="21"/>
                <w:szCs w:val="21"/>
              </w:rPr>
            </w:pPr>
            <w:r w:rsidRPr="00802FB4">
              <w:rPr>
                <w:rFonts w:ascii="Arial" w:hAnsi="Arial" w:cs="Arial"/>
                <w:b/>
                <w:sz w:val="21"/>
                <w:szCs w:val="21"/>
              </w:rPr>
              <w:lastRenderedPageBreak/>
              <w:t>Grupo financiero al que pertenece</w:t>
            </w:r>
          </w:p>
        </w:tc>
        <w:tc>
          <w:tcPr>
            <w:tcW w:w="7146" w:type="dxa"/>
            <w:gridSpan w:val="2"/>
            <w:vAlign w:val="center"/>
          </w:tcPr>
          <w:p w14:paraId="373AD0E4" w14:textId="77777777" w:rsidR="00740A4C" w:rsidRPr="00802FB4" w:rsidRDefault="00740A4C" w:rsidP="006D6807">
            <w:pPr>
              <w:rPr>
                <w:rFonts w:ascii="Arial" w:hAnsi="Arial" w:cs="Arial"/>
                <w:sz w:val="21"/>
                <w:szCs w:val="21"/>
                <w:lang w:val="es-CR"/>
              </w:rPr>
            </w:pPr>
            <w:r w:rsidRPr="00802FB4">
              <w:rPr>
                <w:rFonts w:ascii="Arial" w:hAnsi="Arial" w:cs="Arial"/>
                <w:sz w:val="21"/>
                <w:szCs w:val="21"/>
                <w:lang w:val="es-CR"/>
              </w:rPr>
              <w:t>Grupo Financiero Mercado de Valores de Costa Rica S.A.</w:t>
            </w:r>
          </w:p>
        </w:tc>
      </w:tr>
      <w:tr w:rsidR="00740A4C" w:rsidRPr="00802FB4" w14:paraId="28F10A64" w14:textId="77777777" w:rsidTr="006D6807">
        <w:trPr>
          <w:jc w:val="center"/>
        </w:trPr>
        <w:tc>
          <w:tcPr>
            <w:tcW w:w="2193" w:type="dxa"/>
            <w:vAlign w:val="center"/>
          </w:tcPr>
          <w:p w14:paraId="6DA48065" w14:textId="77777777" w:rsidR="00740A4C" w:rsidRPr="00802FB4" w:rsidRDefault="00740A4C" w:rsidP="006D6807">
            <w:pPr>
              <w:rPr>
                <w:rFonts w:ascii="Arial" w:hAnsi="Arial" w:cs="Arial"/>
                <w:b/>
                <w:sz w:val="21"/>
                <w:szCs w:val="21"/>
              </w:rPr>
            </w:pPr>
            <w:r w:rsidRPr="00802FB4">
              <w:rPr>
                <w:rFonts w:ascii="Arial" w:hAnsi="Arial" w:cs="Arial"/>
                <w:b/>
                <w:sz w:val="21"/>
                <w:szCs w:val="21"/>
              </w:rPr>
              <w:t>Principales accionistas</w:t>
            </w:r>
          </w:p>
        </w:tc>
        <w:tc>
          <w:tcPr>
            <w:tcW w:w="7146" w:type="dxa"/>
            <w:gridSpan w:val="2"/>
            <w:vAlign w:val="center"/>
          </w:tcPr>
          <w:p w14:paraId="5ADE9B1A" w14:textId="77777777" w:rsidR="00740A4C" w:rsidRPr="00802FB4" w:rsidRDefault="00740A4C" w:rsidP="006D6807">
            <w:pPr>
              <w:rPr>
                <w:rFonts w:ascii="Arial" w:hAnsi="Arial" w:cs="Arial"/>
                <w:sz w:val="21"/>
                <w:szCs w:val="21"/>
                <w:lang w:val="es-CR"/>
              </w:rPr>
            </w:pPr>
            <w:r w:rsidRPr="00802FB4">
              <w:rPr>
                <w:rFonts w:ascii="Arial" w:hAnsi="Arial" w:cs="Arial"/>
                <w:sz w:val="21"/>
                <w:szCs w:val="21"/>
                <w:lang w:val="es-CR"/>
              </w:rPr>
              <w:t>Grupo Financiero Mercado de Valores de Costa Rica S.A.-100% de participación</w:t>
            </w:r>
          </w:p>
        </w:tc>
      </w:tr>
      <w:tr w:rsidR="00740A4C" w:rsidRPr="00802FB4" w14:paraId="1EB1954A" w14:textId="77777777" w:rsidTr="006D6807">
        <w:trPr>
          <w:jc w:val="center"/>
        </w:trPr>
        <w:tc>
          <w:tcPr>
            <w:tcW w:w="2193" w:type="dxa"/>
            <w:vAlign w:val="center"/>
          </w:tcPr>
          <w:p w14:paraId="42285EEB" w14:textId="77777777" w:rsidR="00740A4C" w:rsidRPr="00802FB4" w:rsidRDefault="00740A4C" w:rsidP="006D6807">
            <w:pPr>
              <w:rPr>
                <w:rFonts w:ascii="Arial" w:hAnsi="Arial" w:cs="Arial"/>
                <w:b/>
                <w:sz w:val="21"/>
                <w:szCs w:val="21"/>
              </w:rPr>
            </w:pPr>
            <w:r w:rsidRPr="00802FB4">
              <w:rPr>
                <w:rFonts w:ascii="Arial" w:hAnsi="Arial" w:cs="Arial"/>
                <w:b/>
                <w:sz w:val="21"/>
                <w:szCs w:val="21"/>
              </w:rPr>
              <w:t>Representante legal</w:t>
            </w:r>
          </w:p>
        </w:tc>
        <w:tc>
          <w:tcPr>
            <w:tcW w:w="7146" w:type="dxa"/>
            <w:gridSpan w:val="2"/>
            <w:vAlign w:val="center"/>
          </w:tcPr>
          <w:p w14:paraId="7CB6407B" w14:textId="77777777" w:rsidR="00740A4C" w:rsidRPr="00802FB4" w:rsidRDefault="00740A4C" w:rsidP="006D6807">
            <w:pPr>
              <w:jc w:val="both"/>
              <w:rPr>
                <w:rFonts w:ascii="Arial" w:hAnsi="Arial" w:cs="Arial"/>
                <w:sz w:val="21"/>
                <w:szCs w:val="21"/>
              </w:rPr>
            </w:pPr>
            <w:r w:rsidRPr="00802FB4">
              <w:rPr>
                <w:rFonts w:ascii="Arial" w:hAnsi="Arial" w:cs="Arial"/>
                <w:sz w:val="21"/>
                <w:szCs w:val="21"/>
                <w:lang w:val="es-CR"/>
              </w:rPr>
              <w:t>Mario Broutin Gutiérrez</w:t>
            </w:r>
            <w:r w:rsidRPr="00802FB4">
              <w:rPr>
                <w:rFonts w:ascii="Arial" w:hAnsi="Arial" w:cs="Arial"/>
                <w:sz w:val="21"/>
                <w:szCs w:val="21"/>
              </w:rPr>
              <w:t xml:space="preserve"> </w:t>
            </w:r>
          </w:p>
          <w:p w14:paraId="76D4981B" w14:textId="77777777" w:rsidR="00740A4C" w:rsidRPr="00802FB4" w:rsidRDefault="00740A4C" w:rsidP="006D6807">
            <w:pPr>
              <w:jc w:val="both"/>
              <w:rPr>
                <w:rFonts w:ascii="Arial" w:hAnsi="Arial" w:cs="Arial"/>
                <w:sz w:val="21"/>
                <w:szCs w:val="21"/>
              </w:rPr>
            </w:pPr>
            <w:r w:rsidRPr="00802FB4">
              <w:rPr>
                <w:rFonts w:ascii="Arial" w:hAnsi="Arial" w:cs="Arial"/>
                <w:sz w:val="21"/>
                <w:szCs w:val="21"/>
              </w:rPr>
              <w:t>Cristina Masís Cuevillas</w:t>
            </w:r>
          </w:p>
          <w:p w14:paraId="256F587F" w14:textId="77777777" w:rsidR="00740A4C" w:rsidRPr="00802FB4" w:rsidRDefault="00740A4C" w:rsidP="006D6807">
            <w:pPr>
              <w:jc w:val="both"/>
              <w:rPr>
                <w:rFonts w:ascii="Arial" w:hAnsi="Arial" w:cs="Arial"/>
                <w:sz w:val="21"/>
                <w:szCs w:val="21"/>
              </w:rPr>
            </w:pPr>
            <w:r w:rsidRPr="00802FB4">
              <w:rPr>
                <w:rFonts w:ascii="Arial" w:hAnsi="Arial" w:cs="Arial"/>
                <w:sz w:val="21"/>
                <w:szCs w:val="21"/>
              </w:rPr>
              <w:t>Antonio Pérez Mora</w:t>
            </w:r>
          </w:p>
          <w:p w14:paraId="54DC3387" w14:textId="61BCD273" w:rsidR="00CB2950" w:rsidRPr="00802FB4" w:rsidRDefault="005A44ED" w:rsidP="006D6807">
            <w:pPr>
              <w:jc w:val="both"/>
              <w:rPr>
                <w:rFonts w:ascii="Arial" w:hAnsi="Arial" w:cs="Arial"/>
                <w:sz w:val="21"/>
                <w:szCs w:val="21"/>
                <w:lang w:val="es-CR"/>
              </w:rPr>
            </w:pPr>
            <w:r w:rsidRPr="00802FB4">
              <w:rPr>
                <w:rFonts w:ascii="Arial" w:hAnsi="Arial" w:cs="Arial"/>
                <w:sz w:val="21"/>
                <w:szCs w:val="21"/>
                <w:lang w:val="es-CR"/>
              </w:rPr>
              <w:t>Joaquín Patiño Meza</w:t>
            </w:r>
          </w:p>
        </w:tc>
      </w:tr>
      <w:tr w:rsidR="00740A4C" w:rsidRPr="00802FB4" w14:paraId="5EC764F0" w14:textId="77777777" w:rsidTr="006D6807">
        <w:trPr>
          <w:trHeight w:val="343"/>
          <w:jc w:val="center"/>
        </w:trPr>
        <w:tc>
          <w:tcPr>
            <w:tcW w:w="9339" w:type="dxa"/>
            <w:gridSpan w:val="3"/>
            <w:vAlign w:val="center"/>
          </w:tcPr>
          <w:p w14:paraId="1DB90A28" w14:textId="77777777" w:rsidR="00740A4C" w:rsidRPr="00802FB4" w:rsidRDefault="00740A4C" w:rsidP="006D6807">
            <w:pPr>
              <w:spacing w:before="120" w:after="120"/>
              <w:jc w:val="center"/>
              <w:rPr>
                <w:rFonts w:ascii="Arial" w:hAnsi="Arial" w:cs="Arial"/>
                <w:b/>
                <w:sz w:val="21"/>
                <w:szCs w:val="21"/>
              </w:rPr>
            </w:pPr>
            <w:r w:rsidRPr="00802FB4">
              <w:rPr>
                <w:rFonts w:ascii="Arial" w:hAnsi="Arial" w:cs="Arial"/>
                <w:b/>
                <w:sz w:val="21"/>
                <w:szCs w:val="21"/>
              </w:rPr>
              <w:t>Estructura organizacional</w:t>
            </w:r>
          </w:p>
        </w:tc>
      </w:tr>
      <w:tr w:rsidR="00740A4C" w:rsidRPr="00802FB4" w14:paraId="28B83D77" w14:textId="77777777" w:rsidTr="00657A5D">
        <w:trPr>
          <w:trHeight w:val="449"/>
          <w:jc w:val="center"/>
        </w:trPr>
        <w:tc>
          <w:tcPr>
            <w:tcW w:w="2193" w:type="dxa"/>
            <w:vAlign w:val="center"/>
          </w:tcPr>
          <w:p w14:paraId="2278452C" w14:textId="77777777" w:rsidR="00740A4C" w:rsidRPr="00802FB4" w:rsidRDefault="00740A4C" w:rsidP="006D6807">
            <w:pPr>
              <w:rPr>
                <w:rFonts w:ascii="Arial" w:hAnsi="Arial" w:cs="Arial"/>
                <w:b/>
                <w:sz w:val="21"/>
                <w:szCs w:val="21"/>
              </w:rPr>
            </w:pPr>
            <w:r w:rsidRPr="00802FB4">
              <w:rPr>
                <w:rFonts w:ascii="Arial" w:hAnsi="Arial" w:cs="Arial"/>
                <w:b/>
                <w:sz w:val="21"/>
                <w:szCs w:val="21"/>
              </w:rPr>
              <w:t>Gerente General</w:t>
            </w:r>
          </w:p>
        </w:tc>
        <w:tc>
          <w:tcPr>
            <w:tcW w:w="7146" w:type="dxa"/>
            <w:gridSpan w:val="2"/>
            <w:vAlign w:val="center"/>
          </w:tcPr>
          <w:p w14:paraId="7B0277BB" w14:textId="77777777" w:rsidR="00740A4C" w:rsidRPr="00802FB4" w:rsidRDefault="00740A4C" w:rsidP="006D6807">
            <w:pPr>
              <w:rPr>
                <w:rFonts w:ascii="Arial" w:hAnsi="Arial" w:cs="Arial"/>
                <w:b/>
                <w:sz w:val="21"/>
                <w:szCs w:val="21"/>
              </w:rPr>
            </w:pPr>
            <w:r w:rsidRPr="00802FB4">
              <w:rPr>
                <w:rFonts w:ascii="Arial" w:hAnsi="Arial" w:cs="Arial"/>
                <w:sz w:val="21"/>
                <w:szCs w:val="21"/>
                <w:lang w:val="es-CR"/>
              </w:rPr>
              <w:t>Manuel Antonio Pérez Mora</w:t>
            </w:r>
          </w:p>
        </w:tc>
      </w:tr>
      <w:tr w:rsidR="007F08CF" w:rsidRPr="00802FB4" w14:paraId="40A5F899" w14:textId="77777777" w:rsidTr="00F71757">
        <w:trPr>
          <w:jc w:val="center"/>
        </w:trPr>
        <w:tc>
          <w:tcPr>
            <w:tcW w:w="2193" w:type="dxa"/>
            <w:vAlign w:val="center"/>
          </w:tcPr>
          <w:p w14:paraId="3F1AD3E0" w14:textId="77777777" w:rsidR="007F08CF" w:rsidRPr="00802FB4" w:rsidRDefault="007F08CF" w:rsidP="00F71757">
            <w:pPr>
              <w:rPr>
                <w:rFonts w:ascii="Arial" w:hAnsi="Arial" w:cs="Arial"/>
                <w:b/>
                <w:sz w:val="21"/>
                <w:szCs w:val="21"/>
              </w:rPr>
            </w:pPr>
          </w:p>
        </w:tc>
        <w:tc>
          <w:tcPr>
            <w:tcW w:w="5387" w:type="dxa"/>
            <w:vAlign w:val="center"/>
          </w:tcPr>
          <w:p w14:paraId="033F0375" w14:textId="77777777" w:rsidR="007F08CF" w:rsidRPr="00802FB4" w:rsidRDefault="007F08CF" w:rsidP="00F71757">
            <w:pPr>
              <w:jc w:val="center"/>
              <w:rPr>
                <w:rFonts w:ascii="Arial" w:hAnsi="Arial" w:cs="Arial"/>
                <w:b/>
                <w:sz w:val="21"/>
                <w:szCs w:val="21"/>
              </w:rPr>
            </w:pPr>
            <w:r w:rsidRPr="00802FB4">
              <w:rPr>
                <w:rFonts w:ascii="Arial" w:hAnsi="Arial" w:cs="Arial"/>
                <w:b/>
                <w:sz w:val="21"/>
                <w:szCs w:val="21"/>
              </w:rPr>
              <w:t>Nombre de cada miembro</w:t>
            </w:r>
          </w:p>
        </w:tc>
        <w:tc>
          <w:tcPr>
            <w:tcW w:w="1759" w:type="dxa"/>
            <w:vAlign w:val="center"/>
          </w:tcPr>
          <w:p w14:paraId="23745322" w14:textId="77777777" w:rsidR="007F08CF" w:rsidRPr="00802FB4" w:rsidRDefault="007F08CF" w:rsidP="00F71757">
            <w:pPr>
              <w:jc w:val="center"/>
              <w:rPr>
                <w:rFonts w:ascii="Arial" w:hAnsi="Arial" w:cs="Arial"/>
                <w:b/>
                <w:sz w:val="21"/>
                <w:szCs w:val="21"/>
              </w:rPr>
            </w:pPr>
            <w:r w:rsidRPr="00802FB4">
              <w:rPr>
                <w:rFonts w:ascii="Arial" w:hAnsi="Arial" w:cs="Arial"/>
                <w:b/>
                <w:sz w:val="21"/>
                <w:szCs w:val="21"/>
              </w:rPr>
              <w:t>Cargo</w:t>
            </w:r>
          </w:p>
        </w:tc>
      </w:tr>
      <w:tr w:rsidR="00646734" w:rsidRPr="00802FB4" w14:paraId="43E7CF70" w14:textId="77777777" w:rsidTr="00646734">
        <w:trPr>
          <w:trHeight w:val="223"/>
          <w:jc w:val="center"/>
        </w:trPr>
        <w:tc>
          <w:tcPr>
            <w:tcW w:w="2193" w:type="dxa"/>
            <w:vMerge w:val="restart"/>
            <w:vAlign w:val="center"/>
          </w:tcPr>
          <w:p w14:paraId="3A3EEDBC" w14:textId="5D5BC4A0" w:rsidR="00646734" w:rsidRPr="00802FB4" w:rsidRDefault="00646734" w:rsidP="004C65E2">
            <w:pPr>
              <w:rPr>
                <w:rFonts w:ascii="Arial" w:hAnsi="Arial" w:cs="Arial"/>
                <w:b/>
                <w:sz w:val="21"/>
                <w:szCs w:val="21"/>
              </w:rPr>
            </w:pPr>
            <w:r w:rsidRPr="00802FB4">
              <w:rPr>
                <w:rFonts w:ascii="Arial" w:hAnsi="Arial" w:cs="Arial"/>
                <w:b/>
                <w:sz w:val="21"/>
                <w:szCs w:val="21"/>
              </w:rPr>
              <w:t>Junta directiva</w:t>
            </w:r>
          </w:p>
        </w:tc>
        <w:tc>
          <w:tcPr>
            <w:tcW w:w="5387" w:type="dxa"/>
          </w:tcPr>
          <w:p w14:paraId="1B330B35" w14:textId="588186AA" w:rsidR="00646734" w:rsidRPr="00802FB4" w:rsidRDefault="00646734" w:rsidP="004C65E2">
            <w:pPr>
              <w:rPr>
                <w:rFonts w:ascii="Arial" w:hAnsi="Arial" w:cs="Arial"/>
                <w:sz w:val="21"/>
                <w:szCs w:val="21"/>
                <w:lang w:val="es-CR"/>
              </w:rPr>
            </w:pPr>
            <w:r w:rsidRPr="00802FB4">
              <w:rPr>
                <w:rFonts w:ascii="Arial" w:hAnsi="Arial" w:cs="Arial"/>
                <w:sz w:val="21"/>
                <w:szCs w:val="21"/>
                <w:lang w:val="es-CR"/>
              </w:rPr>
              <w:t>Mario Broutin Gutiérrez</w:t>
            </w:r>
          </w:p>
        </w:tc>
        <w:tc>
          <w:tcPr>
            <w:tcW w:w="1759" w:type="dxa"/>
          </w:tcPr>
          <w:p w14:paraId="1041B5CA" w14:textId="77777777" w:rsidR="00646734" w:rsidRPr="00802FB4" w:rsidRDefault="00646734" w:rsidP="004C65E2">
            <w:pPr>
              <w:jc w:val="both"/>
              <w:rPr>
                <w:rFonts w:ascii="Arial" w:hAnsi="Arial" w:cs="Arial"/>
                <w:sz w:val="21"/>
                <w:szCs w:val="21"/>
                <w:lang w:val="es-CR"/>
              </w:rPr>
            </w:pPr>
            <w:r w:rsidRPr="00802FB4">
              <w:rPr>
                <w:rFonts w:ascii="Arial" w:hAnsi="Arial" w:cs="Arial"/>
                <w:sz w:val="21"/>
                <w:szCs w:val="21"/>
                <w:lang w:val="es-CR"/>
              </w:rPr>
              <w:t>Presidente</w:t>
            </w:r>
          </w:p>
        </w:tc>
      </w:tr>
      <w:tr w:rsidR="00031DE6" w:rsidRPr="00802FB4" w14:paraId="195F5423" w14:textId="77777777" w:rsidTr="00646734">
        <w:trPr>
          <w:trHeight w:val="223"/>
          <w:jc w:val="center"/>
        </w:trPr>
        <w:tc>
          <w:tcPr>
            <w:tcW w:w="2193" w:type="dxa"/>
            <w:vMerge/>
            <w:vAlign w:val="center"/>
          </w:tcPr>
          <w:p w14:paraId="27E14290" w14:textId="77777777" w:rsidR="00031DE6" w:rsidRPr="00802FB4" w:rsidRDefault="00031DE6" w:rsidP="004C65E2">
            <w:pPr>
              <w:rPr>
                <w:rFonts w:ascii="Arial" w:hAnsi="Arial" w:cs="Arial"/>
                <w:b/>
                <w:sz w:val="21"/>
                <w:szCs w:val="21"/>
              </w:rPr>
            </w:pPr>
          </w:p>
        </w:tc>
        <w:tc>
          <w:tcPr>
            <w:tcW w:w="5387" w:type="dxa"/>
          </w:tcPr>
          <w:p w14:paraId="07C34623" w14:textId="4CA7B0B8" w:rsidR="00031DE6" w:rsidRPr="00802FB4" w:rsidRDefault="001A1595" w:rsidP="004C65E2">
            <w:pPr>
              <w:rPr>
                <w:rFonts w:ascii="Arial" w:hAnsi="Arial" w:cs="Arial"/>
                <w:sz w:val="21"/>
                <w:szCs w:val="21"/>
                <w:lang w:val="es-CR"/>
              </w:rPr>
            </w:pPr>
            <w:r w:rsidRPr="00802FB4">
              <w:rPr>
                <w:rFonts w:ascii="Arial" w:hAnsi="Arial" w:cs="Arial"/>
                <w:sz w:val="21"/>
                <w:szCs w:val="21"/>
                <w:lang w:val="es-CR"/>
              </w:rPr>
              <w:t>Irene Masís Cuevillas</w:t>
            </w:r>
          </w:p>
        </w:tc>
        <w:tc>
          <w:tcPr>
            <w:tcW w:w="1759" w:type="dxa"/>
          </w:tcPr>
          <w:p w14:paraId="69666C8D" w14:textId="5833740F" w:rsidR="00031DE6" w:rsidRPr="00802FB4" w:rsidRDefault="001A1595" w:rsidP="004C65E2">
            <w:pPr>
              <w:jc w:val="both"/>
              <w:rPr>
                <w:rFonts w:ascii="Arial" w:hAnsi="Arial" w:cs="Arial"/>
                <w:sz w:val="21"/>
                <w:szCs w:val="21"/>
                <w:lang w:val="es-CR"/>
              </w:rPr>
            </w:pPr>
            <w:r w:rsidRPr="00802FB4">
              <w:rPr>
                <w:rFonts w:ascii="Arial" w:hAnsi="Arial" w:cs="Arial"/>
                <w:sz w:val="21"/>
                <w:szCs w:val="21"/>
                <w:lang w:val="es-CR"/>
              </w:rPr>
              <w:t>Vicepresidenta</w:t>
            </w:r>
          </w:p>
        </w:tc>
      </w:tr>
      <w:tr w:rsidR="007F08CF" w:rsidRPr="00802FB4" w14:paraId="5196CD8F" w14:textId="77777777" w:rsidTr="00F71757">
        <w:trPr>
          <w:jc w:val="center"/>
        </w:trPr>
        <w:tc>
          <w:tcPr>
            <w:tcW w:w="2193" w:type="dxa"/>
            <w:vMerge/>
            <w:vAlign w:val="center"/>
          </w:tcPr>
          <w:p w14:paraId="09F3DABC" w14:textId="77777777" w:rsidR="007F08CF" w:rsidRPr="00802FB4" w:rsidRDefault="007F08CF" w:rsidP="00F71757">
            <w:pPr>
              <w:rPr>
                <w:rFonts w:ascii="Arial" w:hAnsi="Arial" w:cs="Arial"/>
                <w:b/>
                <w:sz w:val="21"/>
                <w:szCs w:val="21"/>
              </w:rPr>
            </w:pPr>
          </w:p>
        </w:tc>
        <w:tc>
          <w:tcPr>
            <w:tcW w:w="5387" w:type="dxa"/>
          </w:tcPr>
          <w:p w14:paraId="6B1B1B36" w14:textId="77777777" w:rsidR="007F08CF" w:rsidRPr="00802FB4" w:rsidRDefault="007F08CF" w:rsidP="00F71757">
            <w:pPr>
              <w:rPr>
                <w:rFonts w:ascii="Arial" w:hAnsi="Arial" w:cs="Arial"/>
                <w:sz w:val="21"/>
                <w:szCs w:val="21"/>
                <w:lang w:val="es-CR"/>
              </w:rPr>
            </w:pPr>
            <w:r w:rsidRPr="00802FB4">
              <w:rPr>
                <w:rFonts w:ascii="Arial" w:hAnsi="Arial" w:cs="Arial"/>
                <w:sz w:val="21"/>
                <w:szCs w:val="21"/>
                <w:lang w:val="es-CR"/>
              </w:rPr>
              <w:t>Carlos Mora de la Orden</w:t>
            </w:r>
          </w:p>
        </w:tc>
        <w:tc>
          <w:tcPr>
            <w:tcW w:w="1759" w:type="dxa"/>
          </w:tcPr>
          <w:p w14:paraId="09EFDA4F" w14:textId="77777777" w:rsidR="007F08CF" w:rsidRPr="00802FB4" w:rsidRDefault="007F08CF" w:rsidP="00F71757">
            <w:pPr>
              <w:jc w:val="both"/>
              <w:rPr>
                <w:rFonts w:ascii="Arial" w:hAnsi="Arial" w:cs="Arial"/>
                <w:sz w:val="21"/>
                <w:szCs w:val="21"/>
                <w:lang w:val="es-CR"/>
              </w:rPr>
            </w:pPr>
            <w:r w:rsidRPr="00802FB4">
              <w:rPr>
                <w:rFonts w:ascii="Arial" w:hAnsi="Arial" w:cs="Arial"/>
                <w:sz w:val="21"/>
                <w:szCs w:val="21"/>
                <w:lang w:val="es-CR"/>
              </w:rPr>
              <w:t>Secretario</w:t>
            </w:r>
          </w:p>
        </w:tc>
      </w:tr>
      <w:tr w:rsidR="00536B96" w:rsidRPr="00802FB4" w14:paraId="4793A648" w14:textId="77777777" w:rsidTr="00474CB6">
        <w:trPr>
          <w:jc w:val="center"/>
        </w:trPr>
        <w:tc>
          <w:tcPr>
            <w:tcW w:w="2193" w:type="dxa"/>
            <w:vMerge/>
            <w:vAlign w:val="center"/>
          </w:tcPr>
          <w:p w14:paraId="0413C8B7" w14:textId="77777777" w:rsidR="00536B96" w:rsidRPr="00802FB4" w:rsidRDefault="00536B96" w:rsidP="00536B96">
            <w:pPr>
              <w:rPr>
                <w:rFonts w:ascii="Arial" w:hAnsi="Arial" w:cs="Arial"/>
                <w:b/>
                <w:sz w:val="21"/>
                <w:szCs w:val="21"/>
              </w:rPr>
            </w:pPr>
          </w:p>
        </w:tc>
        <w:tc>
          <w:tcPr>
            <w:tcW w:w="5387" w:type="dxa"/>
          </w:tcPr>
          <w:p w14:paraId="0607C064" w14:textId="5EDADE62" w:rsidR="00536B96" w:rsidRPr="00802FB4" w:rsidRDefault="00536B96" w:rsidP="00536B96">
            <w:pPr>
              <w:rPr>
                <w:rFonts w:ascii="Arial" w:hAnsi="Arial" w:cs="Arial"/>
                <w:sz w:val="21"/>
                <w:szCs w:val="21"/>
                <w:lang w:val="es-CR"/>
              </w:rPr>
            </w:pPr>
            <w:r w:rsidRPr="00802FB4">
              <w:rPr>
                <w:rFonts w:ascii="Arial" w:hAnsi="Arial" w:cs="Arial"/>
                <w:sz w:val="21"/>
                <w:szCs w:val="21"/>
                <w:lang w:val="es-CR"/>
              </w:rPr>
              <w:t>Pablo Elías Vargas Morales</w:t>
            </w:r>
          </w:p>
        </w:tc>
        <w:tc>
          <w:tcPr>
            <w:tcW w:w="1759" w:type="dxa"/>
            <w:vAlign w:val="center"/>
          </w:tcPr>
          <w:p w14:paraId="726C80BC" w14:textId="0D923284" w:rsidR="00536B96" w:rsidRPr="00802FB4" w:rsidRDefault="00536B96" w:rsidP="00536B96">
            <w:pPr>
              <w:jc w:val="both"/>
              <w:rPr>
                <w:rFonts w:ascii="Arial" w:hAnsi="Arial" w:cs="Arial"/>
                <w:sz w:val="21"/>
                <w:szCs w:val="21"/>
                <w:lang w:val="es-CR"/>
              </w:rPr>
            </w:pPr>
            <w:r w:rsidRPr="00802FB4">
              <w:rPr>
                <w:rFonts w:ascii="Arial" w:hAnsi="Arial" w:cs="Arial"/>
                <w:sz w:val="21"/>
                <w:szCs w:val="21"/>
                <w:lang w:val="es-CR"/>
              </w:rPr>
              <w:t>Tesorero</w:t>
            </w:r>
          </w:p>
        </w:tc>
      </w:tr>
      <w:tr w:rsidR="00536B96" w:rsidRPr="00802FB4" w14:paraId="37FD380B" w14:textId="77777777" w:rsidTr="00F71757">
        <w:trPr>
          <w:jc w:val="center"/>
        </w:trPr>
        <w:tc>
          <w:tcPr>
            <w:tcW w:w="2193" w:type="dxa"/>
            <w:vMerge/>
            <w:vAlign w:val="center"/>
          </w:tcPr>
          <w:p w14:paraId="2158BE05" w14:textId="77777777" w:rsidR="00536B96" w:rsidRPr="00802FB4" w:rsidRDefault="00536B96" w:rsidP="00536B96">
            <w:pPr>
              <w:rPr>
                <w:rFonts w:ascii="Arial" w:hAnsi="Arial" w:cs="Arial"/>
                <w:b/>
                <w:sz w:val="21"/>
                <w:szCs w:val="21"/>
              </w:rPr>
            </w:pPr>
          </w:p>
        </w:tc>
        <w:tc>
          <w:tcPr>
            <w:tcW w:w="5387" w:type="dxa"/>
          </w:tcPr>
          <w:p w14:paraId="647E7BD6" w14:textId="48F84EE5" w:rsidR="00536B96" w:rsidRPr="00802FB4" w:rsidRDefault="001A1595" w:rsidP="00536B96">
            <w:pPr>
              <w:rPr>
                <w:rFonts w:ascii="Arial" w:hAnsi="Arial" w:cs="Arial"/>
                <w:sz w:val="21"/>
                <w:szCs w:val="21"/>
                <w:lang w:val="es-CR"/>
              </w:rPr>
            </w:pPr>
            <w:r w:rsidRPr="00802FB4">
              <w:rPr>
                <w:rFonts w:ascii="Arial" w:hAnsi="Arial" w:cs="Arial"/>
                <w:sz w:val="21"/>
                <w:szCs w:val="21"/>
                <w:lang w:val="es-CR"/>
              </w:rPr>
              <w:t>Ileana Salas Alvarado</w:t>
            </w:r>
          </w:p>
        </w:tc>
        <w:tc>
          <w:tcPr>
            <w:tcW w:w="1759" w:type="dxa"/>
          </w:tcPr>
          <w:p w14:paraId="6361BF85" w14:textId="77777777" w:rsidR="00536B96" w:rsidRPr="00802FB4" w:rsidRDefault="00536B96" w:rsidP="00536B96">
            <w:pPr>
              <w:jc w:val="both"/>
              <w:rPr>
                <w:rFonts w:ascii="Arial" w:hAnsi="Arial" w:cs="Arial"/>
                <w:sz w:val="21"/>
                <w:szCs w:val="21"/>
                <w:lang w:val="es-CR"/>
              </w:rPr>
            </w:pPr>
            <w:r w:rsidRPr="00802FB4">
              <w:rPr>
                <w:rFonts w:ascii="Arial" w:hAnsi="Arial" w:cs="Arial"/>
                <w:sz w:val="21"/>
                <w:szCs w:val="21"/>
                <w:lang w:val="es-CR"/>
              </w:rPr>
              <w:t>Vocal</w:t>
            </w:r>
          </w:p>
        </w:tc>
      </w:tr>
      <w:tr w:rsidR="00BF12DE" w:rsidRPr="00802FB4" w14:paraId="4C98FDD2" w14:textId="77777777" w:rsidTr="00F71757">
        <w:trPr>
          <w:jc w:val="center"/>
        </w:trPr>
        <w:tc>
          <w:tcPr>
            <w:tcW w:w="2193" w:type="dxa"/>
            <w:vMerge/>
            <w:vAlign w:val="center"/>
          </w:tcPr>
          <w:p w14:paraId="5BA5F3F2" w14:textId="77777777" w:rsidR="00BF12DE" w:rsidRPr="00802FB4" w:rsidRDefault="00BF12DE" w:rsidP="00536B96">
            <w:pPr>
              <w:rPr>
                <w:rFonts w:ascii="Arial" w:hAnsi="Arial" w:cs="Arial"/>
                <w:b/>
                <w:sz w:val="21"/>
                <w:szCs w:val="21"/>
              </w:rPr>
            </w:pPr>
          </w:p>
        </w:tc>
        <w:tc>
          <w:tcPr>
            <w:tcW w:w="5387" w:type="dxa"/>
          </w:tcPr>
          <w:p w14:paraId="088C6CB3" w14:textId="1C3E990D" w:rsidR="00BF12DE" w:rsidRPr="00802FB4" w:rsidRDefault="00646C2C" w:rsidP="00536B96">
            <w:pPr>
              <w:rPr>
                <w:rFonts w:ascii="Arial" w:hAnsi="Arial" w:cs="Arial"/>
                <w:sz w:val="21"/>
                <w:szCs w:val="21"/>
                <w:lang w:val="es-CR"/>
              </w:rPr>
            </w:pPr>
            <w:r w:rsidRPr="00802FB4">
              <w:rPr>
                <w:rFonts w:ascii="Arial" w:hAnsi="Arial" w:cs="Arial"/>
                <w:sz w:val="21"/>
                <w:szCs w:val="21"/>
                <w:lang w:val="es-CR"/>
              </w:rPr>
              <w:t>Víctor Umaña Vargas</w:t>
            </w:r>
          </w:p>
        </w:tc>
        <w:tc>
          <w:tcPr>
            <w:tcW w:w="1759" w:type="dxa"/>
          </w:tcPr>
          <w:p w14:paraId="0E32C414" w14:textId="799A7E87" w:rsidR="00BF12DE" w:rsidRPr="00802FB4" w:rsidRDefault="00BF12DE" w:rsidP="00536B96">
            <w:pPr>
              <w:jc w:val="both"/>
              <w:rPr>
                <w:rFonts w:ascii="Arial" w:hAnsi="Arial" w:cs="Arial"/>
                <w:sz w:val="21"/>
                <w:szCs w:val="21"/>
                <w:lang w:val="es-CR"/>
              </w:rPr>
            </w:pPr>
            <w:r w:rsidRPr="00802FB4">
              <w:rPr>
                <w:rFonts w:ascii="Arial" w:hAnsi="Arial" w:cs="Arial"/>
                <w:sz w:val="21"/>
                <w:szCs w:val="21"/>
                <w:lang w:val="es-CR"/>
              </w:rPr>
              <w:t>Vocal</w:t>
            </w:r>
          </w:p>
        </w:tc>
      </w:tr>
      <w:tr w:rsidR="00536B96" w:rsidRPr="00802FB4" w14:paraId="5F7255D2" w14:textId="77777777" w:rsidTr="00F71757">
        <w:trPr>
          <w:jc w:val="center"/>
        </w:trPr>
        <w:tc>
          <w:tcPr>
            <w:tcW w:w="2193" w:type="dxa"/>
            <w:vMerge/>
            <w:vAlign w:val="center"/>
          </w:tcPr>
          <w:p w14:paraId="085BD8F6" w14:textId="77777777" w:rsidR="00536B96" w:rsidRPr="00802FB4" w:rsidRDefault="00536B96" w:rsidP="00536B96">
            <w:pPr>
              <w:rPr>
                <w:rFonts w:ascii="Arial" w:hAnsi="Arial" w:cs="Arial"/>
                <w:b/>
                <w:sz w:val="21"/>
                <w:szCs w:val="21"/>
              </w:rPr>
            </w:pPr>
          </w:p>
        </w:tc>
        <w:tc>
          <w:tcPr>
            <w:tcW w:w="5387" w:type="dxa"/>
          </w:tcPr>
          <w:p w14:paraId="469F1C79" w14:textId="77777777" w:rsidR="00536B96" w:rsidRPr="00802FB4" w:rsidRDefault="00536B96" w:rsidP="00536B96">
            <w:pPr>
              <w:rPr>
                <w:rFonts w:ascii="Arial" w:hAnsi="Arial" w:cs="Arial"/>
                <w:sz w:val="21"/>
                <w:szCs w:val="21"/>
                <w:lang w:val="es-CR"/>
              </w:rPr>
            </w:pPr>
            <w:r w:rsidRPr="00802FB4">
              <w:rPr>
                <w:rFonts w:ascii="Arial" w:hAnsi="Arial" w:cs="Arial"/>
                <w:sz w:val="21"/>
                <w:szCs w:val="21"/>
                <w:lang w:val="es-CR"/>
              </w:rPr>
              <w:t>Juan Rafael Campos Monge</w:t>
            </w:r>
          </w:p>
        </w:tc>
        <w:tc>
          <w:tcPr>
            <w:tcW w:w="1759" w:type="dxa"/>
          </w:tcPr>
          <w:p w14:paraId="61143641" w14:textId="77777777" w:rsidR="00536B96" w:rsidRPr="00802FB4" w:rsidRDefault="00536B96" w:rsidP="00536B96">
            <w:pPr>
              <w:jc w:val="both"/>
              <w:rPr>
                <w:rFonts w:ascii="Arial" w:hAnsi="Arial" w:cs="Arial"/>
                <w:sz w:val="21"/>
                <w:szCs w:val="21"/>
                <w:lang w:val="es-CR"/>
              </w:rPr>
            </w:pPr>
            <w:r w:rsidRPr="00802FB4">
              <w:rPr>
                <w:rFonts w:ascii="Arial" w:hAnsi="Arial" w:cs="Arial"/>
                <w:sz w:val="21"/>
                <w:szCs w:val="21"/>
                <w:lang w:val="es-CR"/>
              </w:rPr>
              <w:t>Fiscal</w:t>
            </w:r>
          </w:p>
        </w:tc>
      </w:tr>
      <w:tr w:rsidR="00FF6563" w:rsidRPr="00802FB4" w14:paraId="4FF7DF2A" w14:textId="77777777" w:rsidTr="007F793E">
        <w:trPr>
          <w:jc w:val="center"/>
        </w:trPr>
        <w:tc>
          <w:tcPr>
            <w:tcW w:w="2193" w:type="dxa"/>
            <w:vMerge w:val="restart"/>
            <w:vAlign w:val="center"/>
          </w:tcPr>
          <w:p w14:paraId="4747C835" w14:textId="1278439B" w:rsidR="00FF6563" w:rsidRPr="00802FB4" w:rsidRDefault="00FF6563" w:rsidP="00FF6563">
            <w:pPr>
              <w:rPr>
                <w:rFonts w:ascii="Arial" w:hAnsi="Arial" w:cs="Arial"/>
                <w:b/>
                <w:sz w:val="21"/>
                <w:szCs w:val="21"/>
              </w:rPr>
            </w:pPr>
            <w:r w:rsidRPr="00802FB4">
              <w:rPr>
                <w:rFonts w:ascii="Arial" w:hAnsi="Arial" w:cs="Arial"/>
                <w:b/>
                <w:sz w:val="21"/>
                <w:szCs w:val="21"/>
              </w:rPr>
              <w:t>Comité de inversión</w:t>
            </w:r>
          </w:p>
        </w:tc>
        <w:tc>
          <w:tcPr>
            <w:tcW w:w="5387" w:type="dxa"/>
            <w:tcBorders>
              <w:bottom w:val="single" w:sz="4" w:space="0" w:color="auto"/>
            </w:tcBorders>
          </w:tcPr>
          <w:p w14:paraId="348D20C3" w14:textId="77777777" w:rsidR="00FF6563" w:rsidRPr="00802FB4" w:rsidRDefault="00FF6563" w:rsidP="00FF6563">
            <w:pPr>
              <w:jc w:val="both"/>
              <w:rPr>
                <w:rFonts w:ascii="Arial" w:hAnsi="Arial" w:cs="Arial"/>
                <w:sz w:val="21"/>
                <w:szCs w:val="21"/>
                <w:lang w:val="es-CR"/>
              </w:rPr>
            </w:pPr>
            <w:r w:rsidRPr="00802FB4">
              <w:rPr>
                <w:rFonts w:ascii="Arial" w:hAnsi="Arial" w:cs="Arial"/>
                <w:b/>
                <w:sz w:val="21"/>
                <w:szCs w:val="21"/>
                <w:lang w:val="es-CR"/>
              </w:rPr>
              <w:t>Pablo Vargas Morales</w:t>
            </w:r>
          </w:p>
          <w:p w14:paraId="27D885FA" w14:textId="252E98D5" w:rsidR="00FF6563" w:rsidRPr="00802FB4" w:rsidRDefault="00FF6563" w:rsidP="00301447">
            <w:pPr>
              <w:jc w:val="both"/>
              <w:rPr>
                <w:rFonts w:ascii="Arial" w:hAnsi="Arial" w:cs="Arial"/>
                <w:b/>
                <w:sz w:val="21"/>
                <w:szCs w:val="21"/>
                <w:lang w:val="es-CR"/>
              </w:rPr>
            </w:pPr>
            <w:r w:rsidRPr="00802FB4">
              <w:rPr>
                <w:rFonts w:ascii="Arial" w:hAnsi="Arial" w:cs="Arial"/>
                <w:sz w:val="21"/>
                <w:szCs w:val="21"/>
                <w:lang w:val="es-CR"/>
              </w:rPr>
              <w:t>Cuenta con más de 20 años de experiencia como ejecutivo y líder gerencial. Actualmente ejerce como Presidente Ejecutivo de Grupo Britt y fue CEO de esta empresa durante 18 años. Fue profesor en la Universidad de Costa Rica (UCR), el Instituto Tecnológico de Monterrey (ITESM) y la Universidad de Thunderbird. Cuenta con una maestría y licenciatura en Economía Agrícola de Michigan State University. Fue becario de Fulbright y su disertación fue declarada Tesis del Año en Economía Agrícola por Michigan State University.</w:t>
            </w:r>
          </w:p>
        </w:tc>
        <w:tc>
          <w:tcPr>
            <w:tcW w:w="1759" w:type="dxa"/>
            <w:vAlign w:val="center"/>
          </w:tcPr>
          <w:p w14:paraId="389890CD" w14:textId="07A9DB81" w:rsidR="00FF6563" w:rsidRPr="00802FB4" w:rsidRDefault="00FF6563" w:rsidP="00FF6563">
            <w:pPr>
              <w:jc w:val="center"/>
              <w:rPr>
                <w:rFonts w:ascii="Arial" w:hAnsi="Arial" w:cs="Arial"/>
                <w:sz w:val="21"/>
                <w:szCs w:val="21"/>
                <w:lang w:val="es-CR"/>
              </w:rPr>
            </w:pPr>
            <w:r w:rsidRPr="00802FB4">
              <w:rPr>
                <w:rFonts w:ascii="Arial" w:hAnsi="Arial" w:cs="Arial"/>
                <w:sz w:val="21"/>
                <w:szCs w:val="21"/>
                <w:lang w:val="es-CR"/>
              </w:rPr>
              <w:t>Miembro de Junta Directiva</w:t>
            </w:r>
          </w:p>
        </w:tc>
      </w:tr>
      <w:tr w:rsidR="00FF6563" w:rsidRPr="00802FB4" w14:paraId="09C5A059" w14:textId="77777777" w:rsidTr="007F793E">
        <w:trPr>
          <w:jc w:val="center"/>
        </w:trPr>
        <w:tc>
          <w:tcPr>
            <w:tcW w:w="2193" w:type="dxa"/>
            <w:vMerge/>
            <w:vAlign w:val="center"/>
          </w:tcPr>
          <w:p w14:paraId="31B3A33F" w14:textId="5CC87D35" w:rsidR="00FF6563" w:rsidRPr="00802FB4" w:rsidRDefault="00FF6563" w:rsidP="00FF6563">
            <w:pPr>
              <w:rPr>
                <w:rFonts w:ascii="Arial" w:hAnsi="Arial" w:cs="Arial"/>
                <w:b/>
                <w:sz w:val="21"/>
                <w:szCs w:val="21"/>
              </w:rPr>
            </w:pPr>
          </w:p>
        </w:tc>
        <w:tc>
          <w:tcPr>
            <w:tcW w:w="5387" w:type="dxa"/>
            <w:tcBorders>
              <w:bottom w:val="single" w:sz="4" w:space="0" w:color="auto"/>
            </w:tcBorders>
          </w:tcPr>
          <w:p w14:paraId="538A7476" w14:textId="77777777" w:rsidR="00FF6563" w:rsidRPr="00802FB4" w:rsidRDefault="00FF6563" w:rsidP="00FF6563">
            <w:pPr>
              <w:rPr>
                <w:rFonts w:ascii="Arial" w:hAnsi="Arial" w:cs="Arial"/>
                <w:b/>
                <w:sz w:val="21"/>
                <w:szCs w:val="21"/>
                <w:lang w:val="es-CR"/>
              </w:rPr>
            </w:pPr>
            <w:r w:rsidRPr="00802FB4">
              <w:rPr>
                <w:rFonts w:ascii="Arial" w:hAnsi="Arial" w:cs="Arial"/>
                <w:b/>
                <w:sz w:val="21"/>
                <w:szCs w:val="21"/>
                <w:lang w:val="es-CR"/>
              </w:rPr>
              <w:t>Manuel Antonio Pérez Mora</w:t>
            </w:r>
          </w:p>
          <w:p w14:paraId="01A2C523" w14:textId="220DCC59" w:rsidR="00FF6563" w:rsidRPr="00802FB4" w:rsidRDefault="00FF6563" w:rsidP="00FF6563">
            <w:pPr>
              <w:jc w:val="both"/>
              <w:rPr>
                <w:rFonts w:ascii="Arial" w:hAnsi="Arial" w:cs="Arial"/>
                <w:sz w:val="21"/>
                <w:szCs w:val="21"/>
                <w:lang w:val="es-CR"/>
              </w:rPr>
            </w:pPr>
            <w:r w:rsidRPr="00802FB4">
              <w:rPr>
                <w:rFonts w:ascii="Arial" w:hAnsi="Arial" w:cs="Arial"/>
                <w:sz w:val="21"/>
                <w:szCs w:val="21"/>
                <w:lang w:val="es-CR"/>
              </w:rPr>
              <w:t xml:space="preserve">Máster en Administración de Empresas, graduado con honores de la Universidad de Costa Rica.  Egresado de Maestría en Banca y Finanzas de la Universidad de Costa Rica. Es Licenciado en Administración de Negocios con énfasis en Finanzas de la Universidad Autónoma de Centroamérica (UACA). Es Agente Corredor Autorizado de la Bolsa Nacional de Valores. Además, ha cumplido con los cursos de la Bolsa Nacional de Valores para participar en los Mercados Internacionales. Tiene más de veinte años de laborar para la empresa. Se ha desempeñado como Corredor de Bolsa y como Administrador de Carteras, fue el director del Departamento de Operaciones de Administración Bursátil de Mercado de Valores de Costa Rica, Puesto de Bolsa S.A. Es miembro de la Junta Directiva de la Cámara Nacional de Sociedades de Fondos de Inversión (CNSFI). De 1993 a 1998 se </w:t>
            </w:r>
            <w:r w:rsidRPr="00802FB4">
              <w:rPr>
                <w:rFonts w:ascii="Arial" w:hAnsi="Arial" w:cs="Arial"/>
                <w:sz w:val="21"/>
                <w:szCs w:val="21"/>
                <w:lang w:val="es-CR"/>
              </w:rPr>
              <w:lastRenderedPageBreak/>
              <w:t>desempeñó como presidente de la Junta Directiva de la Asociación de Corredores de Bolsa (ACAB). Ha laborado como profesor de valuación de activos financieros para los cursos de formación de corredores en la Bolsa Nacional de Valores, Cambolsa, Fundepos e Indecab. Ha sido profesor de cursos del área de Finanzas en la UCR y el Instituto Tecnológico de Costa Rica. Posee amplia experiencia en el sistema bursátil costarricense.</w:t>
            </w:r>
          </w:p>
        </w:tc>
        <w:tc>
          <w:tcPr>
            <w:tcW w:w="1759" w:type="dxa"/>
            <w:vAlign w:val="center"/>
          </w:tcPr>
          <w:p w14:paraId="5C718344" w14:textId="77777777" w:rsidR="00FF6563" w:rsidRPr="00802FB4" w:rsidRDefault="00FF6563" w:rsidP="00FF6563">
            <w:pPr>
              <w:jc w:val="center"/>
              <w:rPr>
                <w:rFonts w:ascii="Arial" w:hAnsi="Arial" w:cs="Arial"/>
                <w:sz w:val="21"/>
                <w:szCs w:val="21"/>
                <w:lang w:val="es-CR"/>
              </w:rPr>
            </w:pPr>
            <w:r w:rsidRPr="00802FB4">
              <w:rPr>
                <w:rFonts w:ascii="Arial" w:hAnsi="Arial" w:cs="Arial"/>
                <w:sz w:val="21"/>
                <w:szCs w:val="21"/>
                <w:lang w:val="es-CR"/>
              </w:rPr>
              <w:lastRenderedPageBreak/>
              <w:t>Gerente General</w:t>
            </w:r>
          </w:p>
        </w:tc>
      </w:tr>
      <w:tr w:rsidR="00FF6563" w:rsidRPr="00802FB4" w14:paraId="193E3A61" w14:textId="77777777" w:rsidTr="00A824DF">
        <w:trPr>
          <w:jc w:val="center"/>
        </w:trPr>
        <w:tc>
          <w:tcPr>
            <w:tcW w:w="2193" w:type="dxa"/>
            <w:vMerge/>
            <w:vAlign w:val="center"/>
          </w:tcPr>
          <w:p w14:paraId="4273061A" w14:textId="77777777" w:rsidR="00FF6563" w:rsidRPr="00802FB4" w:rsidRDefault="00FF6563" w:rsidP="00FF6563">
            <w:pPr>
              <w:rPr>
                <w:rFonts w:ascii="Arial" w:hAnsi="Arial" w:cs="Arial"/>
                <w:b/>
                <w:sz w:val="21"/>
                <w:szCs w:val="21"/>
              </w:rPr>
            </w:pPr>
          </w:p>
        </w:tc>
        <w:tc>
          <w:tcPr>
            <w:tcW w:w="5387" w:type="dxa"/>
          </w:tcPr>
          <w:p w14:paraId="67423CDB" w14:textId="60C18F18" w:rsidR="001F1B4C" w:rsidRPr="00802FB4" w:rsidRDefault="001F1B4C" w:rsidP="00D13781">
            <w:pPr>
              <w:pStyle w:val="Sangra2detindependiente"/>
              <w:spacing w:after="0" w:line="240" w:lineRule="auto"/>
              <w:ind w:left="0"/>
              <w:jc w:val="both"/>
              <w:rPr>
                <w:rFonts w:ascii="Arial" w:hAnsi="Arial" w:cs="Arial"/>
                <w:sz w:val="21"/>
                <w:szCs w:val="21"/>
                <w:lang w:val="es-CR"/>
              </w:rPr>
            </w:pPr>
            <w:r w:rsidRPr="00802FB4">
              <w:rPr>
                <w:rFonts w:ascii="Arial" w:hAnsi="Arial" w:cs="Arial"/>
                <w:b/>
                <w:sz w:val="21"/>
                <w:szCs w:val="21"/>
              </w:rPr>
              <w:t>Mauricio Adolfo Castro Hernández</w:t>
            </w:r>
          </w:p>
          <w:p w14:paraId="7F644E41" w14:textId="7325822F" w:rsidR="001F1B4C" w:rsidRPr="00802FB4" w:rsidRDefault="001F1B4C" w:rsidP="001F1B4C">
            <w:pPr>
              <w:pStyle w:val="Sangra2detindependiente"/>
              <w:spacing w:after="0" w:line="240" w:lineRule="auto"/>
              <w:ind w:left="0"/>
              <w:jc w:val="both"/>
              <w:rPr>
                <w:rFonts w:ascii="Arial" w:hAnsi="Arial" w:cs="Arial"/>
                <w:sz w:val="21"/>
                <w:szCs w:val="21"/>
                <w:lang w:val="es-CR"/>
              </w:rPr>
            </w:pPr>
            <w:r w:rsidRPr="00802FB4">
              <w:rPr>
                <w:rFonts w:ascii="Arial" w:hAnsi="Arial" w:cs="Arial"/>
                <w:sz w:val="21"/>
                <w:szCs w:val="21"/>
              </w:rPr>
              <w:t>Ingeniero civil, Máster en Administración de Negocios. Con más de 30 años de experiencia en administración de Proyectos de construcción en Centros Comerciales en Panamá, Costa Rica, Nicaragua, Honduras, entre otros y edificios corporativos de oficinas en Escazú, San José Costa Rica, experiencia como gerente general en Grupo Roble Costa Rica y Honduras.</w:t>
            </w:r>
          </w:p>
        </w:tc>
        <w:tc>
          <w:tcPr>
            <w:tcW w:w="1759" w:type="dxa"/>
            <w:vAlign w:val="center"/>
          </w:tcPr>
          <w:p w14:paraId="461B1D42" w14:textId="3EBF41BF" w:rsidR="00FF6563" w:rsidRPr="00802FB4" w:rsidRDefault="00FF6563" w:rsidP="00FF6563">
            <w:pPr>
              <w:jc w:val="center"/>
              <w:rPr>
                <w:rFonts w:ascii="Arial" w:hAnsi="Arial" w:cs="Arial"/>
                <w:sz w:val="21"/>
                <w:szCs w:val="21"/>
                <w:lang w:val="es-CR"/>
              </w:rPr>
            </w:pPr>
            <w:r w:rsidRPr="00802FB4">
              <w:rPr>
                <w:rFonts w:ascii="Arial" w:hAnsi="Arial" w:cs="Arial"/>
                <w:sz w:val="21"/>
                <w:szCs w:val="21"/>
              </w:rPr>
              <w:t>Miembro Independiente</w:t>
            </w:r>
          </w:p>
        </w:tc>
      </w:tr>
    </w:tbl>
    <w:p w14:paraId="03526712" w14:textId="77777777" w:rsidR="00A16C94" w:rsidRPr="00802FB4" w:rsidRDefault="00A16C94">
      <w:pPr>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405"/>
      </w:tblGrid>
      <w:tr w:rsidR="008C5E1B" w:rsidRPr="00802FB4" w14:paraId="027EE408" w14:textId="77777777" w:rsidTr="00753FD7">
        <w:trPr>
          <w:trHeight w:val="489"/>
          <w:jc w:val="center"/>
        </w:trPr>
        <w:tc>
          <w:tcPr>
            <w:tcW w:w="0" w:type="auto"/>
            <w:gridSpan w:val="2"/>
            <w:tcBorders>
              <w:bottom w:val="single" w:sz="4" w:space="0" w:color="auto"/>
            </w:tcBorders>
            <w:vAlign w:val="center"/>
          </w:tcPr>
          <w:p w14:paraId="0B48CA20" w14:textId="77777777" w:rsidR="008C5E1B" w:rsidRPr="00802FB4" w:rsidRDefault="004B6A7A" w:rsidP="00D83795">
            <w:pPr>
              <w:spacing w:before="120" w:after="120"/>
              <w:jc w:val="center"/>
              <w:rPr>
                <w:rFonts w:ascii="Arial" w:hAnsi="Arial" w:cs="Arial"/>
                <w:b/>
                <w:sz w:val="21"/>
                <w:szCs w:val="21"/>
              </w:rPr>
            </w:pPr>
            <w:r w:rsidRPr="00802FB4">
              <w:rPr>
                <w:rFonts w:ascii="Arial" w:hAnsi="Arial" w:cs="Arial"/>
                <w:sz w:val="21"/>
                <w:szCs w:val="21"/>
              </w:rPr>
              <w:br w:type="page"/>
            </w:r>
            <w:r w:rsidR="008C5E1B" w:rsidRPr="00802FB4">
              <w:rPr>
                <w:rFonts w:ascii="Arial" w:hAnsi="Arial" w:cs="Arial"/>
                <w:b/>
                <w:sz w:val="21"/>
                <w:szCs w:val="21"/>
              </w:rPr>
              <w:t>Otras compañías o profesionales que prestan servicios al fondo</w:t>
            </w:r>
          </w:p>
        </w:tc>
      </w:tr>
      <w:tr w:rsidR="00307CE9" w:rsidRPr="00802FB4" w14:paraId="743A6F39" w14:textId="77777777" w:rsidTr="00753FD7">
        <w:trPr>
          <w:trHeight w:val="440"/>
          <w:jc w:val="center"/>
        </w:trPr>
        <w:tc>
          <w:tcPr>
            <w:tcW w:w="0" w:type="auto"/>
            <w:vAlign w:val="center"/>
          </w:tcPr>
          <w:p w14:paraId="58FEA611" w14:textId="77777777" w:rsidR="00307CE9" w:rsidRPr="00802FB4" w:rsidRDefault="00307CE9" w:rsidP="00D83795">
            <w:pPr>
              <w:rPr>
                <w:rFonts w:ascii="Arial" w:hAnsi="Arial" w:cs="Arial"/>
                <w:b/>
                <w:sz w:val="21"/>
                <w:szCs w:val="21"/>
              </w:rPr>
            </w:pPr>
            <w:r w:rsidRPr="00802FB4">
              <w:rPr>
                <w:rFonts w:ascii="Arial" w:hAnsi="Arial" w:cs="Arial"/>
                <w:b/>
                <w:sz w:val="21"/>
                <w:szCs w:val="21"/>
              </w:rPr>
              <w:t>Auditor Externo</w:t>
            </w:r>
          </w:p>
        </w:tc>
        <w:tc>
          <w:tcPr>
            <w:tcW w:w="0" w:type="auto"/>
            <w:vAlign w:val="center"/>
          </w:tcPr>
          <w:p w14:paraId="3C35BA57" w14:textId="1F7E9B0F" w:rsidR="00307CE9" w:rsidRPr="00802FB4" w:rsidRDefault="00DF2362" w:rsidP="00691324">
            <w:pPr>
              <w:rPr>
                <w:rFonts w:ascii="Arial" w:hAnsi="Arial" w:cs="Arial"/>
                <w:sz w:val="21"/>
                <w:szCs w:val="21"/>
                <w:lang w:val="en-US"/>
              </w:rPr>
            </w:pPr>
            <w:r w:rsidRPr="00802FB4">
              <w:rPr>
                <w:rFonts w:ascii="Arial" w:hAnsi="Arial" w:cs="Arial"/>
                <w:sz w:val="21"/>
                <w:szCs w:val="21"/>
                <w:lang w:val="en-US"/>
              </w:rPr>
              <w:t>KPMG</w:t>
            </w:r>
          </w:p>
        </w:tc>
      </w:tr>
      <w:tr w:rsidR="00307CE9" w:rsidRPr="00802FB4" w14:paraId="2B96BCC8" w14:textId="77777777" w:rsidTr="00753FD7">
        <w:trPr>
          <w:trHeight w:val="3475"/>
          <w:jc w:val="center"/>
        </w:trPr>
        <w:tc>
          <w:tcPr>
            <w:tcW w:w="0" w:type="auto"/>
            <w:vAlign w:val="center"/>
          </w:tcPr>
          <w:p w14:paraId="00C9D2D3" w14:textId="77777777" w:rsidR="00307CE9" w:rsidRPr="00802FB4" w:rsidRDefault="00307CE9" w:rsidP="00D83795">
            <w:pPr>
              <w:rPr>
                <w:rFonts w:ascii="Arial" w:hAnsi="Arial" w:cs="Arial"/>
                <w:b/>
                <w:sz w:val="21"/>
                <w:szCs w:val="21"/>
              </w:rPr>
            </w:pPr>
            <w:r w:rsidRPr="00802FB4">
              <w:rPr>
                <w:rFonts w:ascii="Arial" w:hAnsi="Arial" w:cs="Arial"/>
                <w:b/>
                <w:sz w:val="21"/>
                <w:szCs w:val="21"/>
              </w:rPr>
              <w:t xml:space="preserve">Asesores legales, analistas internacionales y otros profesionales </w:t>
            </w:r>
          </w:p>
        </w:tc>
        <w:tc>
          <w:tcPr>
            <w:tcW w:w="0" w:type="auto"/>
            <w:vAlign w:val="center"/>
          </w:tcPr>
          <w:p w14:paraId="59A99888" w14:textId="77777777" w:rsidR="00307CE9" w:rsidRPr="00802FB4" w:rsidRDefault="00307CE9" w:rsidP="00691324">
            <w:pPr>
              <w:rPr>
                <w:rFonts w:ascii="Arial" w:hAnsi="Arial" w:cs="Arial"/>
                <w:sz w:val="21"/>
                <w:szCs w:val="21"/>
                <w:lang w:val="es-CR"/>
              </w:rPr>
            </w:pPr>
            <w:r w:rsidRPr="00802FB4">
              <w:rPr>
                <w:rFonts w:ascii="Arial" w:hAnsi="Arial" w:cs="Arial"/>
                <w:b/>
                <w:sz w:val="21"/>
                <w:szCs w:val="21"/>
                <w:lang w:val="es-CR"/>
              </w:rPr>
              <w:t>Legales</w:t>
            </w:r>
            <w:r w:rsidRPr="00802FB4">
              <w:rPr>
                <w:rFonts w:ascii="Arial" w:hAnsi="Arial" w:cs="Arial"/>
                <w:sz w:val="21"/>
                <w:szCs w:val="21"/>
                <w:lang w:val="es-CR"/>
              </w:rPr>
              <w:t xml:space="preserve">: </w:t>
            </w:r>
          </w:p>
          <w:p w14:paraId="5A4D75DE" w14:textId="77777777" w:rsidR="00FE1F94" w:rsidRPr="00802FB4" w:rsidRDefault="00FE1F94" w:rsidP="00A935F1">
            <w:pPr>
              <w:pStyle w:val="Prrafodelista"/>
              <w:numPr>
                <w:ilvl w:val="0"/>
                <w:numId w:val="37"/>
              </w:numPr>
              <w:rPr>
                <w:rFonts w:ascii="Arial" w:hAnsi="Arial" w:cs="Arial"/>
                <w:sz w:val="21"/>
                <w:szCs w:val="21"/>
                <w:lang w:val="es-CR"/>
              </w:rPr>
            </w:pPr>
            <w:r w:rsidRPr="00802FB4">
              <w:rPr>
                <w:rFonts w:ascii="Arial" w:hAnsi="Arial" w:cs="Arial"/>
                <w:sz w:val="21"/>
                <w:szCs w:val="21"/>
                <w:lang w:val="es-CR"/>
              </w:rPr>
              <w:t>Lic. Gustavo Sauma</w:t>
            </w:r>
            <w:r w:rsidR="00467B6E" w:rsidRPr="00802FB4">
              <w:rPr>
                <w:rFonts w:ascii="Arial" w:hAnsi="Arial" w:cs="Arial"/>
                <w:sz w:val="21"/>
                <w:szCs w:val="21"/>
                <w:lang w:val="es-CR"/>
              </w:rPr>
              <w:t xml:space="preserve"> Fernández</w:t>
            </w:r>
          </w:p>
          <w:p w14:paraId="30656030" w14:textId="2B6466BA" w:rsidR="00822719" w:rsidRPr="00802FB4" w:rsidRDefault="00307CE9" w:rsidP="00147CCD">
            <w:pPr>
              <w:pStyle w:val="Prrafodelista"/>
              <w:numPr>
                <w:ilvl w:val="0"/>
                <w:numId w:val="37"/>
              </w:numPr>
              <w:rPr>
                <w:rFonts w:ascii="Arial" w:hAnsi="Arial" w:cs="Arial"/>
                <w:sz w:val="21"/>
                <w:szCs w:val="21"/>
                <w:lang w:val="es-CR"/>
              </w:rPr>
            </w:pPr>
            <w:r w:rsidRPr="00802FB4">
              <w:rPr>
                <w:rFonts w:ascii="Arial" w:hAnsi="Arial" w:cs="Arial"/>
                <w:sz w:val="21"/>
                <w:szCs w:val="21"/>
                <w:lang w:val="es-CR"/>
              </w:rPr>
              <w:t xml:space="preserve">Lic. Guillermo Solórzano </w:t>
            </w:r>
            <w:r w:rsidR="00467B6E" w:rsidRPr="00802FB4">
              <w:rPr>
                <w:rFonts w:ascii="Arial" w:hAnsi="Arial" w:cs="Arial"/>
                <w:sz w:val="21"/>
                <w:szCs w:val="21"/>
                <w:lang w:val="es-CR"/>
              </w:rPr>
              <w:t>Marín</w:t>
            </w:r>
            <w:r w:rsidR="00822719" w:rsidRPr="00802FB4">
              <w:rPr>
                <w:rFonts w:ascii="Arial" w:hAnsi="Arial" w:cs="Arial"/>
                <w:sz w:val="21"/>
                <w:szCs w:val="21"/>
                <w:lang w:val="es-CR"/>
              </w:rPr>
              <w:t xml:space="preserve"> </w:t>
            </w:r>
          </w:p>
          <w:p w14:paraId="3712D2BA" w14:textId="77777777" w:rsidR="00241F08" w:rsidRPr="00802FB4" w:rsidRDefault="00241F08" w:rsidP="00307CE9">
            <w:pPr>
              <w:rPr>
                <w:rFonts w:ascii="Arial" w:hAnsi="Arial" w:cs="Arial"/>
                <w:b/>
                <w:sz w:val="21"/>
                <w:szCs w:val="21"/>
                <w:lang w:val="es-CR"/>
              </w:rPr>
            </w:pPr>
          </w:p>
          <w:p w14:paraId="682AF432" w14:textId="44523C25" w:rsidR="00FD0F8F" w:rsidRPr="00802FB4" w:rsidRDefault="00FD0F8F" w:rsidP="00307CE9">
            <w:pPr>
              <w:rPr>
                <w:rFonts w:ascii="Arial" w:hAnsi="Arial" w:cs="Arial"/>
                <w:b/>
                <w:sz w:val="21"/>
                <w:szCs w:val="21"/>
                <w:lang w:val="es-CR"/>
              </w:rPr>
            </w:pPr>
            <w:r w:rsidRPr="00802FB4">
              <w:rPr>
                <w:rFonts w:ascii="Arial" w:hAnsi="Arial" w:cs="Arial"/>
                <w:b/>
                <w:sz w:val="21"/>
                <w:szCs w:val="21"/>
                <w:lang w:val="es-CR"/>
              </w:rPr>
              <w:t>Asesoría y valoraciones:</w:t>
            </w:r>
          </w:p>
          <w:p w14:paraId="7B538A81" w14:textId="48A0F28F" w:rsidR="00D1036C" w:rsidRPr="00802FB4" w:rsidRDefault="00D1036C" w:rsidP="00AC18C9">
            <w:pPr>
              <w:rPr>
                <w:rFonts w:ascii="Arial" w:hAnsi="Arial" w:cs="Arial"/>
                <w:sz w:val="21"/>
                <w:szCs w:val="21"/>
                <w:lang w:val="en-US"/>
              </w:rPr>
            </w:pPr>
            <w:r w:rsidRPr="00802FB4">
              <w:rPr>
                <w:rFonts w:ascii="Arial" w:hAnsi="Arial" w:cs="Arial"/>
                <w:sz w:val="21"/>
                <w:szCs w:val="21"/>
                <w:lang w:val="en-US"/>
              </w:rPr>
              <w:t>Ernst &amp; Young</w:t>
            </w:r>
            <w:r w:rsidR="006837B1" w:rsidRPr="00802FB4">
              <w:rPr>
                <w:rFonts w:ascii="Arial" w:hAnsi="Arial" w:cs="Arial"/>
                <w:sz w:val="21"/>
                <w:szCs w:val="21"/>
                <w:lang w:val="en-US"/>
              </w:rPr>
              <w:t xml:space="preserve"> S.A.</w:t>
            </w:r>
          </w:p>
          <w:p w14:paraId="4EF56CCD" w14:textId="4B77BFA2" w:rsidR="00D1036C" w:rsidRPr="00802FB4" w:rsidRDefault="00D1036C" w:rsidP="00AC18C9">
            <w:pPr>
              <w:rPr>
                <w:rFonts w:ascii="Arial" w:hAnsi="Arial" w:cs="Arial"/>
                <w:sz w:val="21"/>
                <w:szCs w:val="21"/>
                <w:lang w:val="es-CR"/>
              </w:rPr>
            </w:pPr>
            <w:r w:rsidRPr="00802FB4">
              <w:rPr>
                <w:rFonts w:ascii="Arial" w:hAnsi="Arial" w:cs="Arial"/>
                <w:sz w:val="21"/>
                <w:szCs w:val="21"/>
                <w:lang w:val="es-CR"/>
              </w:rPr>
              <w:t>Finanzas Corporativas FCCA</w:t>
            </w:r>
            <w:r w:rsidR="00370BA9" w:rsidRPr="00802FB4">
              <w:rPr>
                <w:rFonts w:ascii="Arial" w:hAnsi="Arial" w:cs="Arial"/>
                <w:sz w:val="21"/>
                <w:szCs w:val="21"/>
                <w:lang w:val="es-CR"/>
              </w:rPr>
              <w:t xml:space="preserve"> S.A.</w:t>
            </w:r>
          </w:p>
          <w:p w14:paraId="385BCAB7" w14:textId="77777777" w:rsidR="00D1036C" w:rsidRPr="00802FB4" w:rsidRDefault="00D1036C" w:rsidP="00AC18C9">
            <w:pPr>
              <w:rPr>
                <w:rFonts w:ascii="Arial" w:hAnsi="Arial" w:cs="Arial"/>
                <w:sz w:val="21"/>
                <w:szCs w:val="21"/>
                <w:lang w:val="en-US"/>
              </w:rPr>
            </w:pPr>
            <w:r w:rsidRPr="00802FB4">
              <w:rPr>
                <w:rFonts w:ascii="Arial" w:hAnsi="Arial" w:cs="Arial"/>
                <w:sz w:val="21"/>
                <w:szCs w:val="21"/>
                <w:lang w:val="en-US"/>
              </w:rPr>
              <w:t>Newmark Real Estate CR</w:t>
            </w:r>
          </w:p>
          <w:p w14:paraId="347CAAF1" w14:textId="4322E6BB" w:rsidR="00D1036C" w:rsidRPr="00802FB4" w:rsidRDefault="00D1036C" w:rsidP="00AC18C9">
            <w:pPr>
              <w:rPr>
                <w:rFonts w:ascii="Arial" w:hAnsi="Arial" w:cs="Arial"/>
                <w:sz w:val="21"/>
                <w:szCs w:val="21"/>
                <w:lang w:val="en-US"/>
              </w:rPr>
            </w:pPr>
            <w:r w:rsidRPr="00802FB4">
              <w:rPr>
                <w:rFonts w:ascii="Arial" w:hAnsi="Arial" w:cs="Arial"/>
                <w:sz w:val="21"/>
                <w:szCs w:val="21"/>
                <w:lang w:val="en-US"/>
              </w:rPr>
              <w:t>Logan</w:t>
            </w:r>
            <w:r w:rsidR="00CE7296" w:rsidRPr="00802FB4">
              <w:rPr>
                <w:rFonts w:ascii="Arial" w:hAnsi="Arial" w:cs="Arial"/>
                <w:sz w:val="21"/>
                <w:szCs w:val="21"/>
                <w:lang w:val="en-US"/>
              </w:rPr>
              <w:t xml:space="preserve"> Valuation</w:t>
            </w:r>
          </w:p>
          <w:p w14:paraId="7A2D5C8E" w14:textId="77777777" w:rsidR="00377353" w:rsidRPr="00802FB4" w:rsidRDefault="00377353">
            <w:pPr>
              <w:rPr>
                <w:rFonts w:ascii="Arial" w:hAnsi="Arial" w:cs="Arial"/>
                <w:sz w:val="21"/>
                <w:szCs w:val="21"/>
                <w:lang w:val="es-CR"/>
              </w:rPr>
            </w:pPr>
            <w:r w:rsidRPr="00802FB4">
              <w:rPr>
                <w:rFonts w:ascii="Arial" w:hAnsi="Arial" w:cs="Arial"/>
                <w:sz w:val="21"/>
                <w:szCs w:val="21"/>
                <w:lang w:val="es-CR"/>
              </w:rPr>
              <w:t>Grant Thornton Costa Rica</w:t>
            </w:r>
          </w:p>
          <w:p w14:paraId="56C7B96E" w14:textId="0EFF7B64" w:rsidR="00D1036C" w:rsidRPr="00802FB4" w:rsidRDefault="00D1036C" w:rsidP="00AC18C9">
            <w:pPr>
              <w:rPr>
                <w:rFonts w:ascii="Arial" w:hAnsi="Arial" w:cs="Arial"/>
                <w:sz w:val="21"/>
                <w:szCs w:val="21"/>
                <w:lang w:val="es-CR"/>
              </w:rPr>
            </w:pPr>
            <w:r w:rsidRPr="00802FB4">
              <w:rPr>
                <w:rFonts w:ascii="Arial" w:hAnsi="Arial" w:cs="Arial"/>
                <w:sz w:val="21"/>
                <w:szCs w:val="21"/>
                <w:lang w:val="es-CR"/>
              </w:rPr>
              <w:t>CBRE</w:t>
            </w:r>
          </w:p>
          <w:p w14:paraId="496E7B1A" w14:textId="77777777" w:rsidR="003B2374" w:rsidRPr="00802FB4" w:rsidRDefault="00D1036C" w:rsidP="003B2374">
            <w:pPr>
              <w:rPr>
                <w:rFonts w:ascii="Arial" w:hAnsi="Arial" w:cs="Arial"/>
                <w:sz w:val="21"/>
                <w:szCs w:val="21"/>
                <w:lang w:val="es-CR"/>
              </w:rPr>
            </w:pPr>
            <w:r w:rsidRPr="00802FB4">
              <w:rPr>
                <w:rFonts w:ascii="Arial" w:hAnsi="Arial" w:cs="Arial"/>
                <w:sz w:val="21"/>
                <w:szCs w:val="21"/>
                <w:lang w:val="es-CR"/>
              </w:rPr>
              <w:t>Cushman</w:t>
            </w:r>
          </w:p>
          <w:p w14:paraId="4F54B2A4" w14:textId="77777777" w:rsidR="00C641AC" w:rsidRDefault="00D1036C" w:rsidP="00AC18C9">
            <w:pPr>
              <w:rPr>
                <w:rFonts w:ascii="Arial" w:hAnsi="Arial" w:cs="Arial"/>
                <w:sz w:val="21"/>
                <w:szCs w:val="21"/>
                <w:lang w:val="es-CR"/>
              </w:rPr>
            </w:pPr>
            <w:r w:rsidRPr="00802FB4">
              <w:rPr>
                <w:rFonts w:ascii="Arial" w:hAnsi="Arial" w:cs="Arial"/>
                <w:sz w:val="21"/>
                <w:szCs w:val="21"/>
                <w:lang w:val="es-CR"/>
              </w:rPr>
              <w:t>ICICOR Costa Rica S.A.</w:t>
            </w:r>
          </w:p>
          <w:p w14:paraId="22E44E26" w14:textId="1E6753C3" w:rsidR="00C635F6" w:rsidRPr="00802FB4" w:rsidRDefault="005211DF" w:rsidP="00AC18C9">
            <w:pPr>
              <w:rPr>
                <w:rFonts w:ascii="Arial" w:hAnsi="Arial" w:cs="Arial"/>
                <w:sz w:val="21"/>
                <w:szCs w:val="21"/>
                <w:lang w:val="es-CR"/>
              </w:rPr>
            </w:pPr>
            <w:r w:rsidRPr="005211DF">
              <w:rPr>
                <w:rFonts w:ascii="Arial" w:hAnsi="Arial" w:cs="Arial"/>
                <w:sz w:val="21"/>
                <w:szCs w:val="21"/>
                <w:lang w:val="es-CR"/>
              </w:rPr>
              <w:t>DELOITTE &amp; TOUCHE, S.A.</w:t>
            </w:r>
          </w:p>
        </w:tc>
      </w:tr>
      <w:tr w:rsidR="008C5E1B" w:rsidRPr="00802FB4" w14:paraId="17AA0639" w14:textId="77777777" w:rsidTr="00753FD7">
        <w:trPr>
          <w:trHeight w:val="489"/>
          <w:jc w:val="center"/>
        </w:trPr>
        <w:tc>
          <w:tcPr>
            <w:tcW w:w="0" w:type="auto"/>
            <w:gridSpan w:val="2"/>
            <w:tcBorders>
              <w:bottom w:val="single" w:sz="4" w:space="0" w:color="auto"/>
            </w:tcBorders>
            <w:vAlign w:val="center"/>
          </w:tcPr>
          <w:p w14:paraId="50D5083E" w14:textId="77777777" w:rsidR="008C5E1B" w:rsidRPr="00802FB4" w:rsidRDefault="008C5E1B" w:rsidP="00D83795">
            <w:pPr>
              <w:spacing w:before="120" w:after="120"/>
              <w:jc w:val="center"/>
              <w:rPr>
                <w:rFonts w:ascii="Arial" w:hAnsi="Arial" w:cs="Arial"/>
                <w:b/>
                <w:sz w:val="21"/>
                <w:szCs w:val="21"/>
              </w:rPr>
            </w:pPr>
            <w:r w:rsidRPr="00802FB4">
              <w:rPr>
                <w:rFonts w:ascii="Arial" w:hAnsi="Arial" w:cs="Arial"/>
                <w:b/>
                <w:sz w:val="21"/>
                <w:szCs w:val="21"/>
              </w:rPr>
              <w:t>Administración de conflicto de intereses</w:t>
            </w:r>
          </w:p>
        </w:tc>
      </w:tr>
      <w:tr w:rsidR="008C5E1B" w:rsidRPr="00802FB4" w14:paraId="245D70DE" w14:textId="77777777" w:rsidTr="00753FD7">
        <w:trPr>
          <w:trHeight w:val="468"/>
          <w:jc w:val="center"/>
        </w:trPr>
        <w:tc>
          <w:tcPr>
            <w:tcW w:w="0" w:type="auto"/>
            <w:tcBorders>
              <w:bottom w:val="single" w:sz="4" w:space="0" w:color="auto"/>
            </w:tcBorders>
            <w:vAlign w:val="center"/>
          </w:tcPr>
          <w:p w14:paraId="70BD680F" w14:textId="77777777" w:rsidR="008C5E1B" w:rsidRPr="00802FB4" w:rsidRDefault="008C5E1B" w:rsidP="00D83795">
            <w:pPr>
              <w:rPr>
                <w:rFonts w:ascii="Arial" w:hAnsi="Arial" w:cs="Arial"/>
                <w:b/>
                <w:sz w:val="21"/>
                <w:szCs w:val="21"/>
              </w:rPr>
            </w:pPr>
            <w:r w:rsidRPr="00802FB4">
              <w:rPr>
                <w:rFonts w:ascii="Arial" w:hAnsi="Arial" w:cs="Arial"/>
                <w:b/>
                <w:sz w:val="21"/>
                <w:szCs w:val="21"/>
              </w:rPr>
              <w:t>Políticas sobre conflicto de intereses e incompatibilidades</w:t>
            </w:r>
          </w:p>
        </w:tc>
        <w:tc>
          <w:tcPr>
            <w:tcW w:w="0" w:type="auto"/>
            <w:tcBorders>
              <w:bottom w:val="single" w:sz="4" w:space="0" w:color="auto"/>
            </w:tcBorders>
            <w:vAlign w:val="center"/>
          </w:tcPr>
          <w:p w14:paraId="2449CCC8" w14:textId="79EC07DA" w:rsidR="00DD3AC4" w:rsidRPr="00DD3AC4" w:rsidRDefault="00DD3AC4" w:rsidP="00DD3AC4">
            <w:pPr>
              <w:spacing w:before="240" w:after="240"/>
              <w:jc w:val="both"/>
              <w:rPr>
                <w:rFonts w:ascii="Arial" w:hAnsi="Arial" w:cs="Arial"/>
                <w:sz w:val="21"/>
                <w:szCs w:val="21"/>
                <w:lang w:val="es-CR"/>
              </w:rPr>
            </w:pPr>
            <w:r w:rsidRPr="00DD3AC4">
              <w:rPr>
                <w:rFonts w:ascii="Arial" w:hAnsi="Arial" w:cs="Arial"/>
                <w:sz w:val="21"/>
                <w:szCs w:val="21"/>
                <w:lang w:val="es-CR"/>
              </w:rPr>
              <w:t xml:space="preserve">Multifondos de Costa Rica S.A., S.F.I. cuenta con políticas sobre conflictos de interés que cumplen con las condiciones establecidas en el Reglamento sobre Sociedades Administradoras y Fondos de Inversión. </w:t>
            </w:r>
          </w:p>
          <w:p w14:paraId="3E41EB0D" w14:textId="77777777" w:rsidR="00DD3AC4" w:rsidRPr="00DD3AC4" w:rsidRDefault="00DD3AC4" w:rsidP="00DD3AC4">
            <w:pPr>
              <w:spacing w:before="240" w:after="240"/>
              <w:jc w:val="both"/>
              <w:rPr>
                <w:rFonts w:ascii="Arial" w:hAnsi="Arial" w:cs="Arial"/>
                <w:sz w:val="21"/>
                <w:szCs w:val="21"/>
                <w:lang w:val="es-CR"/>
              </w:rPr>
            </w:pPr>
            <w:r w:rsidRPr="00DD3AC4">
              <w:rPr>
                <w:rFonts w:ascii="Arial" w:hAnsi="Arial" w:cs="Arial"/>
                <w:sz w:val="21"/>
                <w:szCs w:val="21"/>
                <w:lang w:val="es-CR"/>
              </w:rPr>
              <w:t>Estás políticas fueron aprobadas por la Junta Directiva del Grupo Financiero Mercado de Valores de Costa Rica del día 28 de octubre del 2025, de acuerdo con lo que establece el Reglamento general sobre sociedades administradoras y fondos de inversión.</w:t>
            </w:r>
          </w:p>
          <w:p w14:paraId="4196817C" w14:textId="2B6FF729" w:rsidR="00DD3AC4" w:rsidRPr="00DD3AC4" w:rsidRDefault="00DD3AC4" w:rsidP="00DD3AC4">
            <w:pPr>
              <w:spacing w:before="240" w:after="240"/>
              <w:jc w:val="both"/>
              <w:rPr>
                <w:rFonts w:ascii="Arial" w:hAnsi="Arial" w:cs="Arial"/>
                <w:sz w:val="21"/>
                <w:szCs w:val="21"/>
                <w:lang w:val="es-CR"/>
              </w:rPr>
            </w:pPr>
            <w:r w:rsidRPr="00DD3AC4">
              <w:rPr>
                <w:rFonts w:ascii="Arial" w:hAnsi="Arial" w:cs="Arial"/>
                <w:sz w:val="21"/>
                <w:szCs w:val="21"/>
                <w:lang w:val="es-CR"/>
              </w:rPr>
              <w:lastRenderedPageBreak/>
              <w:t>Pueden ser consultadas en el siguiente enlace</w:t>
            </w:r>
            <w:r w:rsidR="000832A6">
              <w:rPr>
                <w:rFonts w:ascii="Arial" w:hAnsi="Arial" w:cs="Arial"/>
                <w:sz w:val="21"/>
                <w:szCs w:val="21"/>
                <w:lang w:val="es-CR"/>
              </w:rPr>
              <w:t xml:space="preserve"> </w:t>
            </w:r>
            <w:hyperlink r:id="rId22" w:history="1">
              <w:r w:rsidR="000832A6" w:rsidRPr="00846470">
                <w:rPr>
                  <w:rStyle w:val="Hipervnculo"/>
                  <w:rFonts w:ascii="Arial" w:hAnsi="Arial" w:cs="Arial"/>
                  <w:sz w:val="21"/>
                  <w:szCs w:val="21"/>
                  <w:lang w:val="es-CR"/>
                </w:rPr>
                <w:t>https://cdn.prod.website-files.com/67e225ccb3b904ad5ed92486/691e422c4faff053272592a2_Poli%CC%81tica%20Conflictos%20de%20Intere%CC%81s_Multifondos.pdf</w:t>
              </w:r>
            </w:hyperlink>
            <w:r w:rsidR="000B53DC">
              <w:rPr>
                <w:rFonts w:ascii="Arial" w:hAnsi="Arial" w:cs="Arial"/>
                <w:sz w:val="21"/>
                <w:szCs w:val="21"/>
                <w:lang w:val="es-CR"/>
              </w:rPr>
              <w:t xml:space="preserve"> </w:t>
            </w:r>
          </w:p>
          <w:p w14:paraId="2D4DFFDC" w14:textId="1B6C8188" w:rsidR="008C5E1B" w:rsidRPr="00802FB4" w:rsidRDefault="00DD3AC4" w:rsidP="00DD3AC4">
            <w:pPr>
              <w:spacing w:before="240" w:after="240"/>
              <w:jc w:val="both"/>
              <w:rPr>
                <w:rFonts w:ascii="Arial" w:hAnsi="Arial" w:cs="Arial"/>
                <w:sz w:val="21"/>
                <w:szCs w:val="21"/>
                <w:lang w:val="es-CR"/>
              </w:rPr>
            </w:pPr>
            <w:r w:rsidRPr="00DD3AC4">
              <w:rPr>
                <w:rFonts w:ascii="Arial" w:hAnsi="Arial" w:cs="Arial"/>
                <w:sz w:val="21"/>
                <w:szCs w:val="21"/>
                <w:lang w:val="es-CR"/>
              </w:rPr>
              <w:t xml:space="preserve">o en el sitio web: </w:t>
            </w:r>
            <w:hyperlink r:id="rId23" w:history="1">
              <w:r w:rsidR="000B53DC" w:rsidRPr="007E0757">
                <w:rPr>
                  <w:rStyle w:val="Hipervnculo"/>
                  <w:rFonts w:ascii="Arial" w:hAnsi="Arial" w:cs="Arial"/>
                  <w:sz w:val="21"/>
                  <w:szCs w:val="21"/>
                  <w:lang w:val="es-CR"/>
                </w:rPr>
                <w:t>https://www.mvalores.fi.cr/estados-financieros</w:t>
              </w:r>
            </w:hyperlink>
            <w:r w:rsidR="000B53DC">
              <w:rPr>
                <w:rFonts w:ascii="Arial" w:hAnsi="Arial" w:cs="Arial"/>
                <w:sz w:val="21"/>
                <w:szCs w:val="21"/>
                <w:lang w:val="es-CR"/>
              </w:rPr>
              <w:t xml:space="preserve">, </w:t>
            </w:r>
            <w:r w:rsidRPr="00DD3AC4">
              <w:rPr>
                <w:rFonts w:ascii="Arial" w:hAnsi="Arial" w:cs="Arial"/>
                <w:sz w:val="21"/>
                <w:szCs w:val="21"/>
                <w:lang w:val="es-CR"/>
              </w:rPr>
              <w:t>en el menú:  Documentos / Apoyo al Inversionista / Política de Conflictos de Interés Multifondos.</w:t>
            </w:r>
            <w:r w:rsidR="001C1341">
              <w:rPr>
                <w:rFonts w:ascii="Arial" w:hAnsi="Arial" w:cs="Arial"/>
                <w:sz w:val="21"/>
                <w:szCs w:val="21"/>
                <w:lang w:val="es-CR"/>
              </w:rPr>
              <w:t xml:space="preserve"> </w:t>
            </w:r>
            <w:r w:rsidRPr="00DD3AC4">
              <w:rPr>
                <w:rFonts w:ascii="Arial" w:hAnsi="Arial" w:cs="Arial"/>
                <w:sz w:val="21"/>
                <w:szCs w:val="21"/>
                <w:lang w:val="es-CR"/>
              </w:rPr>
              <w:t>Asimismo, Multifondos de Costa Rica S.A., S.F.I., como entidad perteneciente al Grupo Financiero Mercado de Valores de Costa Rica, se adhiere a un conjunto de directrices corporativas que definen las normativas de gobierno corporativo. Estas directrices abarcan aspectos relacionados con la gestión de riesgos, control interno, sistemas de información y la implementación de plataformas tecnológicas.</w:t>
            </w:r>
          </w:p>
        </w:tc>
      </w:tr>
    </w:tbl>
    <w:p w14:paraId="2FBFB53D" w14:textId="3CB38B10" w:rsidR="008C5E1B" w:rsidRPr="00802FB4" w:rsidRDefault="008C5E1B" w:rsidP="007F793E">
      <w:pPr>
        <w:jc w:val="both"/>
        <w:rPr>
          <w:rFonts w:ascii="Arial" w:hAnsi="Arial" w:cs="Arial"/>
          <w:sz w:val="21"/>
          <w:szCs w:val="21"/>
        </w:rPr>
      </w:pPr>
    </w:p>
    <w:sectPr w:rsidR="008C5E1B" w:rsidRPr="00802FB4" w:rsidSect="0005637F">
      <w:headerReference w:type="default" r:id="rId24"/>
      <w:footerReference w:type="default" r:id="rId25"/>
      <w:headerReference w:type="first" r:id="rId26"/>
      <w:pgSz w:w="12240" w:h="15840"/>
      <w:pgMar w:top="1440" w:right="1800" w:bottom="1440" w:left="1800" w:header="720" w:footer="3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F938" w14:textId="77777777" w:rsidR="005C272D" w:rsidRDefault="005C272D" w:rsidP="008C5E1B">
      <w:r>
        <w:separator/>
      </w:r>
    </w:p>
  </w:endnote>
  <w:endnote w:type="continuationSeparator" w:id="0">
    <w:p w14:paraId="2B0756E4" w14:textId="77777777" w:rsidR="005C272D" w:rsidRDefault="005C272D" w:rsidP="008C5E1B">
      <w:r>
        <w:continuationSeparator/>
      </w:r>
    </w:p>
  </w:endnote>
  <w:endnote w:type="continuationNotice" w:id="1">
    <w:p w14:paraId="4FC931AF" w14:textId="77777777" w:rsidR="005C272D" w:rsidRDefault="005C2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MAKDG+Arial,Bold">
    <w:altName w:val="Arial"/>
    <w:panose1 w:val="00000000000000000000"/>
    <w:charset w:val="00"/>
    <w:family w:val="swiss"/>
    <w:notTrueType/>
    <w:pitch w:val="default"/>
    <w:sig w:usb0="00000003" w:usb1="00000000" w:usb2="00000000" w:usb3="00000000" w:csb0="00000001" w:csb1="00000000"/>
  </w:font>
  <w:font w:name="Lucida Bright">
    <w:panose1 w:val="020406020505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E310" w14:textId="126B7EC0" w:rsidR="0069459F" w:rsidRDefault="0069459F">
    <w:pPr>
      <w:pStyle w:val="Piedepgina"/>
    </w:pPr>
  </w:p>
  <w:p w14:paraId="42AC47B5" w14:textId="5555CAFB" w:rsidR="00284313" w:rsidRPr="00F7214C" w:rsidRDefault="00284313" w:rsidP="0044769B">
    <w:pPr>
      <w:pStyle w:val="Piedepgina"/>
      <w:rPr>
        <w:sz w:val="20"/>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70D4" w14:textId="77777777" w:rsidR="005C272D" w:rsidRDefault="005C272D" w:rsidP="008C5E1B">
      <w:r>
        <w:separator/>
      </w:r>
    </w:p>
  </w:footnote>
  <w:footnote w:type="continuationSeparator" w:id="0">
    <w:p w14:paraId="3DA7F2E9" w14:textId="77777777" w:rsidR="005C272D" w:rsidRDefault="005C272D" w:rsidP="008C5E1B">
      <w:r>
        <w:continuationSeparator/>
      </w:r>
    </w:p>
  </w:footnote>
  <w:footnote w:type="continuationNotice" w:id="1">
    <w:p w14:paraId="06832373" w14:textId="77777777" w:rsidR="005C272D" w:rsidRDefault="005C2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BF8F" w14:textId="3638B5D8" w:rsidR="00DD493D" w:rsidRDefault="00DD493D">
    <w:pPr>
      <w:pStyle w:val="Encabezado"/>
      <w:rPr>
        <w:noProof/>
      </w:rPr>
    </w:pPr>
    <w:r>
      <w:rPr>
        <w:noProof/>
      </w:rPr>
      <w:drawing>
        <wp:anchor distT="0" distB="0" distL="114300" distR="114300" simplePos="0" relativeHeight="251658241" behindDoc="0" locked="0" layoutInCell="1" allowOverlap="1" wp14:anchorId="2300A245" wp14:editId="7FC6D75C">
          <wp:simplePos x="0" y="0"/>
          <wp:positionH relativeFrom="page">
            <wp:posOffset>0</wp:posOffset>
          </wp:positionH>
          <wp:positionV relativeFrom="paragraph">
            <wp:posOffset>-293701</wp:posOffset>
          </wp:positionV>
          <wp:extent cx="7842250" cy="1025525"/>
          <wp:effectExtent l="0" t="0" r="6350" b="3175"/>
          <wp:wrapNone/>
          <wp:docPr id="1858250688" name="Imagen 185825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27072" name="Imagen 37492707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2250" cy="1025525"/>
                  </a:xfrm>
                  <a:prstGeom prst="rect">
                    <a:avLst/>
                  </a:prstGeom>
                </pic:spPr>
              </pic:pic>
            </a:graphicData>
          </a:graphic>
          <wp14:sizeRelH relativeFrom="page">
            <wp14:pctWidth>0</wp14:pctWidth>
          </wp14:sizeRelH>
          <wp14:sizeRelV relativeFrom="page">
            <wp14:pctHeight>0</wp14:pctHeight>
          </wp14:sizeRelV>
        </wp:anchor>
      </w:drawing>
    </w:r>
  </w:p>
  <w:p w14:paraId="74D4F3C9" w14:textId="77777777" w:rsidR="00DD493D" w:rsidRDefault="00DD493D">
    <w:pPr>
      <w:pStyle w:val="Encabezado"/>
      <w:rPr>
        <w:noProof/>
      </w:rPr>
    </w:pPr>
  </w:p>
  <w:p w14:paraId="51ACDC0B" w14:textId="77777777" w:rsidR="00DD493D" w:rsidRDefault="00DD493D">
    <w:pPr>
      <w:pStyle w:val="Encabezado"/>
      <w:rPr>
        <w:noProof/>
      </w:rPr>
    </w:pPr>
  </w:p>
  <w:p w14:paraId="7DF5C84A" w14:textId="77777777" w:rsidR="00DD493D" w:rsidRDefault="00DD493D">
    <w:pPr>
      <w:pStyle w:val="Encabezado"/>
      <w:rPr>
        <w:noProof/>
      </w:rPr>
    </w:pPr>
  </w:p>
  <w:p w14:paraId="08C147EE" w14:textId="4A86F383" w:rsidR="00DD493D" w:rsidRDefault="00DD49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C21E" w14:textId="57E80399" w:rsidR="006143B4" w:rsidRDefault="006143B4">
    <w:pPr>
      <w:pStyle w:val="Encabezado"/>
      <w:rPr>
        <w:noProof/>
      </w:rPr>
    </w:pPr>
    <w:r>
      <w:rPr>
        <w:noProof/>
      </w:rPr>
      <w:drawing>
        <wp:anchor distT="0" distB="0" distL="114300" distR="114300" simplePos="0" relativeHeight="251658240" behindDoc="0" locked="0" layoutInCell="1" allowOverlap="1" wp14:anchorId="13B52140" wp14:editId="4D7B323B">
          <wp:simplePos x="0" y="0"/>
          <wp:positionH relativeFrom="page">
            <wp:posOffset>-1270</wp:posOffset>
          </wp:positionH>
          <wp:positionV relativeFrom="paragraph">
            <wp:posOffset>-293066</wp:posOffset>
          </wp:positionV>
          <wp:extent cx="7842250" cy="1025525"/>
          <wp:effectExtent l="0" t="0" r="6350" b="3175"/>
          <wp:wrapNone/>
          <wp:docPr id="3749270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27072" name="Imagen 37492707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2250" cy="1025525"/>
                  </a:xfrm>
                  <a:prstGeom prst="rect">
                    <a:avLst/>
                  </a:prstGeom>
                </pic:spPr>
              </pic:pic>
            </a:graphicData>
          </a:graphic>
          <wp14:sizeRelH relativeFrom="page">
            <wp14:pctWidth>0</wp14:pctWidth>
          </wp14:sizeRelH>
          <wp14:sizeRelV relativeFrom="page">
            <wp14:pctHeight>0</wp14:pctHeight>
          </wp14:sizeRelV>
        </wp:anchor>
      </w:drawing>
    </w:r>
  </w:p>
  <w:p w14:paraId="439926E3" w14:textId="77777777" w:rsidR="006143B4" w:rsidRDefault="006143B4">
    <w:pPr>
      <w:pStyle w:val="Encabezado"/>
      <w:rPr>
        <w:noProof/>
      </w:rPr>
    </w:pPr>
  </w:p>
  <w:p w14:paraId="31DFE78A" w14:textId="5D1A602A" w:rsidR="00BE2E2E" w:rsidRDefault="00BE2E2E">
    <w:pPr>
      <w:pStyle w:val="Encabezado"/>
      <w:rPr>
        <w:noProof/>
      </w:rPr>
    </w:pPr>
  </w:p>
  <w:p w14:paraId="6835223B" w14:textId="77777777" w:rsidR="00BE2E2E" w:rsidRDefault="00BE2E2E">
    <w:pPr>
      <w:pStyle w:val="Encabezado"/>
      <w:rPr>
        <w:noProof/>
      </w:rPr>
    </w:pPr>
  </w:p>
  <w:p w14:paraId="634E3CDB" w14:textId="61F62584" w:rsidR="00BE2E2E" w:rsidRDefault="00BE2E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E32"/>
    <w:multiLevelType w:val="hybridMultilevel"/>
    <w:tmpl w:val="37088578"/>
    <w:lvl w:ilvl="0" w:tplc="24B6D3A6">
      <w:start w:val="33"/>
      <w:numFmt w:val="bullet"/>
      <w:lvlText w:val="-"/>
      <w:lvlJc w:val="left"/>
      <w:pPr>
        <w:ind w:left="540" w:hanging="360"/>
      </w:pPr>
      <w:rPr>
        <w:rFonts w:ascii="Arial" w:eastAsia="Times New Roman" w:hAnsi="Arial" w:cs="Arial" w:hint="default"/>
      </w:rPr>
    </w:lvl>
    <w:lvl w:ilvl="1" w:tplc="140A0003" w:tentative="1">
      <w:start w:val="1"/>
      <w:numFmt w:val="bullet"/>
      <w:lvlText w:val="o"/>
      <w:lvlJc w:val="left"/>
      <w:pPr>
        <w:ind w:left="1260" w:hanging="360"/>
      </w:pPr>
      <w:rPr>
        <w:rFonts w:ascii="Courier New" w:hAnsi="Courier New" w:cs="Courier New" w:hint="default"/>
      </w:rPr>
    </w:lvl>
    <w:lvl w:ilvl="2" w:tplc="140A0005" w:tentative="1">
      <w:start w:val="1"/>
      <w:numFmt w:val="bullet"/>
      <w:lvlText w:val=""/>
      <w:lvlJc w:val="left"/>
      <w:pPr>
        <w:ind w:left="1980" w:hanging="360"/>
      </w:pPr>
      <w:rPr>
        <w:rFonts w:ascii="Wingdings" w:hAnsi="Wingdings" w:hint="default"/>
      </w:rPr>
    </w:lvl>
    <w:lvl w:ilvl="3" w:tplc="140A0001" w:tentative="1">
      <w:start w:val="1"/>
      <w:numFmt w:val="bullet"/>
      <w:lvlText w:val=""/>
      <w:lvlJc w:val="left"/>
      <w:pPr>
        <w:ind w:left="2700" w:hanging="360"/>
      </w:pPr>
      <w:rPr>
        <w:rFonts w:ascii="Symbol" w:hAnsi="Symbol" w:hint="default"/>
      </w:rPr>
    </w:lvl>
    <w:lvl w:ilvl="4" w:tplc="140A0003" w:tentative="1">
      <w:start w:val="1"/>
      <w:numFmt w:val="bullet"/>
      <w:lvlText w:val="o"/>
      <w:lvlJc w:val="left"/>
      <w:pPr>
        <w:ind w:left="3420" w:hanging="360"/>
      </w:pPr>
      <w:rPr>
        <w:rFonts w:ascii="Courier New" w:hAnsi="Courier New" w:cs="Courier New" w:hint="default"/>
      </w:rPr>
    </w:lvl>
    <w:lvl w:ilvl="5" w:tplc="140A0005" w:tentative="1">
      <w:start w:val="1"/>
      <w:numFmt w:val="bullet"/>
      <w:lvlText w:val=""/>
      <w:lvlJc w:val="left"/>
      <w:pPr>
        <w:ind w:left="4140" w:hanging="360"/>
      </w:pPr>
      <w:rPr>
        <w:rFonts w:ascii="Wingdings" w:hAnsi="Wingdings" w:hint="default"/>
      </w:rPr>
    </w:lvl>
    <w:lvl w:ilvl="6" w:tplc="140A0001" w:tentative="1">
      <w:start w:val="1"/>
      <w:numFmt w:val="bullet"/>
      <w:lvlText w:val=""/>
      <w:lvlJc w:val="left"/>
      <w:pPr>
        <w:ind w:left="4860" w:hanging="360"/>
      </w:pPr>
      <w:rPr>
        <w:rFonts w:ascii="Symbol" w:hAnsi="Symbol" w:hint="default"/>
      </w:rPr>
    </w:lvl>
    <w:lvl w:ilvl="7" w:tplc="140A0003" w:tentative="1">
      <w:start w:val="1"/>
      <w:numFmt w:val="bullet"/>
      <w:lvlText w:val="o"/>
      <w:lvlJc w:val="left"/>
      <w:pPr>
        <w:ind w:left="5580" w:hanging="360"/>
      </w:pPr>
      <w:rPr>
        <w:rFonts w:ascii="Courier New" w:hAnsi="Courier New" w:cs="Courier New" w:hint="default"/>
      </w:rPr>
    </w:lvl>
    <w:lvl w:ilvl="8" w:tplc="140A0005" w:tentative="1">
      <w:start w:val="1"/>
      <w:numFmt w:val="bullet"/>
      <w:lvlText w:val=""/>
      <w:lvlJc w:val="left"/>
      <w:pPr>
        <w:ind w:left="6300" w:hanging="360"/>
      </w:pPr>
      <w:rPr>
        <w:rFonts w:ascii="Wingdings" w:hAnsi="Wingdings" w:hint="default"/>
      </w:rPr>
    </w:lvl>
  </w:abstractNum>
  <w:abstractNum w:abstractNumId="1" w15:restartNumberingAfterBreak="0">
    <w:nsid w:val="034B0148"/>
    <w:multiLevelType w:val="multilevel"/>
    <w:tmpl w:val="81143B16"/>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74B58"/>
    <w:multiLevelType w:val="hybridMultilevel"/>
    <w:tmpl w:val="66207AE6"/>
    <w:lvl w:ilvl="0" w:tplc="140A000F">
      <w:start w:val="1"/>
      <w:numFmt w:val="decimal"/>
      <w:lvlText w:val="%1."/>
      <w:lvlJc w:val="left"/>
      <w:pPr>
        <w:ind w:left="929" w:hanging="360"/>
      </w:pPr>
    </w:lvl>
    <w:lvl w:ilvl="1" w:tplc="140A0019" w:tentative="1">
      <w:start w:val="1"/>
      <w:numFmt w:val="lowerLetter"/>
      <w:lvlText w:val="%2."/>
      <w:lvlJc w:val="left"/>
      <w:pPr>
        <w:ind w:left="1649" w:hanging="360"/>
      </w:pPr>
    </w:lvl>
    <w:lvl w:ilvl="2" w:tplc="140A001B" w:tentative="1">
      <w:start w:val="1"/>
      <w:numFmt w:val="lowerRoman"/>
      <w:lvlText w:val="%3."/>
      <w:lvlJc w:val="right"/>
      <w:pPr>
        <w:ind w:left="2369" w:hanging="180"/>
      </w:pPr>
    </w:lvl>
    <w:lvl w:ilvl="3" w:tplc="140A000F" w:tentative="1">
      <w:start w:val="1"/>
      <w:numFmt w:val="decimal"/>
      <w:lvlText w:val="%4."/>
      <w:lvlJc w:val="left"/>
      <w:pPr>
        <w:ind w:left="3089" w:hanging="360"/>
      </w:pPr>
    </w:lvl>
    <w:lvl w:ilvl="4" w:tplc="140A0019" w:tentative="1">
      <w:start w:val="1"/>
      <w:numFmt w:val="lowerLetter"/>
      <w:lvlText w:val="%5."/>
      <w:lvlJc w:val="left"/>
      <w:pPr>
        <w:ind w:left="3809" w:hanging="360"/>
      </w:pPr>
    </w:lvl>
    <w:lvl w:ilvl="5" w:tplc="140A001B" w:tentative="1">
      <w:start w:val="1"/>
      <w:numFmt w:val="lowerRoman"/>
      <w:lvlText w:val="%6."/>
      <w:lvlJc w:val="right"/>
      <w:pPr>
        <w:ind w:left="4529" w:hanging="180"/>
      </w:pPr>
    </w:lvl>
    <w:lvl w:ilvl="6" w:tplc="140A000F" w:tentative="1">
      <w:start w:val="1"/>
      <w:numFmt w:val="decimal"/>
      <w:lvlText w:val="%7."/>
      <w:lvlJc w:val="left"/>
      <w:pPr>
        <w:ind w:left="5249" w:hanging="360"/>
      </w:pPr>
    </w:lvl>
    <w:lvl w:ilvl="7" w:tplc="140A0019" w:tentative="1">
      <w:start w:val="1"/>
      <w:numFmt w:val="lowerLetter"/>
      <w:lvlText w:val="%8."/>
      <w:lvlJc w:val="left"/>
      <w:pPr>
        <w:ind w:left="5969" w:hanging="360"/>
      </w:pPr>
    </w:lvl>
    <w:lvl w:ilvl="8" w:tplc="140A001B" w:tentative="1">
      <w:start w:val="1"/>
      <w:numFmt w:val="lowerRoman"/>
      <w:lvlText w:val="%9."/>
      <w:lvlJc w:val="right"/>
      <w:pPr>
        <w:ind w:left="6689" w:hanging="180"/>
      </w:pPr>
    </w:lvl>
  </w:abstractNum>
  <w:abstractNum w:abstractNumId="3" w15:restartNumberingAfterBreak="0">
    <w:nsid w:val="092B71F0"/>
    <w:multiLevelType w:val="multilevel"/>
    <w:tmpl w:val="F886D3CE"/>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sz w:val="22"/>
        <w:szCs w:val="16"/>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b w:val="0"/>
      </w:rPr>
    </w:lvl>
    <w:lvl w:ilvl="5">
      <w:start w:val="1"/>
      <w:numFmt w:val="decimal"/>
      <w:lvlText w:val="%1.%2.%3.%4.%5.%6."/>
      <w:lvlJc w:val="left"/>
      <w:pPr>
        <w:tabs>
          <w:tab w:val="num" w:pos="2736"/>
        </w:tabs>
        <w:ind w:left="2736" w:hanging="936"/>
      </w:pPr>
      <w:rPr>
        <w:rFonts w:hint="default"/>
        <w:b w:val="0"/>
      </w:rPr>
    </w:lvl>
    <w:lvl w:ilvl="6">
      <w:start w:val="1"/>
      <w:numFmt w:val="decimal"/>
      <w:lvlText w:val="%1.%2.%3.%4.%5.%6.%7."/>
      <w:lvlJc w:val="left"/>
      <w:pPr>
        <w:tabs>
          <w:tab w:val="num" w:pos="3240"/>
        </w:tabs>
        <w:ind w:left="3240" w:hanging="1080"/>
      </w:pPr>
      <w:rPr>
        <w:rFonts w:hint="default"/>
        <w:b w:val="0"/>
      </w:rPr>
    </w:lvl>
    <w:lvl w:ilvl="7">
      <w:start w:val="1"/>
      <w:numFmt w:val="decimal"/>
      <w:lvlText w:val="%1.%2.%3.%4.%5.%6.%7.%8."/>
      <w:lvlJc w:val="left"/>
      <w:pPr>
        <w:tabs>
          <w:tab w:val="num" w:pos="3744"/>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4" w15:restartNumberingAfterBreak="0">
    <w:nsid w:val="0F684595"/>
    <w:multiLevelType w:val="hybridMultilevel"/>
    <w:tmpl w:val="7012C89A"/>
    <w:lvl w:ilvl="0" w:tplc="BE14B02A">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13834A8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90381"/>
    <w:multiLevelType w:val="multilevel"/>
    <w:tmpl w:val="7D78F5E2"/>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826419"/>
    <w:multiLevelType w:val="hybridMultilevel"/>
    <w:tmpl w:val="F7ECD876"/>
    <w:lvl w:ilvl="0" w:tplc="0F2EC2CE">
      <w:start w:val="1"/>
      <w:numFmt w:val="decimal"/>
      <w:lvlText w:val="%1."/>
      <w:lvlJc w:val="left"/>
      <w:pPr>
        <w:tabs>
          <w:tab w:val="num" w:pos="340"/>
        </w:tabs>
        <w:ind w:left="340" w:hanging="340"/>
      </w:pPr>
      <w:rPr>
        <w:rFonts w:hint="default"/>
        <w:b w:val="0"/>
        <w:bCs/>
        <w:i w:val="0"/>
        <w:iCs w:val="0"/>
      </w:rPr>
    </w:lvl>
    <w:lvl w:ilvl="1" w:tplc="FFFFFFFF">
      <w:start w:val="1"/>
      <w:numFmt w:val="lowerLetter"/>
      <w:lvlText w:val="%2)"/>
      <w:lvlJc w:val="left"/>
      <w:pPr>
        <w:tabs>
          <w:tab w:val="num" w:pos="680"/>
        </w:tabs>
        <w:ind w:left="680" w:hanging="510"/>
      </w:pPr>
      <w:rPr>
        <w:rFonts w:hint="default"/>
      </w:rPr>
    </w:lvl>
    <w:lvl w:ilvl="2" w:tplc="FFFFFFFF">
      <w:start w:val="2"/>
      <w:numFmt w:val="lowerLetter"/>
      <w:lvlText w:val="%3."/>
      <w:lvlJc w:val="left"/>
      <w:pPr>
        <w:tabs>
          <w:tab w:val="num" w:pos="454"/>
        </w:tabs>
        <w:ind w:left="454"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9C29C5"/>
    <w:multiLevelType w:val="hybridMultilevel"/>
    <w:tmpl w:val="6A604E4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874EB5"/>
    <w:multiLevelType w:val="hybridMultilevel"/>
    <w:tmpl w:val="01CAF47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3176EB1"/>
    <w:multiLevelType w:val="hybridMultilevel"/>
    <w:tmpl w:val="8272CB3C"/>
    <w:lvl w:ilvl="0" w:tplc="140A000F">
      <w:start w:val="1"/>
      <w:numFmt w:val="decimal"/>
      <w:lvlText w:val="%1."/>
      <w:lvlJc w:val="left"/>
      <w:pPr>
        <w:ind w:left="720" w:hanging="360"/>
      </w:pPr>
      <w:rPr>
        <w:i w:val="0"/>
        <w:iCs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 w15:restartNumberingAfterBreak="0">
    <w:nsid w:val="24EC26FF"/>
    <w:multiLevelType w:val="hybridMultilevel"/>
    <w:tmpl w:val="89367464"/>
    <w:lvl w:ilvl="0" w:tplc="4216CD9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6B61CD"/>
    <w:multiLevelType w:val="multilevel"/>
    <w:tmpl w:val="2C922316"/>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9D7A88"/>
    <w:multiLevelType w:val="hybridMultilevel"/>
    <w:tmpl w:val="283AAACA"/>
    <w:lvl w:ilvl="0" w:tplc="140A0001">
      <w:start w:val="1"/>
      <w:numFmt w:val="bullet"/>
      <w:lvlText w:val=""/>
      <w:lvlJc w:val="left"/>
      <w:pPr>
        <w:ind w:left="653" w:hanging="360"/>
      </w:pPr>
      <w:rPr>
        <w:rFonts w:ascii="Symbol" w:hAnsi="Symbol" w:hint="default"/>
      </w:rPr>
    </w:lvl>
    <w:lvl w:ilvl="1" w:tplc="140A0003" w:tentative="1">
      <w:start w:val="1"/>
      <w:numFmt w:val="bullet"/>
      <w:lvlText w:val="o"/>
      <w:lvlJc w:val="left"/>
      <w:pPr>
        <w:ind w:left="1373" w:hanging="360"/>
      </w:pPr>
      <w:rPr>
        <w:rFonts w:ascii="Courier New" w:hAnsi="Courier New" w:cs="Courier New" w:hint="default"/>
      </w:rPr>
    </w:lvl>
    <w:lvl w:ilvl="2" w:tplc="140A0005" w:tentative="1">
      <w:start w:val="1"/>
      <w:numFmt w:val="bullet"/>
      <w:lvlText w:val=""/>
      <w:lvlJc w:val="left"/>
      <w:pPr>
        <w:ind w:left="2093" w:hanging="360"/>
      </w:pPr>
      <w:rPr>
        <w:rFonts w:ascii="Wingdings" w:hAnsi="Wingdings" w:hint="default"/>
      </w:rPr>
    </w:lvl>
    <w:lvl w:ilvl="3" w:tplc="140A0001" w:tentative="1">
      <w:start w:val="1"/>
      <w:numFmt w:val="bullet"/>
      <w:lvlText w:val=""/>
      <w:lvlJc w:val="left"/>
      <w:pPr>
        <w:ind w:left="2813" w:hanging="360"/>
      </w:pPr>
      <w:rPr>
        <w:rFonts w:ascii="Symbol" w:hAnsi="Symbol" w:hint="default"/>
      </w:rPr>
    </w:lvl>
    <w:lvl w:ilvl="4" w:tplc="140A0003" w:tentative="1">
      <w:start w:val="1"/>
      <w:numFmt w:val="bullet"/>
      <w:lvlText w:val="o"/>
      <w:lvlJc w:val="left"/>
      <w:pPr>
        <w:ind w:left="3533" w:hanging="360"/>
      </w:pPr>
      <w:rPr>
        <w:rFonts w:ascii="Courier New" w:hAnsi="Courier New" w:cs="Courier New" w:hint="default"/>
      </w:rPr>
    </w:lvl>
    <w:lvl w:ilvl="5" w:tplc="140A0005" w:tentative="1">
      <w:start w:val="1"/>
      <w:numFmt w:val="bullet"/>
      <w:lvlText w:val=""/>
      <w:lvlJc w:val="left"/>
      <w:pPr>
        <w:ind w:left="4253" w:hanging="360"/>
      </w:pPr>
      <w:rPr>
        <w:rFonts w:ascii="Wingdings" w:hAnsi="Wingdings" w:hint="default"/>
      </w:rPr>
    </w:lvl>
    <w:lvl w:ilvl="6" w:tplc="140A0001" w:tentative="1">
      <w:start w:val="1"/>
      <w:numFmt w:val="bullet"/>
      <w:lvlText w:val=""/>
      <w:lvlJc w:val="left"/>
      <w:pPr>
        <w:ind w:left="4973" w:hanging="360"/>
      </w:pPr>
      <w:rPr>
        <w:rFonts w:ascii="Symbol" w:hAnsi="Symbol" w:hint="default"/>
      </w:rPr>
    </w:lvl>
    <w:lvl w:ilvl="7" w:tplc="140A0003" w:tentative="1">
      <w:start w:val="1"/>
      <w:numFmt w:val="bullet"/>
      <w:lvlText w:val="o"/>
      <w:lvlJc w:val="left"/>
      <w:pPr>
        <w:ind w:left="5693" w:hanging="360"/>
      </w:pPr>
      <w:rPr>
        <w:rFonts w:ascii="Courier New" w:hAnsi="Courier New" w:cs="Courier New" w:hint="default"/>
      </w:rPr>
    </w:lvl>
    <w:lvl w:ilvl="8" w:tplc="140A0005" w:tentative="1">
      <w:start w:val="1"/>
      <w:numFmt w:val="bullet"/>
      <w:lvlText w:val=""/>
      <w:lvlJc w:val="left"/>
      <w:pPr>
        <w:ind w:left="6413" w:hanging="360"/>
      </w:pPr>
      <w:rPr>
        <w:rFonts w:ascii="Wingdings" w:hAnsi="Wingdings" w:hint="default"/>
      </w:rPr>
    </w:lvl>
  </w:abstractNum>
  <w:abstractNum w:abstractNumId="14" w15:restartNumberingAfterBreak="0">
    <w:nsid w:val="2FFC124D"/>
    <w:multiLevelType w:val="hybridMultilevel"/>
    <w:tmpl w:val="5A5AB11A"/>
    <w:lvl w:ilvl="0" w:tplc="140A0001">
      <w:start w:val="1"/>
      <w:numFmt w:val="bullet"/>
      <w:lvlText w:val=""/>
      <w:lvlJc w:val="left"/>
      <w:pPr>
        <w:ind w:left="1080" w:hanging="360"/>
      </w:pPr>
      <w:rPr>
        <w:rFonts w:ascii="Symbol" w:hAnsi="Symbol" w:hint="default"/>
      </w:rPr>
    </w:lvl>
    <w:lvl w:ilvl="1" w:tplc="96BC19A4">
      <w:start w:val="1"/>
      <w:numFmt w:val="lowerLetter"/>
      <w:lvlText w:val="%2)"/>
      <w:lvlJc w:val="left"/>
      <w:pPr>
        <w:ind w:left="1800" w:hanging="360"/>
      </w:pPr>
      <w:rPr>
        <w:rFonts w:hint="default"/>
      </w:r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5" w15:restartNumberingAfterBreak="0">
    <w:nsid w:val="3257662B"/>
    <w:multiLevelType w:val="hybridMultilevel"/>
    <w:tmpl w:val="B728ED72"/>
    <w:lvl w:ilvl="0" w:tplc="E812BCE8">
      <w:start w:val="1"/>
      <w:numFmt w:val="lowerLetter"/>
      <w:lvlText w:val="%1."/>
      <w:lvlJc w:val="left"/>
      <w:pPr>
        <w:ind w:left="720" w:hanging="360"/>
      </w:pPr>
      <w:rPr>
        <w:rFonts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4601492"/>
    <w:multiLevelType w:val="multilevel"/>
    <w:tmpl w:val="925E939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4B4A65"/>
    <w:multiLevelType w:val="multilevel"/>
    <w:tmpl w:val="17624C9C"/>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2579A3"/>
    <w:multiLevelType w:val="hybridMultilevel"/>
    <w:tmpl w:val="86DAE1CA"/>
    <w:lvl w:ilvl="0" w:tplc="A0461EAA">
      <w:start w:val="1"/>
      <w:numFmt w:val="decimal"/>
      <w:lvlText w:val="%1."/>
      <w:lvlJc w:val="left"/>
      <w:pPr>
        <w:ind w:left="927"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93D2537"/>
    <w:multiLevelType w:val="hybridMultilevel"/>
    <w:tmpl w:val="D14C0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2E22B2"/>
    <w:multiLevelType w:val="hybridMultilevel"/>
    <w:tmpl w:val="8CDC8060"/>
    <w:lvl w:ilvl="0" w:tplc="41C6C936">
      <w:start w:val="1"/>
      <w:numFmt w:val="decimal"/>
      <w:lvlText w:val="%1."/>
      <w:lvlJc w:val="left"/>
      <w:pPr>
        <w:tabs>
          <w:tab w:val="num" w:pos="340"/>
        </w:tabs>
        <w:ind w:left="340" w:hanging="340"/>
      </w:pPr>
      <w:rPr>
        <w:i w:val="0"/>
        <w:iCs w:val="0"/>
      </w:rPr>
    </w:lvl>
    <w:lvl w:ilvl="1" w:tplc="A588BBF6">
      <w:start w:val="1"/>
      <w:numFmt w:val="lowerLetter"/>
      <w:lvlText w:val="%2)"/>
      <w:lvlJc w:val="left"/>
      <w:pPr>
        <w:tabs>
          <w:tab w:val="num" w:pos="680"/>
        </w:tabs>
        <w:ind w:left="680" w:hanging="510"/>
      </w:pPr>
    </w:lvl>
    <w:lvl w:ilvl="2" w:tplc="1D5E05CE">
      <w:start w:val="2"/>
      <w:numFmt w:val="lowerLetter"/>
      <w:lvlText w:val="%3."/>
      <w:lvlJc w:val="left"/>
      <w:pPr>
        <w:tabs>
          <w:tab w:val="num" w:pos="454"/>
        </w:tabs>
        <w:ind w:left="454" w:hanging="397"/>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B4E4FA9"/>
    <w:multiLevelType w:val="hybridMultilevel"/>
    <w:tmpl w:val="A464FDB0"/>
    <w:lvl w:ilvl="0" w:tplc="140A0001">
      <w:start w:val="1"/>
      <w:numFmt w:val="bullet"/>
      <w:lvlText w:val=""/>
      <w:lvlJc w:val="left"/>
      <w:pPr>
        <w:ind w:left="1080" w:hanging="360"/>
      </w:pPr>
      <w:rPr>
        <w:rFonts w:ascii="Symbol" w:hAnsi="Symbol" w:hint="default"/>
      </w:rPr>
    </w:lvl>
    <w:lvl w:ilvl="1" w:tplc="96BC19A4">
      <w:start w:val="1"/>
      <w:numFmt w:val="lowerLetter"/>
      <w:lvlText w:val="%2)"/>
      <w:lvlJc w:val="left"/>
      <w:pPr>
        <w:ind w:left="1800" w:hanging="360"/>
      </w:pPr>
      <w:rPr>
        <w:rFonts w:hint="default"/>
      </w:r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15:restartNumberingAfterBreak="0">
    <w:nsid w:val="42B016B7"/>
    <w:multiLevelType w:val="multilevel"/>
    <w:tmpl w:val="14D0B2F4"/>
    <w:lvl w:ilvl="0">
      <w:start w:val="1"/>
      <w:numFmt w:val="decimal"/>
      <w:lvlText w:val="%1."/>
      <w:lvlJc w:val="left"/>
      <w:pPr>
        <w:tabs>
          <w:tab w:val="num" w:pos="579"/>
        </w:tabs>
        <w:ind w:left="579" w:hanging="435"/>
      </w:pPr>
      <w:rPr>
        <w:rFonts w:hint="default"/>
      </w:rPr>
    </w:lvl>
    <w:lvl w:ilvl="1">
      <w:start w:val="2"/>
      <w:numFmt w:val="decimal"/>
      <w:isLgl/>
      <w:lvlText w:val="%1.%2."/>
      <w:lvlJc w:val="left"/>
      <w:pPr>
        <w:tabs>
          <w:tab w:val="num" w:pos="504"/>
        </w:tabs>
        <w:ind w:left="504" w:hanging="360"/>
      </w:pPr>
      <w:rPr>
        <w:rFonts w:hint="default"/>
        <w:b/>
      </w:rPr>
    </w:lvl>
    <w:lvl w:ilvl="2">
      <w:start w:val="1"/>
      <w:numFmt w:val="decimal"/>
      <w:isLgl/>
      <w:lvlText w:val="%1.%2.%3."/>
      <w:lvlJc w:val="left"/>
      <w:pPr>
        <w:tabs>
          <w:tab w:val="num" w:pos="864"/>
        </w:tabs>
        <w:ind w:left="864" w:hanging="720"/>
      </w:pPr>
      <w:rPr>
        <w:rFonts w:hint="default"/>
        <w:b/>
      </w:rPr>
    </w:lvl>
    <w:lvl w:ilvl="3">
      <w:start w:val="1"/>
      <w:numFmt w:val="decimal"/>
      <w:isLgl/>
      <w:lvlText w:val="%1.%2.%3.%4."/>
      <w:lvlJc w:val="left"/>
      <w:pPr>
        <w:tabs>
          <w:tab w:val="num" w:pos="864"/>
        </w:tabs>
        <w:ind w:left="864" w:hanging="720"/>
      </w:pPr>
      <w:rPr>
        <w:rFonts w:hint="default"/>
        <w:b/>
      </w:rPr>
    </w:lvl>
    <w:lvl w:ilvl="4">
      <w:start w:val="1"/>
      <w:numFmt w:val="decimal"/>
      <w:isLgl/>
      <w:lvlText w:val="%1.%2.%3.%4.%5."/>
      <w:lvlJc w:val="left"/>
      <w:pPr>
        <w:tabs>
          <w:tab w:val="num" w:pos="1224"/>
        </w:tabs>
        <w:ind w:left="1224" w:hanging="1080"/>
      </w:pPr>
      <w:rPr>
        <w:rFonts w:hint="default"/>
        <w:b/>
      </w:rPr>
    </w:lvl>
    <w:lvl w:ilvl="5">
      <w:start w:val="1"/>
      <w:numFmt w:val="decimal"/>
      <w:isLgl/>
      <w:lvlText w:val="%1.%2.%3.%4.%5.%6."/>
      <w:lvlJc w:val="left"/>
      <w:pPr>
        <w:tabs>
          <w:tab w:val="num" w:pos="1224"/>
        </w:tabs>
        <w:ind w:left="1224" w:hanging="1080"/>
      </w:pPr>
      <w:rPr>
        <w:rFonts w:hint="default"/>
        <w:b/>
      </w:rPr>
    </w:lvl>
    <w:lvl w:ilvl="6">
      <w:start w:val="1"/>
      <w:numFmt w:val="decimal"/>
      <w:isLgl/>
      <w:lvlText w:val="%1.%2.%3.%4.%5.%6.%7."/>
      <w:lvlJc w:val="left"/>
      <w:pPr>
        <w:tabs>
          <w:tab w:val="num" w:pos="1224"/>
        </w:tabs>
        <w:ind w:left="1224" w:hanging="1080"/>
      </w:pPr>
      <w:rPr>
        <w:rFonts w:hint="default"/>
        <w:b/>
      </w:rPr>
    </w:lvl>
    <w:lvl w:ilvl="7">
      <w:start w:val="1"/>
      <w:numFmt w:val="decimal"/>
      <w:isLgl/>
      <w:lvlText w:val="%1.%2.%3.%4.%5.%6.%7.%8."/>
      <w:lvlJc w:val="left"/>
      <w:pPr>
        <w:tabs>
          <w:tab w:val="num" w:pos="1584"/>
        </w:tabs>
        <w:ind w:left="1584" w:hanging="1440"/>
      </w:pPr>
      <w:rPr>
        <w:rFonts w:hint="default"/>
        <w:b/>
      </w:rPr>
    </w:lvl>
    <w:lvl w:ilvl="8">
      <w:start w:val="1"/>
      <w:numFmt w:val="decimal"/>
      <w:isLgl/>
      <w:lvlText w:val="%1.%2.%3.%4.%5.%6.%7.%8.%9."/>
      <w:lvlJc w:val="left"/>
      <w:pPr>
        <w:tabs>
          <w:tab w:val="num" w:pos="1584"/>
        </w:tabs>
        <w:ind w:left="1584" w:hanging="1440"/>
      </w:pPr>
      <w:rPr>
        <w:rFonts w:hint="default"/>
        <w:b/>
      </w:rPr>
    </w:lvl>
  </w:abstractNum>
  <w:abstractNum w:abstractNumId="23" w15:restartNumberingAfterBreak="0">
    <w:nsid w:val="439C7841"/>
    <w:multiLevelType w:val="hybridMultilevel"/>
    <w:tmpl w:val="E87693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A82D9E"/>
    <w:multiLevelType w:val="hybridMultilevel"/>
    <w:tmpl w:val="91923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E1B3133"/>
    <w:multiLevelType w:val="hybridMultilevel"/>
    <w:tmpl w:val="9708825E"/>
    <w:lvl w:ilvl="0" w:tplc="E85EFEB8">
      <w:start w:val="33"/>
      <w:numFmt w:val="bullet"/>
      <w:lvlText w:val="-"/>
      <w:lvlJc w:val="left"/>
      <w:pPr>
        <w:ind w:left="540" w:hanging="360"/>
      </w:pPr>
      <w:rPr>
        <w:rFonts w:ascii="Arial" w:eastAsia="Times New Roman" w:hAnsi="Arial" w:cs="Arial" w:hint="default"/>
      </w:rPr>
    </w:lvl>
    <w:lvl w:ilvl="1" w:tplc="140A0003" w:tentative="1">
      <w:start w:val="1"/>
      <w:numFmt w:val="bullet"/>
      <w:lvlText w:val="o"/>
      <w:lvlJc w:val="left"/>
      <w:pPr>
        <w:ind w:left="1260" w:hanging="360"/>
      </w:pPr>
      <w:rPr>
        <w:rFonts w:ascii="Courier New" w:hAnsi="Courier New" w:cs="Courier New" w:hint="default"/>
      </w:rPr>
    </w:lvl>
    <w:lvl w:ilvl="2" w:tplc="140A0005" w:tentative="1">
      <w:start w:val="1"/>
      <w:numFmt w:val="bullet"/>
      <w:lvlText w:val=""/>
      <w:lvlJc w:val="left"/>
      <w:pPr>
        <w:ind w:left="1980" w:hanging="360"/>
      </w:pPr>
      <w:rPr>
        <w:rFonts w:ascii="Wingdings" w:hAnsi="Wingdings" w:hint="default"/>
      </w:rPr>
    </w:lvl>
    <w:lvl w:ilvl="3" w:tplc="140A0001" w:tentative="1">
      <w:start w:val="1"/>
      <w:numFmt w:val="bullet"/>
      <w:lvlText w:val=""/>
      <w:lvlJc w:val="left"/>
      <w:pPr>
        <w:ind w:left="2700" w:hanging="360"/>
      </w:pPr>
      <w:rPr>
        <w:rFonts w:ascii="Symbol" w:hAnsi="Symbol" w:hint="default"/>
      </w:rPr>
    </w:lvl>
    <w:lvl w:ilvl="4" w:tplc="140A0003" w:tentative="1">
      <w:start w:val="1"/>
      <w:numFmt w:val="bullet"/>
      <w:lvlText w:val="o"/>
      <w:lvlJc w:val="left"/>
      <w:pPr>
        <w:ind w:left="3420" w:hanging="360"/>
      </w:pPr>
      <w:rPr>
        <w:rFonts w:ascii="Courier New" w:hAnsi="Courier New" w:cs="Courier New" w:hint="default"/>
      </w:rPr>
    </w:lvl>
    <w:lvl w:ilvl="5" w:tplc="140A0005" w:tentative="1">
      <w:start w:val="1"/>
      <w:numFmt w:val="bullet"/>
      <w:lvlText w:val=""/>
      <w:lvlJc w:val="left"/>
      <w:pPr>
        <w:ind w:left="4140" w:hanging="360"/>
      </w:pPr>
      <w:rPr>
        <w:rFonts w:ascii="Wingdings" w:hAnsi="Wingdings" w:hint="default"/>
      </w:rPr>
    </w:lvl>
    <w:lvl w:ilvl="6" w:tplc="140A0001" w:tentative="1">
      <w:start w:val="1"/>
      <w:numFmt w:val="bullet"/>
      <w:lvlText w:val=""/>
      <w:lvlJc w:val="left"/>
      <w:pPr>
        <w:ind w:left="4860" w:hanging="360"/>
      </w:pPr>
      <w:rPr>
        <w:rFonts w:ascii="Symbol" w:hAnsi="Symbol" w:hint="default"/>
      </w:rPr>
    </w:lvl>
    <w:lvl w:ilvl="7" w:tplc="140A0003" w:tentative="1">
      <w:start w:val="1"/>
      <w:numFmt w:val="bullet"/>
      <w:lvlText w:val="o"/>
      <w:lvlJc w:val="left"/>
      <w:pPr>
        <w:ind w:left="5580" w:hanging="360"/>
      </w:pPr>
      <w:rPr>
        <w:rFonts w:ascii="Courier New" w:hAnsi="Courier New" w:cs="Courier New" w:hint="default"/>
      </w:rPr>
    </w:lvl>
    <w:lvl w:ilvl="8" w:tplc="140A0005" w:tentative="1">
      <w:start w:val="1"/>
      <w:numFmt w:val="bullet"/>
      <w:lvlText w:val=""/>
      <w:lvlJc w:val="left"/>
      <w:pPr>
        <w:ind w:left="6300" w:hanging="360"/>
      </w:pPr>
      <w:rPr>
        <w:rFonts w:ascii="Wingdings" w:hAnsi="Wingdings" w:hint="default"/>
      </w:rPr>
    </w:lvl>
  </w:abstractNum>
  <w:abstractNum w:abstractNumId="26" w15:restartNumberingAfterBreak="0">
    <w:nsid w:val="4E985233"/>
    <w:multiLevelType w:val="multilevel"/>
    <w:tmpl w:val="FAC4F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047A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191682"/>
    <w:multiLevelType w:val="hybridMultilevel"/>
    <w:tmpl w:val="4DF40DBE"/>
    <w:lvl w:ilvl="0" w:tplc="9A985062">
      <w:start w:val="1"/>
      <w:numFmt w:val="decimal"/>
      <w:lvlText w:val="%1."/>
      <w:lvlJc w:val="left"/>
      <w:pPr>
        <w:ind w:left="774" w:hanging="360"/>
      </w:pPr>
      <w:rPr>
        <w:rFonts w:ascii="Arial" w:hAnsi="Arial" w:cs="Arial" w:hint="default"/>
        <w:sz w:val="20"/>
        <w:szCs w:val="20"/>
      </w:r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29" w15:restartNumberingAfterBreak="0">
    <w:nsid w:val="555740D0"/>
    <w:multiLevelType w:val="hybridMultilevel"/>
    <w:tmpl w:val="5CEC4DF2"/>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0" w15:restartNumberingAfterBreak="0">
    <w:nsid w:val="56DC08CD"/>
    <w:multiLevelType w:val="multilevel"/>
    <w:tmpl w:val="81143B16"/>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1320B5"/>
    <w:multiLevelType w:val="hybridMultilevel"/>
    <w:tmpl w:val="FDC8AAE0"/>
    <w:lvl w:ilvl="0" w:tplc="4F2A739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EAD6A67"/>
    <w:multiLevelType w:val="hybridMultilevel"/>
    <w:tmpl w:val="8138B6C6"/>
    <w:lvl w:ilvl="0" w:tplc="A0461EAA">
      <w:start w:val="1"/>
      <w:numFmt w:val="decimal"/>
      <w:lvlText w:val="%1."/>
      <w:lvlJc w:val="left"/>
      <w:pPr>
        <w:ind w:left="1080" w:hanging="360"/>
      </w:pPr>
      <w:rPr>
        <w:rFonts w:hint="default"/>
      </w:rPr>
    </w:lvl>
    <w:lvl w:ilvl="1" w:tplc="96BC19A4">
      <w:start w:val="1"/>
      <w:numFmt w:val="lowerLetter"/>
      <w:lvlText w:val="%2)"/>
      <w:lvlJc w:val="left"/>
      <w:pPr>
        <w:ind w:left="1800" w:hanging="360"/>
      </w:pPr>
      <w:rPr>
        <w:rFonts w:hint="default"/>
      </w:r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3" w15:restartNumberingAfterBreak="0">
    <w:nsid w:val="5FEA6451"/>
    <w:multiLevelType w:val="hybridMultilevel"/>
    <w:tmpl w:val="A53678D4"/>
    <w:lvl w:ilvl="0" w:tplc="4216CD9C">
      <w:start w:val="1"/>
      <w:numFmt w:val="bullet"/>
      <w:lvlText w:val=""/>
      <w:lvlJc w:val="left"/>
      <w:pPr>
        <w:ind w:left="502"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7FA1F0D"/>
    <w:multiLevelType w:val="hybridMultilevel"/>
    <w:tmpl w:val="002CD004"/>
    <w:lvl w:ilvl="0" w:tplc="140A000F">
      <w:start w:val="1"/>
      <w:numFmt w:val="decimal"/>
      <w:lvlText w:val="%1."/>
      <w:lvlJc w:val="left"/>
      <w:pPr>
        <w:ind w:left="929" w:hanging="360"/>
      </w:pPr>
    </w:lvl>
    <w:lvl w:ilvl="1" w:tplc="140A0019" w:tentative="1">
      <w:start w:val="1"/>
      <w:numFmt w:val="lowerLetter"/>
      <w:lvlText w:val="%2."/>
      <w:lvlJc w:val="left"/>
      <w:pPr>
        <w:ind w:left="1649" w:hanging="360"/>
      </w:pPr>
    </w:lvl>
    <w:lvl w:ilvl="2" w:tplc="140A001B" w:tentative="1">
      <w:start w:val="1"/>
      <w:numFmt w:val="lowerRoman"/>
      <w:lvlText w:val="%3."/>
      <w:lvlJc w:val="right"/>
      <w:pPr>
        <w:ind w:left="2369" w:hanging="180"/>
      </w:pPr>
    </w:lvl>
    <w:lvl w:ilvl="3" w:tplc="140A000F" w:tentative="1">
      <w:start w:val="1"/>
      <w:numFmt w:val="decimal"/>
      <w:lvlText w:val="%4."/>
      <w:lvlJc w:val="left"/>
      <w:pPr>
        <w:ind w:left="3089" w:hanging="360"/>
      </w:pPr>
    </w:lvl>
    <w:lvl w:ilvl="4" w:tplc="140A0019" w:tentative="1">
      <w:start w:val="1"/>
      <w:numFmt w:val="lowerLetter"/>
      <w:lvlText w:val="%5."/>
      <w:lvlJc w:val="left"/>
      <w:pPr>
        <w:ind w:left="3809" w:hanging="360"/>
      </w:pPr>
    </w:lvl>
    <w:lvl w:ilvl="5" w:tplc="140A001B" w:tentative="1">
      <w:start w:val="1"/>
      <w:numFmt w:val="lowerRoman"/>
      <w:lvlText w:val="%6."/>
      <w:lvlJc w:val="right"/>
      <w:pPr>
        <w:ind w:left="4529" w:hanging="180"/>
      </w:pPr>
    </w:lvl>
    <w:lvl w:ilvl="6" w:tplc="140A000F" w:tentative="1">
      <w:start w:val="1"/>
      <w:numFmt w:val="decimal"/>
      <w:lvlText w:val="%7."/>
      <w:lvlJc w:val="left"/>
      <w:pPr>
        <w:ind w:left="5249" w:hanging="360"/>
      </w:pPr>
    </w:lvl>
    <w:lvl w:ilvl="7" w:tplc="140A0019" w:tentative="1">
      <w:start w:val="1"/>
      <w:numFmt w:val="lowerLetter"/>
      <w:lvlText w:val="%8."/>
      <w:lvlJc w:val="left"/>
      <w:pPr>
        <w:ind w:left="5969" w:hanging="360"/>
      </w:pPr>
    </w:lvl>
    <w:lvl w:ilvl="8" w:tplc="140A001B" w:tentative="1">
      <w:start w:val="1"/>
      <w:numFmt w:val="lowerRoman"/>
      <w:lvlText w:val="%9."/>
      <w:lvlJc w:val="right"/>
      <w:pPr>
        <w:ind w:left="6689" w:hanging="180"/>
      </w:pPr>
    </w:lvl>
  </w:abstractNum>
  <w:abstractNum w:abstractNumId="35" w15:restartNumberingAfterBreak="0">
    <w:nsid w:val="6B3A6FC0"/>
    <w:multiLevelType w:val="hybridMultilevel"/>
    <w:tmpl w:val="BB122258"/>
    <w:lvl w:ilvl="0" w:tplc="BE14B02A">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6" w15:restartNumberingAfterBreak="0">
    <w:nsid w:val="6BF730A4"/>
    <w:multiLevelType w:val="hybridMultilevel"/>
    <w:tmpl w:val="05CCC876"/>
    <w:lvl w:ilvl="0" w:tplc="140A0001">
      <w:start w:val="1"/>
      <w:numFmt w:val="bullet"/>
      <w:lvlText w:val=""/>
      <w:lvlJc w:val="left"/>
      <w:pPr>
        <w:ind w:left="884" w:hanging="360"/>
      </w:pPr>
      <w:rPr>
        <w:rFonts w:ascii="Symbol" w:hAnsi="Symbol" w:hint="default"/>
      </w:rPr>
    </w:lvl>
    <w:lvl w:ilvl="1" w:tplc="140A0003" w:tentative="1">
      <w:start w:val="1"/>
      <w:numFmt w:val="bullet"/>
      <w:lvlText w:val="o"/>
      <w:lvlJc w:val="left"/>
      <w:pPr>
        <w:ind w:left="1604" w:hanging="360"/>
      </w:pPr>
      <w:rPr>
        <w:rFonts w:ascii="Courier New" w:hAnsi="Courier New" w:cs="Courier New" w:hint="default"/>
      </w:rPr>
    </w:lvl>
    <w:lvl w:ilvl="2" w:tplc="140A0005" w:tentative="1">
      <w:start w:val="1"/>
      <w:numFmt w:val="bullet"/>
      <w:lvlText w:val=""/>
      <w:lvlJc w:val="left"/>
      <w:pPr>
        <w:ind w:left="2324" w:hanging="360"/>
      </w:pPr>
      <w:rPr>
        <w:rFonts w:ascii="Wingdings" w:hAnsi="Wingdings" w:hint="default"/>
      </w:rPr>
    </w:lvl>
    <w:lvl w:ilvl="3" w:tplc="140A0001" w:tentative="1">
      <w:start w:val="1"/>
      <w:numFmt w:val="bullet"/>
      <w:lvlText w:val=""/>
      <w:lvlJc w:val="left"/>
      <w:pPr>
        <w:ind w:left="3044" w:hanging="360"/>
      </w:pPr>
      <w:rPr>
        <w:rFonts w:ascii="Symbol" w:hAnsi="Symbol" w:hint="default"/>
      </w:rPr>
    </w:lvl>
    <w:lvl w:ilvl="4" w:tplc="140A0003" w:tentative="1">
      <w:start w:val="1"/>
      <w:numFmt w:val="bullet"/>
      <w:lvlText w:val="o"/>
      <w:lvlJc w:val="left"/>
      <w:pPr>
        <w:ind w:left="3764" w:hanging="360"/>
      </w:pPr>
      <w:rPr>
        <w:rFonts w:ascii="Courier New" w:hAnsi="Courier New" w:cs="Courier New" w:hint="default"/>
      </w:rPr>
    </w:lvl>
    <w:lvl w:ilvl="5" w:tplc="140A0005" w:tentative="1">
      <w:start w:val="1"/>
      <w:numFmt w:val="bullet"/>
      <w:lvlText w:val=""/>
      <w:lvlJc w:val="left"/>
      <w:pPr>
        <w:ind w:left="4484" w:hanging="360"/>
      </w:pPr>
      <w:rPr>
        <w:rFonts w:ascii="Wingdings" w:hAnsi="Wingdings" w:hint="default"/>
      </w:rPr>
    </w:lvl>
    <w:lvl w:ilvl="6" w:tplc="140A0001" w:tentative="1">
      <w:start w:val="1"/>
      <w:numFmt w:val="bullet"/>
      <w:lvlText w:val=""/>
      <w:lvlJc w:val="left"/>
      <w:pPr>
        <w:ind w:left="5204" w:hanging="360"/>
      </w:pPr>
      <w:rPr>
        <w:rFonts w:ascii="Symbol" w:hAnsi="Symbol" w:hint="default"/>
      </w:rPr>
    </w:lvl>
    <w:lvl w:ilvl="7" w:tplc="140A0003" w:tentative="1">
      <w:start w:val="1"/>
      <w:numFmt w:val="bullet"/>
      <w:lvlText w:val="o"/>
      <w:lvlJc w:val="left"/>
      <w:pPr>
        <w:ind w:left="5924" w:hanging="360"/>
      </w:pPr>
      <w:rPr>
        <w:rFonts w:ascii="Courier New" w:hAnsi="Courier New" w:cs="Courier New" w:hint="default"/>
      </w:rPr>
    </w:lvl>
    <w:lvl w:ilvl="8" w:tplc="140A0005" w:tentative="1">
      <w:start w:val="1"/>
      <w:numFmt w:val="bullet"/>
      <w:lvlText w:val=""/>
      <w:lvlJc w:val="left"/>
      <w:pPr>
        <w:ind w:left="6644" w:hanging="360"/>
      </w:pPr>
      <w:rPr>
        <w:rFonts w:ascii="Wingdings" w:hAnsi="Wingdings" w:hint="default"/>
      </w:rPr>
    </w:lvl>
  </w:abstractNum>
  <w:abstractNum w:abstractNumId="37" w15:restartNumberingAfterBreak="0">
    <w:nsid w:val="799C18D3"/>
    <w:multiLevelType w:val="hybridMultilevel"/>
    <w:tmpl w:val="F6F23666"/>
    <w:lvl w:ilvl="0" w:tplc="0C0A0001">
      <w:start w:val="1"/>
      <w:numFmt w:val="bullet"/>
      <w:lvlText w:val=""/>
      <w:lvlJc w:val="left"/>
      <w:pPr>
        <w:ind w:left="720" w:hanging="360"/>
      </w:pPr>
      <w:rPr>
        <w:rFonts w:ascii="Symbol" w:hAnsi="Symbol" w:hint="default"/>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8" w15:restartNumberingAfterBreak="0">
    <w:nsid w:val="7AB37649"/>
    <w:multiLevelType w:val="hybridMultilevel"/>
    <w:tmpl w:val="241C9B50"/>
    <w:lvl w:ilvl="0" w:tplc="A0461EAA">
      <w:start w:val="1"/>
      <w:numFmt w:val="decimal"/>
      <w:lvlText w:val="%1."/>
      <w:lvlJc w:val="left"/>
      <w:pPr>
        <w:ind w:left="144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9" w15:restartNumberingAfterBreak="0">
    <w:nsid w:val="7D7307BB"/>
    <w:multiLevelType w:val="hybridMultilevel"/>
    <w:tmpl w:val="81A0752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DE503A6"/>
    <w:multiLevelType w:val="hybridMultilevel"/>
    <w:tmpl w:val="01183E3E"/>
    <w:lvl w:ilvl="0" w:tplc="140A000F">
      <w:start w:val="1"/>
      <w:numFmt w:val="decimal"/>
      <w:lvlText w:val="%1."/>
      <w:lvlJc w:val="left"/>
      <w:pPr>
        <w:ind w:left="1080" w:hanging="360"/>
      </w:pPr>
    </w:lvl>
    <w:lvl w:ilvl="1" w:tplc="96BC19A4">
      <w:start w:val="1"/>
      <w:numFmt w:val="lowerLetter"/>
      <w:lvlText w:val="%2)"/>
      <w:lvlJc w:val="left"/>
      <w:pPr>
        <w:ind w:left="1800" w:hanging="360"/>
      </w:pPr>
      <w:rPr>
        <w:rFonts w:hint="default"/>
      </w:r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1" w15:restartNumberingAfterBreak="0">
    <w:nsid w:val="7E915EAD"/>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289749136">
    <w:abstractNumId w:val="40"/>
  </w:num>
  <w:num w:numId="2" w16cid:durableId="1317879903">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9778051">
    <w:abstractNumId w:val="24"/>
  </w:num>
  <w:num w:numId="4" w16cid:durableId="857474397">
    <w:abstractNumId w:val="33"/>
  </w:num>
  <w:num w:numId="5" w16cid:durableId="1551187253">
    <w:abstractNumId w:val="32"/>
  </w:num>
  <w:num w:numId="6" w16cid:durableId="491069166">
    <w:abstractNumId w:val="18"/>
  </w:num>
  <w:num w:numId="7" w16cid:durableId="904757208">
    <w:abstractNumId w:val="38"/>
  </w:num>
  <w:num w:numId="8" w16cid:durableId="1165628754">
    <w:abstractNumId w:val="1"/>
  </w:num>
  <w:num w:numId="9" w16cid:durableId="1570652438">
    <w:abstractNumId w:val="11"/>
  </w:num>
  <w:num w:numId="10" w16cid:durableId="965163057">
    <w:abstractNumId w:val="19"/>
  </w:num>
  <w:num w:numId="11" w16cid:durableId="447361536">
    <w:abstractNumId w:val="27"/>
  </w:num>
  <w:num w:numId="12" w16cid:durableId="1679966664">
    <w:abstractNumId w:val="3"/>
  </w:num>
  <w:num w:numId="13" w16cid:durableId="1539588943">
    <w:abstractNumId w:val="41"/>
  </w:num>
  <w:num w:numId="14" w16cid:durableId="377240500">
    <w:abstractNumId w:val="5"/>
  </w:num>
  <w:num w:numId="15" w16cid:durableId="717625545">
    <w:abstractNumId w:val="6"/>
  </w:num>
  <w:num w:numId="16" w16cid:durableId="213932884">
    <w:abstractNumId w:val="22"/>
  </w:num>
  <w:num w:numId="17" w16cid:durableId="567571668">
    <w:abstractNumId w:val="8"/>
  </w:num>
  <w:num w:numId="18" w16cid:durableId="1297763836">
    <w:abstractNumId w:val="17"/>
  </w:num>
  <w:num w:numId="19" w16cid:durableId="836117800">
    <w:abstractNumId w:val="12"/>
  </w:num>
  <w:num w:numId="20" w16cid:durableId="1901015154">
    <w:abstractNumId w:val="28"/>
  </w:num>
  <w:num w:numId="21" w16cid:durableId="1593585486">
    <w:abstractNumId w:val="23"/>
  </w:num>
  <w:num w:numId="22" w16cid:durableId="841429694">
    <w:abstractNumId w:val="16"/>
  </w:num>
  <w:num w:numId="23" w16cid:durableId="1961254803">
    <w:abstractNumId w:val="31"/>
  </w:num>
  <w:num w:numId="24" w16cid:durableId="1362629959">
    <w:abstractNumId w:val="26"/>
  </w:num>
  <w:num w:numId="25" w16cid:durableId="1942103776">
    <w:abstractNumId w:val="14"/>
  </w:num>
  <w:num w:numId="26" w16cid:durableId="9452707">
    <w:abstractNumId w:val="37"/>
  </w:num>
  <w:num w:numId="27" w16cid:durableId="1858305643">
    <w:abstractNumId w:val="15"/>
  </w:num>
  <w:num w:numId="28" w16cid:durableId="558639653">
    <w:abstractNumId w:val="39"/>
  </w:num>
  <w:num w:numId="29" w16cid:durableId="1915889984">
    <w:abstractNumId w:val="34"/>
  </w:num>
  <w:num w:numId="30" w16cid:durableId="165442967">
    <w:abstractNumId w:val="2"/>
  </w:num>
  <w:num w:numId="31" w16cid:durableId="1005089069">
    <w:abstractNumId w:val="21"/>
  </w:num>
  <w:num w:numId="32" w16cid:durableId="546376949">
    <w:abstractNumId w:val="30"/>
  </w:num>
  <w:num w:numId="33" w16cid:durableId="1792817157">
    <w:abstractNumId w:val="13"/>
  </w:num>
  <w:num w:numId="34" w16cid:durableId="1699969491">
    <w:abstractNumId w:val="9"/>
  </w:num>
  <w:num w:numId="35" w16cid:durableId="358507213">
    <w:abstractNumId w:val="29"/>
  </w:num>
  <w:num w:numId="36" w16cid:durableId="986251596">
    <w:abstractNumId w:val="36"/>
  </w:num>
  <w:num w:numId="37" w16cid:durableId="1394891466">
    <w:abstractNumId w:val="4"/>
  </w:num>
  <w:num w:numId="38" w16cid:durableId="1944606886">
    <w:abstractNumId w:val="35"/>
  </w:num>
  <w:num w:numId="39" w16cid:durableId="29885100">
    <w:abstractNumId w:val="20"/>
  </w:num>
  <w:num w:numId="40" w16cid:durableId="700402667">
    <w:abstractNumId w:val="7"/>
  </w:num>
  <w:num w:numId="41" w16cid:durableId="199705174">
    <w:abstractNumId w:val="10"/>
  </w:num>
  <w:num w:numId="42" w16cid:durableId="763453449">
    <w:abstractNumId w:val="25"/>
  </w:num>
  <w:num w:numId="43" w16cid:durableId="20478293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1B"/>
    <w:rsid w:val="000001A9"/>
    <w:rsid w:val="00001E3C"/>
    <w:rsid w:val="00001FD3"/>
    <w:rsid w:val="000022A6"/>
    <w:rsid w:val="000029C0"/>
    <w:rsid w:val="00002FC4"/>
    <w:rsid w:val="000055F5"/>
    <w:rsid w:val="00005880"/>
    <w:rsid w:val="00006E20"/>
    <w:rsid w:val="00006FF0"/>
    <w:rsid w:val="00011536"/>
    <w:rsid w:val="000125B4"/>
    <w:rsid w:val="00012728"/>
    <w:rsid w:val="00012C7C"/>
    <w:rsid w:val="00014D86"/>
    <w:rsid w:val="00015817"/>
    <w:rsid w:val="000165FF"/>
    <w:rsid w:val="00017097"/>
    <w:rsid w:val="00021D67"/>
    <w:rsid w:val="000224B8"/>
    <w:rsid w:val="000225A4"/>
    <w:rsid w:val="000234CA"/>
    <w:rsid w:val="00023FA2"/>
    <w:rsid w:val="000247E7"/>
    <w:rsid w:val="00024830"/>
    <w:rsid w:val="00024D23"/>
    <w:rsid w:val="00024E6D"/>
    <w:rsid w:val="00027072"/>
    <w:rsid w:val="000270DE"/>
    <w:rsid w:val="00030227"/>
    <w:rsid w:val="00031DE6"/>
    <w:rsid w:val="00032E6D"/>
    <w:rsid w:val="0003467F"/>
    <w:rsid w:val="00034DB2"/>
    <w:rsid w:val="0003656A"/>
    <w:rsid w:val="00036A9C"/>
    <w:rsid w:val="000408E5"/>
    <w:rsid w:val="00040C68"/>
    <w:rsid w:val="000412D3"/>
    <w:rsid w:val="00042F55"/>
    <w:rsid w:val="00044DAA"/>
    <w:rsid w:val="00045450"/>
    <w:rsid w:val="000504FB"/>
    <w:rsid w:val="000506B3"/>
    <w:rsid w:val="00051746"/>
    <w:rsid w:val="00055CEA"/>
    <w:rsid w:val="0005637F"/>
    <w:rsid w:val="0005710E"/>
    <w:rsid w:val="0006160E"/>
    <w:rsid w:val="00061924"/>
    <w:rsid w:val="000644AE"/>
    <w:rsid w:val="00064F51"/>
    <w:rsid w:val="000660C0"/>
    <w:rsid w:val="000666B2"/>
    <w:rsid w:val="00067D96"/>
    <w:rsid w:val="000745C2"/>
    <w:rsid w:val="000774FF"/>
    <w:rsid w:val="00077B7B"/>
    <w:rsid w:val="00080BD5"/>
    <w:rsid w:val="000832A6"/>
    <w:rsid w:val="00083F28"/>
    <w:rsid w:val="000847C6"/>
    <w:rsid w:val="00086530"/>
    <w:rsid w:val="000876FA"/>
    <w:rsid w:val="000916C6"/>
    <w:rsid w:val="00092190"/>
    <w:rsid w:val="0009371D"/>
    <w:rsid w:val="000954A0"/>
    <w:rsid w:val="000957B1"/>
    <w:rsid w:val="000957C9"/>
    <w:rsid w:val="00096434"/>
    <w:rsid w:val="00096D4D"/>
    <w:rsid w:val="000A000A"/>
    <w:rsid w:val="000A46EB"/>
    <w:rsid w:val="000A5AFA"/>
    <w:rsid w:val="000B2955"/>
    <w:rsid w:val="000B3F65"/>
    <w:rsid w:val="000B4486"/>
    <w:rsid w:val="000B53DC"/>
    <w:rsid w:val="000B5D06"/>
    <w:rsid w:val="000B6312"/>
    <w:rsid w:val="000B6EEC"/>
    <w:rsid w:val="000B7FA5"/>
    <w:rsid w:val="000C06D4"/>
    <w:rsid w:val="000C0754"/>
    <w:rsid w:val="000C0995"/>
    <w:rsid w:val="000C1E2E"/>
    <w:rsid w:val="000C227C"/>
    <w:rsid w:val="000C2FC9"/>
    <w:rsid w:val="000C4068"/>
    <w:rsid w:val="000C52F7"/>
    <w:rsid w:val="000C65E8"/>
    <w:rsid w:val="000D0B86"/>
    <w:rsid w:val="000D1576"/>
    <w:rsid w:val="000D377F"/>
    <w:rsid w:val="000D4212"/>
    <w:rsid w:val="000E067A"/>
    <w:rsid w:val="000E11E8"/>
    <w:rsid w:val="000E19B5"/>
    <w:rsid w:val="000E27B5"/>
    <w:rsid w:val="000E4D19"/>
    <w:rsid w:val="000E4E06"/>
    <w:rsid w:val="000E54D2"/>
    <w:rsid w:val="000E5999"/>
    <w:rsid w:val="000E5CB3"/>
    <w:rsid w:val="000E6A4F"/>
    <w:rsid w:val="000F0E8B"/>
    <w:rsid w:val="000F105C"/>
    <w:rsid w:val="000F15F3"/>
    <w:rsid w:val="000F3E89"/>
    <w:rsid w:val="000F5733"/>
    <w:rsid w:val="000F661A"/>
    <w:rsid w:val="000F6726"/>
    <w:rsid w:val="000F7475"/>
    <w:rsid w:val="000F796F"/>
    <w:rsid w:val="0010211B"/>
    <w:rsid w:val="001024F1"/>
    <w:rsid w:val="00102E3B"/>
    <w:rsid w:val="001036D3"/>
    <w:rsid w:val="00104045"/>
    <w:rsid w:val="00106253"/>
    <w:rsid w:val="00113B93"/>
    <w:rsid w:val="0011532F"/>
    <w:rsid w:val="001168D5"/>
    <w:rsid w:val="00121BAA"/>
    <w:rsid w:val="0012251F"/>
    <w:rsid w:val="00122960"/>
    <w:rsid w:val="00123EB0"/>
    <w:rsid w:val="001266A0"/>
    <w:rsid w:val="00126DB3"/>
    <w:rsid w:val="001271FB"/>
    <w:rsid w:val="00127661"/>
    <w:rsid w:val="00127B1C"/>
    <w:rsid w:val="00127C6D"/>
    <w:rsid w:val="00130A56"/>
    <w:rsid w:val="001320F9"/>
    <w:rsid w:val="00132375"/>
    <w:rsid w:val="00134BF2"/>
    <w:rsid w:val="001354F8"/>
    <w:rsid w:val="001355A2"/>
    <w:rsid w:val="001359FD"/>
    <w:rsid w:val="00140E74"/>
    <w:rsid w:val="001411AF"/>
    <w:rsid w:val="00141C58"/>
    <w:rsid w:val="00142F1F"/>
    <w:rsid w:val="00143170"/>
    <w:rsid w:val="00147CCD"/>
    <w:rsid w:val="00147E9F"/>
    <w:rsid w:val="00152AEE"/>
    <w:rsid w:val="00152DB4"/>
    <w:rsid w:val="00154756"/>
    <w:rsid w:val="001619B7"/>
    <w:rsid w:val="00162E33"/>
    <w:rsid w:val="00163FC5"/>
    <w:rsid w:val="0016433D"/>
    <w:rsid w:val="00164707"/>
    <w:rsid w:val="00164744"/>
    <w:rsid w:val="00164A8E"/>
    <w:rsid w:val="00165DBE"/>
    <w:rsid w:val="001713CD"/>
    <w:rsid w:val="00171ADC"/>
    <w:rsid w:val="00172248"/>
    <w:rsid w:val="00173F5F"/>
    <w:rsid w:val="001743DB"/>
    <w:rsid w:val="0017521A"/>
    <w:rsid w:val="00175A9C"/>
    <w:rsid w:val="00175B33"/>
    <w:rsid w:val="001765D4"/>
    <w:rsid w:val="00176C7A"/>
    <w:rsid w:val="001775F0"/>
    <w:rsid w:val="00177AD6"/>
    <w:rsid w:val="001807B5"/>
    <w:rsid w:val="0019139B"/>
    <w:rsid w:val="00192312"/>
    <w:rsid w:val="00192379"/>
    <w:rsid w:val="00195257"/>
    <w:rsid w:val="00195E02"/>
    <w:rsid w:val="001A0E3E"/>
    <w:rsid w:val="001A1595"/>
    <w:rsid w:val="001A34F6"/>
    <w:rsid w:val="001A3ACB"/>
    <w:rsid w:val="001A5835"/>
    <w:rsid w:val="001A7C54"/>
    <w:rsid w:val="001A7E01"/>
    <w:rsid w:val="001B1532"/>
    <w:rsid w:val="001B17AA"/>
    <w:rsid w:val="001B2050"/>
    <w:rsid w:val="001B210D"/>
    <w:rsid w:val="001B587D"/>
    <w:rsid w:val="001B76D5"/>
    <w:rsid w:val="001C1341"/>
    <w:rsid w:val="001C15B1"/>
    <w:rsid w:val="001C2123"/>
    <w:rsid w:val="001C3035"/>
    <w:rsid w:val="001C5B8E"/>
    <w:rsid w:val="001D0D9A"/>
    <w:rsid w:val="001D4F2A"/>
    <w:rsid w:val="001D5226"/>
    <w:rsid w:val="001D5F9C"/>
    <w:rsid w:val="001D65F3"/>
    <w:rsid w:val="001E0907"/>
    <w:rsid w:val="001E0A1E"/>
    <w:rsid w:val="001E3313"/>
    <w:rsid w:val="001E6C07"/>
    <w:rsid w:val="001F078B"/>
    <w:rsid w:val="001F1A18"/>
    <w:rsid w:val="001F1B4C"/>
    <w:rsid w:val="001F23B3"/>
    <w:rsid w:val="001F28DC"/>
    <w:rsid w:val="001F31F4"/>
    <w:rsid w:val="001F4BF0"/>
    <w:rsid w:val="001F54FE"/>
    <w:rsid w:val="001F56EC"/>
    <w:rsid w:val="001F728D"/>
    <w:rsid w:val="00200CC6"/>
    <w:rsid w:val="00201A6D"/>
    <w:rsid w:val="00201CA0"/>
    <w:rsid w:val="00201D5E"/>
    <w:rsid w:val="00203FB7"/>
    <w:rsid w:val="00205318"/>
    <w:rsid w:val="00205B0E"/>
    <w:rsid w:val="00205F0A"/>
    <w:rsid w:val="00206926"/>
    <w:rsid w:val="002077D0"/>
    <w:rsid w:val="0021087C"/>
    <w:rsid w:val="00211A07"/>
    <w:rsid w:val="00212403"/>
    <w:rsid w:val="0021253C"/>
    <w:rsid w:val="002144C3"/>
    <w:rsid w:val="00215646"/>
    <w:rsid w:val="00217262"/>
    <w:rsid w:val="002177B8"/>
    <w:rsid w:val="002201CE"/>
    <w:rsid w:val="0022067D"/>
    <w:rsid w:val="00221F43"/>
    <w:rsid w:val="0022345C"/>
    <w:rsid w:val="00223AFB"/>
    <w:rsid w:val="00224080"/>
    <w:rsid w:val="00225E37"/>
    <w:rsid w:val="00225E42"/>
    <w:rsid w:val="002265CC"/>
    <w:rsid w:val="002269B9"/>
    <w:rsid w:val="00227E3F"/>
    <w:rsid w:val="002322A9"/>
    <w:rsid w:val="002333D2"/>
    <w:rsid w:val="00234C85"/>
    <w:rsid w:val="002359CC"/>
    <w:rsid w:val="00235F49"/>
    <w:rsid w:val="0023684A"/>
    <w:rsid w:val="00236B29"/>
    <w:rsid w:val="00236C61"/>
    <w:rsid w:val="002370F4"/>
    <w:rsid w:val="00240FD3"/>
    <w:rsid w:val="002418A1"/>
    <w:rsid w:val="00241F08"/>
    <w:rsid w:val="0024269B"/>
    <w:rsid w:val="0024278F"/>
    <w:rsid w:val="00244959"/>
    <w:rsid w:val="002452CE"/>
    <w:rsid w:val="00246856"/>
    <w:rsid w:val="00246C08"/>
    <w:rsid w:val="002477BF"/>
    <w:rsid w:val="00247AFB"/>
    <w:rsid w:val="0025417E"/>
    <w:rsid w:val="00254B8D"/>
    <w:rsid w:val="00256B79"/>
    <w:rsid w:val="00260D6A"/>
    <w:rsid w:val="00262B92"/>
    <w:rsid w:val="00263884"/>
    <w:rsid w:val="00264640"/>
    <w:rsid w:val="00264871"/>
    <w:rsid w:val="00264E02"/>
    <w:rsid w:val="00265124"/>
    <w:rsid w:val="00265226"/>
    <w:rsid w:val="002658F3"/>
    <w:rsid w:val="00265CFC"/>
    <w:rsid w:val="00266FAC"/>
    <w:rsid w:val="00266FCE"/>
    <w:rsid w:val="00267831"/>
    <w:rsid w:val="00270905"/>
    <w:rsid w:val="00272EF7"/>
    <w:rsid w:val="00274CEC"/>
    <w:rsid w:val="00276376"/>
    <w:rsid w:val="00280DD7"/>
    <w:rsid w:val="0028109C"/>
    <w:rsid w:val="00283955"/>
    <w:rsid w:val="00283A12"/>
    <w:rsid w:val="00284313"/>
    <w:rsid w:val="002852F0"/>
    <w:rsid w:val="002903B9"/>
    <w:rsid w:val="00292A1E"/>
    <w:rsid w:val="002951CC"/>
    <w:rsid w:val="002977A7"/>
    <w:rsid w:val="002A1584"/>
    <w:rsid w:val="002A1638"/>
    <w:rsid w:val="002A1AA8"/>
    <w:rsid w:val="002A4877"/>
    <w:rsid w:val="002A4A6A"/>
    <w:rsid w:val="002A66EA"/>
    <w:rsid w:val="002A6BF7"/>
    <w:rsid w:val="002A6F7F"/>
    <w:rsid w:val="002A7DB8"/>
    <w:rsid w:val="002B08AC"/>
    <w:rsid w:val="002B0A02"/>
    <w:rsid w:val="002B17D6"/>
    <w:rsid w:val="002B1E3E"/>
    <w:rsid w:val="002B30FD"/>
    <w:rsid w:val="002B3CBE"/>
    <w:rsid w:val="002B3D2D"/>
    <w:rsid w:val="002B4205"/>
    <w:rsid w:val="002B4AFB"/>
    <w:rsid w:val="002B57DD"/>
    <w:rsid w:val="002B5DEC"/>
    <w:rsid w:val="002B60A6"/>
    <w:rsid w:val="002B60D7"/>
    <w:rsid w:val="002B77CE"/>
    <w:rsid w:val="002B7A40"/>
    <w:rsid w:val="002C099C"/>
    <w:rsid w:val="002C1112"/>
    <w:rsid w:val="002C3EBC"/>
    <w:rsid w:val="002C5274"/>
    <w:rsid w:val="002C61DF"/>
    <w:rsid w:val="002D01C8"/>
    <w:rsid w:val="002D1188"/>
    <w:rsid w:val="002D12DA"/>
    <w:rsid w:val="002D139A"/>
    <w:rsid w:val="002D25D8"/>
    <w:rsid w:val="002D3540"/>
    <w:rsid w:val="002D3AEA"/>
    <w:rsid w:val="002D4BCE"/>
    <w:rsid w:val="002D5BDA"/>
    <w:rsid w:val="002D678F"/>
    <w:rsid w:val="002E029C"/>
    <w:rsid w:val="002E192E"/>
    <w:rsid w:val="002E1A13"/>
    <w:rsid w:val="002E2B96"/>
    <w:rsid w:val="002E2EFA"/>
    <w:rsid w:val="002E3084"/>
    <w:rsid w:val="002E3ABB"/>
    <w:rsid w:val="002E4028"/>
    <w:rsid w:val="002E47CE"/>
    <w:rsid w:val="002E6AE1"/>
    <w:rsid w:val="002F0299"/>
    <w:rsid w:val="002F03A5"/>
    <w:rsid w:val="002F3202"/>
    <w:rsid w:val="002F482B"/>
    <w:rsid w:val="002F59EA"/>
    <w:rsid w:val="002F600F"/>
    <w:rsid w:val="002F677C"/>
    <w:rsid w:val="002F7997"/>
    <w:rsid w:val="002F7D78"/>
    <w:rsid w:val="0030092E"/>
    <w:rsid w:val="00301447"/>
    <w:rsid w:val="00303A17"/>
    <w:rsid w:val="003052D8"/>
    <w:rsid w:val="00305E61"/>
    <w:rsid w:val="00307101"/>
    <w:rsid w:val="003075AC"/>
    <w:rsid w:val="00307882"/>
    <w:rsid w:val="00307CE9"/>
    <w:rsid w:val="00307FC0"/>
    <w:rsid w:val="003110F2"/>
    <w:rsid w:val="0031153C"/>
    <w:rsid w:val="00311695"/>
    <w:rsid w:val="00311727"/>
    <w:rsid w:val="00312828"/>
    <w:rsid w:val="00314527"/>
    <w:rsid w:val="00315A46"/>
    <w:rsid w:val="00316C93"/>
    <w:rsid w:val="0031768D"/>
    <w:rsid w:val="00321E36"/>
    <w:rsid w:val="00324320"/>
    <w:rsid w:val="0032474D"/>
    <w:rsid w:val="00325415"/>
    <w:rsid w:val="00327CDB"/>
    <w:rsid w:val="00330E3A"/>
    <w:rsid w:val="0033148C"/>
    <w:rsid w:val="00331EC5"/>
    <w:rsid w:val="00332C5F"/>
    <w:rsid w:val="00333598"/>
    <w:rsid w:val="00333723"/>
    <w:rsid w:val="0033403B"/>
    <w:rsid w:val="003346EF"/>
    <w:rsid w:val="00336927"/>
    <w:rsid w:val="00336CD0"/>
    <w:rsid w:val="003418A8"/>
    <w:rsid w:val="00341FDD"/>
    <w:rsid w:val="00342573"/>
    <w:rsid w:val="00343757"/>
    <w:rsid w:val="00343884"/>
    <w:rsid w:val="00343BFA"/>
    <w:rsid w:val="00343EC8"/>
    <w:rsid w:val="00344694"/>
    <w:rsid w:val="00344E7B"/>
    <w:rsid w:val="00345254"/>
    <w:rsid w:val="003452D9"/>
    <w:rsid w:val="00346989"/>
    <w:rsid w:val="00346D7D"/>
    <w:rsid w:val="003474D6"/>
    <w:rsid w:val="00347809"/>
    <w:rsid w:val="00351426"/>
    <w:rsid w:val="003519C1"/>
    <w:rsid w:val="00352A06"/>
    <w:rsid w:val="00354C8D"/>
    <w:rsid w:val="003552D0"/>
    <w:rsid w:val="00355530"/>
    <w:rsid w:val="003561F6"/>
    <w:rsid w:val="0036058A"/>
    <w:rsid w:val="00362B85"/>
    <w:rsid w:val="00363ECF"/>
    <w:rsid w:val="00364729"/>
    <w:rsid w:val="00367330"/>
    <w:rsid w:val="00367AAB"/>
    <w:rsid w:val="00370BA9"/>
    <w:rsid w:val="0037177B"/>
    <w:rsid w:val="0037282E"/>
    <w:rsid w:val="0037326E"/>
    <w:rsid w:val="0037437B"/>
    <w:rsid w:val="0037549C"/>
    <w:rsid w:val="003755CC"/>
    <w:rsid w:val="0037701C"/>
    <w:rsid w:val="00377101"/>
    <w:rsid w:val="00377353"/>
    <w:rsid w:val="00382566"/>
    <w:rsid w:val="00384F1C"/>
    <w:rsid w:val="00386CE0"/>
    <w:rsid w:val="0038717D"/>
    <w:rsid w:val="00390195"/>
    <w:rsid w:val="00393265"/>
    <w:rsid w:val="0039390B"/>
    <w:rsid w:val="00393CC8"/>
    <w:rsid w:val="00395042"/>
    <w:rsid w:val="00395B86"/>
    <w:rsid w:val="00396C88"/>
    <w:rsid w:val="00397D07"/>
    <w:rsid w:val="003A062D"/>
    <w:rsid w:val="003A2BB1"/>
    <w:rsid w:val="003A4323"/>
    <w:rsid w:val="003A5446"/>
    <w:rsid w:val="003A5C42"/>
    <w:rsid w:val="003A7080"/>
    <w:rsid w:val="003B0B41"/>
    <w:rsid w:val="003B2374"/>
    <w:rsid w:val="003B264D"/>
    <w:rsid w:val="003B27A5"/>
    <w:rsid w:val="003B2C6E"/>
    <w:rsid w:val="003B39E4"/>
    <w:rsid w:val="003B633A"/>
    <w:rsid w:val="003B6F78"/>
    <w:rsid w:val="003C066E"/>
    <w:rsid w:val="003C11D5"/>
    <w:rsid w:val="003C250F"/>
    <w:rsid w:val="003C37AC"/>
    <w:rsid w:val="003C4C63"/>
    <w:rsid w:val="003C6631"/>
    <w:rsid w:val="003C7195"/>
    <w:rsid w:val="003C7309"/>
    <w:rsid w:val="003C7F53"/>
    <w:rsid w:val="003D200D"/>
    <w:rsid w:val="003D22CA"/>
    <w:rsid w:val="003D2C8F"/>
    <w:rsid w:val="003D2DF4"/>
    <w:rsid w:val="003D4A4E"/>
    <w:rsid w:val="003D53BA"/>
    <w:rsid w:val="003D59D1"/>
    <w:rsid w:val="003D6A8F"/>
    <w:rsid w:val="003E0AF3"/>
    <w:rsid w:val="003E17A8"/>
    <w:rsid w:val="003E1B17"/>
    <w:rsid w:val="003E34C9"/>
    <w:rsid w:val="003E3662"/>
    <w:rsid w:val="003E3A84"/>
    <w:rsid w:val="003E6CFB"/>
    <w:rsid w:val="003E7329"/>
    <w:rsid w:val="003F1D28"/>
    <w:rsid w:val="003F2372"/>
    <w:rsid w:val="003F23A3"/>
    <w:rsid w:val="003F2555"/>
    <w:rsid w:val="003F4E6B"/>
    <w:rsid w:val="003F514D"/>
    <w:rsid w:val="004005B6"/>
    <w:rsid w:val="00400E96"/>
    <w:rsid w:val="004025B0"/>
    <w:rsid w:val="00403E49"/>
    <w:rsid w:val="00404443"/>
    <w:rsid w:val="00404BB9"/>
    <w:rsid w:val="004059B2"/>
    <w:rsid w:val="00406063"/>
    <w:rsid w:val="00406E95"/>
    <w:rsid w:val="00406F34"/>
    <w:rsid w:val="004122C9"/>
    <w:rsid w:val="004131FF"/>
    <w:rsid w:val="004136F4"/>
    <w:rsid w:val="00413E55"/>
    <w:rsid w:val="00414A97"/>
    <w:rsid w:val="00420278"/>
    <w:rsid w:val="0042311E"/>
    <w:rsid w:val="00423577"/>
    <w:rsid w:val="00424BBB"/>
    <w:rsid w:val="00425656"/>
    <w:rsid w:val="00425801"/>
    <w:rsid w:val="00426039"/>
    <w:rsid w:val="004275BD"/>
    <w:rsid w:val="00430763"/>
    <w:rsid w:val="00430CB4"/>
    <w:rsid w:val="00430FEC"/>
    <w:rsid w:val="0043220E"/>
    <w:rsid w:val="004328DC"/>
    <w:rsid w:val="00432EA6"/>
    <w:rsid w:val="0043372B"/>
    <w:rsid w:val="00435150"/>
    <w:rsid w:val="0043778A"/>
    <w:rsid w:val="00437804"/>
    <w:rsid w:val="004456ED"/>
    <w:rsid w:val="00446C27"/>
    <w:rsid w:val="00447018"/>
    <w:rsid w:val="0044769B"/>
    <w:rsid w:val="004507D4"/>
    <w:rsid w:val="0045264F"/>
    <w:rsid w:val="00452915"/>
    <w:rsid w:val="0045458E"/>
    <w:rsid w:val="00455E22"/>
    <w:rsid w:val="00457210"/>
    <w:rsid w:val="0045779D"/>
    <w:rsid w:val="004609B1"/>
    <w:rsid w:val="00465939"/>
    <w:rsid w:val="00465F97"/>
    <w:rsid w:val="00466E26"/>
    <w:rsid w:val="00467B6E"/>
    <w:rsid w:val="004707C2"/>
    <w:rsid w:val="00470EA5"/>
    <w:rsid w:val="004716BF"/>
    <w:rsid w:val="00471E68"/>
    <w:rsid w:val="0047298A"/>
    <w:rsid w:val="00473043"/>
    <w:rsid w:val="00474CB6"/>
    <w:rsid w:val="00476B34"/>
    <w:rsid w:val="004822EB"/>
    <w:rsid w:val="00483176"/>
    <w:rsid w:val="004831DB"/>
    <w:rsid w:val="00490E37"/>
    <w:rsid w:val="0049330E"/>
    <w:rsid w:val="004939E7"/>
    <w:rsid w:val="00494E09"/>
    <w:rsid w:val="00495C70"/>
    <w:rsid w:val="004A08FA"/>
    <w:rsid w:val="004A1389"/>
    <w:rsid w:val="004A1DC5"/>
    <w:rsid w:val="004A7984"/>
    <w:rsid w:val="004B0336"/>
    <w:rsid w:val="004B11F3"/>
    <w:rsid w:val="004B1EDF"/>
    <w:rsid w:val="004B24A3"/>
    <w:rsid w:val="004B31F4"/>
    <w:rsid w:val="004B6A7A"/>
    <w:rsid w:val="004B6E35"/>
    <w:rsid w:val="004B740D"/>
    <w:rsid w:val="004C03B0"/>
    <w:rsid w:val="004C2319"/>
    <w:rsid w:val="004C27EB"/>
    <w:rsid w:val="004C3FBC"/>
    <w:rsid w:val="004C43E0"/>
    <w:rsid w:val="004C4442"/>
    <w:rsid w:val="004C4E7A"/>
    <w:rsid w:val="004C5896"/>
    <w:rsid w:val="004C65E2"/>
    <w:rsid w:val="004C7792"/>
    <w:rsid w:val="004C7D55"/>
    <w:rsid w:val="004D1B01"/>
    <w:rsid w:val="004D22AD"/>
    <w:rsid w:val="004D43EC"/>
    <w:rsid w:val="004D4ABE"/>
    <w:rsid w:val="004D4D74"/>
    <w:rsid w:val="004D63DC"/>
    <w:rsid w:val="004D65CF"/>
    <w:rsid w:val="004D74F1"/>
    <w:rsid w:val="004D7B9E"/>
    <w:rsid w:val="004E01D4"/>
    <w:rsid w:val="004E494F"/>
    <w:rsid w:val="004E57F5"/>
    <w:rsid w:val="004E6AB2"/>
    <w:rsid w:val="004F07A2"/>
    <w:rsid w:val="004F2C67"/>
    <w:rsid w:val="004F35FD"/>
    <w:rsid w:val="005012E8"/>
    <w:rsid w:val="00503C5D"/>
    <w:rsid w:val="005049FA"/>
    <w:rsid w:val="00504F70"/>
    <w:rsid w:val="00504FEB"/>
    <w:rsid w:val="00505351"/>
    <w:rsid w:val="00506D35"/>
    <w:rsid w:val="005101F8"/>
    <w:rsid w:val="00511836"/>
    <w:rsid w:val="00513A12"/>
    <w:rsid w:val="00514183"/>
    <w:rsid w:val="005144C9"/>
    <w:rsid w:val="00514A55"/>
    <w:rsid w:val="0051553B"/>
    <w:rsid w:val="00515641"/>
    <w:rsid w:val="00515728"/>
    <w:rsid w:val="00516B9A"/>
    <w:rsid w:val="00516EE6"/>
    <w:rsid w:val="00516F72"/>
    <w:rsid w:val="005176EF"/>
    <w:rsid w:val="005211DF"/>
    <w:rsid w:val="00521F5E"/>
    <w:rsid w:val="00522646"/>
    <w:rsid w:val="005228C6"/>
    <w:rsid w:val="0052351B"/>
    <w:rsid w:val="00525671"/>
    <w:rsid w:val="00525983"/>
    <w:rsid w:val="00525E2C"/>
    <w:rsid w:val="0052630D"/>
    <w:rsid w:val="005273B3"/>
    <w:rsid w:val="00530F06"/>
    <w:rsid w:val="00536B96"/>
    <w:rsid w:val="005406B1"/>
    <w:rsid w:val="0054151F"/>
    <w:rsid w:val="005427FB"/>
    <w:rsid w:val="00543E53"/>
    <w:rsid w:val="00545903"/>
    <w:rsid w:val="00545B85"/>
    <w:rsid w:val="00546B1A"/>
    <w:rsid w:val="005505F5"/>
    <w:rsid w:val="005506C3"/>
    <w:rsid w:val="00551224"/>
    <w:rsid w:val="005531DD"/>
    <w:rsid w:val="005538A2"/>
    <w:rsid w:val="0055616F"/>
    <w:rsid w:val="005609E3"/>
    <w:rsid w:val="005611D5"/>
    <w:rsid w:val="005620BC"/>
    <w:rsid w:val="00562A8C"/>
    <w:rsid w:val="00563B6E"/>
    <w:rsid w:val="005654DC"/>
    <w:rsid w:val="0056589C"/>
    <w:rsid w:val="005674B7"/>
    <w:rsid w:val="0057071B"/>
    <w:rsid w:val="00571A5C"/>
    <w:rsid w:val="00571D1F"/>
    <w:rsid w:val="00571E7D"/>
    <w:rsid w:val="0057238C"/>
    <w:rsid w:val="00572C13"/>
    <w:rsid w:val="00573D8D"/>
    <w:rsid w:val="00573F4A"/>
    <w:rsid w:val="0057467E"/>
    <w:rsid w:val="0057471C"/>
    <w:rsid w:val="005776D2"/>
    <w:rsid w:val="00580521"/>
    <w:rsid w:val="00580872"/>
    <w:rsid w:val="00580B51"/>
    <w:rsid w:val="005814B2"/>
    <w:rsid w:val="00582E15"/>
    <w:rsid w:val="00583A61"/>
    <w:rsid w:val="0058700F"/>
    <w:rsid w:val="00587C90"/>
    <w:rsid w:val="005909F5"/>
    <w:rsid w:val="0059242E"/>
    <w:rsid w:val="0059575A"/>
    <w:rsid w:val="005967A4"/>
    <w:rsid w:val="005A084F"/>
    <w:rsid w:val="005A1C1A"/>
    <w:rsid w:val="005A3844"/>
    <w:rsid w:val="005A44ED"/>
    <w:rsid w:val="005A5B34"/>
    <w:rsid w:val="005A6147"/>
    <w:rsid w:val="005B07B9"/>
    <w:rsid w:val="005B2E19"/>
    <w:rsid w:val="005B5EE1"/>
    <w:rsid w:val="005B6DB4"/>
    <w:rsid w:val="005C033B"/>
    <w:rsid w:val="005C18E8"/>
    <w:rsid w:val="005C272D"/>
    <w:rsid w:val="005C2799"/>
    <w:rsid w:val="005C36AA"/>
    <w:rsid w:val="005C41CE"/>
    <w:rsid w:val="005C4227"/>
    <w:rsid w:val="005C7FB3"/>
    <w:rsid w:val="005D0CC9"/>
    <w:rsid w:val="005D5873"/>
    <w:rsid w:val="005D5997"/>
    <w:rsid w:val="005D6BAF"/>
    <w:rsid w:val="005D7F49"/>
    <w:rsid w:val="005E09BF"/>
    <w:rsid w:val="005E127E"/>
    <w:rsid w:val="005E1E56"/>
    <w:rsid w:val="005E33A9"/>
    <w:rsid w:val="005E4226"/>
    <w:rsid w:val="005E48BD"/>
    <w:rsid w:val="005E6602"/>
    <w:rsid w:val="005E7CD3"/>
    <w:rsid w:val="005F1E2E"/>
    <w:rsid w:val="005F27DA"/>
    <w:rsid w:val="005F2EAE"/>
    <w:rsid w:val="005F48D0"/>
    <w:rsid w:val="005F5D38"/>
    <w:rsid w:val="005F6889"/>
    <w:rsid w:val="00600B43"/>
    <w:rsid w:val="00601B71"/>
    <w:rsid w:val="00603CD8"/>
    <w:rsid w:val="00604E69"/>
    <w:rsid w:val="00605136"/>
    <w:rsid w:val="0060545D"/>
    <w:rsid w:val="006058BD"/>
    <w:rsid w:val="0060679C"/>
    <w:rsid w:val="00607320"/>
    <w:rsid w:val="00607C8C"/>
    <w:rsid w:val="00612043"/>
    <w:rsid w:val="0061252C"/>
    <w:rsid w:val="00612A05"/>
    <w:rsid w:val="006130F0"/>
    <w:rsid w:val="006143B4"/>
    <w:rsid w:val="006178BB"/>
    <w:rsid w:val="00621195"/>
    <w:rsid w:val="006227E5"/>
    <w:rsid w:val="006231C6"/>
    <w:rsid w:val="006245CB"/>
    <w:rsid w:val="00624943"/>
    <w:rsid w:val="00624B29"/>
    <w:rsid w:val="00624D02"/>
    <w:rsid w:val="00625A27"/>
    <w:rsid w:val="00627382"/>
    <w:rsid w:val="00630FC5"/>
    <w:rsid w:val="00631523"/>
    <w:rsid w:val="0063263A"/>
    <w:rsid w:val="00632F96"/>
    <w:rsid w:val="006339E8"/>
    <w:rsid w:val="00634A1B"/>
    <w:rsid w:val="0063513F"/>
    <w:rsid w:val="006356D6"/>
    <w:rsid w:val="006362BA"/>
    <w:rsid w:val="00636A99"/>
    <w:rsid w:val="006410F3"/>
    <w:rsid w:val="00641600"/>
    <w:rsid w:val="00643BE2"/>
    <w:rsid w:val="00643EB2"/>
    <w:rsid w:val="00644919"/>
    <w:rsid w:val="00645A46"/>
    <w:rsid w:val="00646734"/>
    <w:rsid w:val="00646C2C"/>
    <w:rsid w:val="006473EA"/>
    <w:rsid w:val="0064762B"/>
    <w:rsid w:val="00647F36"/>
    <w:rsid w:val="006511AF"/>
    <w:rsid w:val="00652328"/>
    <w:rsid w:val="00653C98"/>
    <w:rsid w:val="00657417"/>
    <w:rsid w:val="00657A5D"/>
    <w:rsid w:val="00662E46"/>
    <w:rsid w:val="00664554"/>
    <w:rsid w:val="0066551C"/>
    <w:rsid w:val="00665721"/>
    <w:rsid w:val="006673AB"/>
    <w:rsid w:val="0067132F"/>
    <w:rsid w:val="00673802"/>
    <w:rsid w:val="006743C1"/>
    <w:rsid w:val="00675BC8"/>
    <w:rsid w:val="00676A32"/>
    <w:rsid w:val="006770D9"/>
    <w:rsid w:val="00681258"/>
    <w:rsid w:val="00682842"/>
    <w:rsid w:val="006837B1"/>
    <w:rsid w:val="006839A3"/>
    <w:rsid w:val="00683D86"/>
    <w:rsid w:val="006840C5"/>
    <w:rsid w:val="0068452C"/>
    <w:rsid w:val="0068475E"/>
    <w:rsid w:val="0068724B"/>
    <w:rsid w:val="00687608"/>
    <w:rsid w:val="00687809"/>
    <w:rsid w:val="00687C5A"/>
    <w:rsid w:val="00687D87"/>
    <w:rsid w:val="00691324"/>
    <w:rsid w:val="00692AAA"/>
    <w:rsid w:val="0069459F"/>
    <w:rsid w:val="0069547F"/>
    <w:rsid w:val="00695611"/>
    <w:rsid w:val="00696325"/>
    <w:rsid w:val="006A05F0"/>
    <w:rsid w:val="006A1A62"/>
    <w:rsid w:val="006A36E4"/>
    <w:rsid w:val="006A521C"/>
    <w:rsid w:val="006A610D"/>
    <w:rsid w:val="006B0622"/>
    <w:rsid w:val="006B085A"/>
    <w:rsid w:val="006B1FFD"/>
    <w:rsid w:val="006B3134"/>
    <w:rsid w:val="006B320A"/>
    <w:rsid w:val="006B6972"/>
    <w:rsid w:val="006B74A1"/>
    <w:rsid w:val="006C0F5E"/>
    <w:rsid w:val="006C1993"/>
    <w:rsid w:val="006C2019"/>
    <w:rsid w:val="006C2047"/>
    <w:rsid w:val="006C4501"/>
    <w:rsid w:val="006C5064"/>
    <w:rsid w:val="006D019F"/>
    <w:rsid w:val="006D36B8"/>
    <w:rsid w:val="006D3A68"/>
    <w:rsid w:val="006D3C04"/>
    <w:rsid w:val="006D6158"/>
    <w:rsid w:val="006D6807"/>
    <w:rsid w:val="006D7105"/>
    <w:rsid w:val="006E00B7"/>
    <w:rsid w:val="006E0775"/>
    <w:rsid w:val="006E0857"/>
    <w:rsid w:val="006E253F"/>
    <w:rsid w:val="006E51B3"/>
    <w:rsid w:val="006E5521"/>
    <w:rsid w:val="006E58FD"/>
    <w:rsid w:val="006E5DBE"/>
    <w:rsid w:val="006E73C8"/>
    <w:rsid w:val="006E7E12"/>
    <w:rsid w:val="006F323B"/>
    <w:rsid w:val="006F3729"/>
    <w:rsid w:val="006F4373"/>
    <w:rsid w:val="006F4423"/>
    <w:rsid w:val="006F450A"/>
    <w:rsid w:val="006F5525"/>
    <w:rsid w:val="007063AC"/>
    <w:rsid w:val="007075A7"/>
    <w:rsid w:val="00707B48"/>
    <w:rsid w:val="00707F50"/>
    <w:rsid w:val="00712A37"/>
    <w:rsid w:val="007167C2"/>
    <w:rsid w:val="00721C02"/>
    <w:rsid w:val="00724A36"/>
    <w:rsid w:val="00726503"/>
    <w:rsid w:val="0073137E"/>
    <w:rsid w:val="00731639"/>
    <w:rsid w:val="0073296F"/>
    <w:rsid w:val="00732E2A"/>
    <w:rsid w:val="007344FF"/>
    <w:rsid w:val="00734E80"/>
    <w:rsid w:val="007355C2"/>
    <w:rsid w:val="00740554"/>
    <w:rsid w:val="00740A4C"/>
    <w:rsid w:val="007462B0"/>
    <w:rsid w:val="00747B71"/>
    <w:rsid w:val="0075167F"/>
    <w:rsid w:val="00753D03"/>
    <w:rsid w:val="00753DC6"/>
    <w:rsid w:val="00753FD7"/>
    <w:rsid w:val="0075491B"/>
    <w:rsid w:val="00763489"/>
    <w:rsid w:val="007634C3"/>
    <w:rsid w:val="0076370E"/>
    <w:rsid w:val="00764054"/>
    <w:rsid w:val="00764AE0"/>
    <w:rsid w:val="00764E59"/>
    <w:rsid w:val="007665A2"/>
    <w:rsid w:val="00766653"/>
    <w:rsid w:val="0076667B"/>
    <w:rsid w:val="00767A6C"/>
    <w:rsid w:val="00771AD4"/>
    <w:rsid w:val="0077313B"/>
    <w:rsid w:val="00774DA6"/>
    <w:rsid w:val="00775519"/>
    <w:rsid w:val="00776829"/>
    <w:rsid w:val="00780037"/>
    <w:rsid w:val="00780B1E"/>
    <w:rsid w:val="007813AE"/>
    <w:rsid w:val="0078379D"/>
    <w:rsid w:val="00784373"/>
    <w:rsid w:val="00786262"/>
    <w:rsid w:val="00787757"/>
    <w:rsid w:val="0079364C"/>
    <w:rsid w:val="00796B35"/>
    <w:rsid w:val="00796C32"/>
    <w:rsid w:val="00796DD0"/>
    <w:rsid w:val="007A1356"/>
    <w:rsid w:val="007A15D2"/>
    <w:rsid w:val="007A215C"/>
    <w:rsid w:val="007A27D6"/>
    <w:rsid w:val="007A4732"/>
    <w:rsid w:val="007A485C"/>
    <w:rsid w:val="007B2255"/>
    <w:rsid w:val="007B257D"/>
    <w:rsid w:val="007B2E8D"/>
    <w:rsid w:val="007B334D"/>
    <w:rsid w:val="007B5081"/>
    <w:rsid w:val="007B5150"/>
    <w:rsid w:val="007B60B4"/>
    <w:rsid w:val="007B66E8"/>
    <w:rsid w:val="007B7A20"/>
    <w:rsid w:val="007C2A9F"/>
    <w:rsid w:val="007C3B0A"/>
    <w:rsid w:val="007C3DC7"/>
    <w:rsid w:val="007C3EF7"/>
    <w:rsid w:val="007C4BBF"/>
    <w:rsid w:val="007C5F93"/>
    <w:rsid w:val="007C6A22"/>
    <w:rsid w:val="007C6E82"/>
    <w:rsid w:val="007D04D3"/>
    <w:rsid w:val="007D16F1"/>
    <w:rsid w:val="007D1B06"/>
    <w:rsid w:val="007D1D3F"/>
    <w:rsid w:val="007D1EEE"/>
    <w:rsid w:val="007D2B71"/>
    <w:rsid w:val="007D43C5"/>
    <w:rsid w:val="007D467B"/>
    <w:rsid w:val="007D5307"/>
    <w:rsid w:val="007D5F13"/>
    <w:rsid w:val="007D62F9"/>
    <w:rsid w:val="007D6BC2"/>
    <w:rsid w:val="007D6F92"/>
    <w:rsid w:val="007D7E6B"/>
    <w:rsid w:val="007E115C"/>
    <w:rsid w:val="007E1CB8"/>
    <w:rsid w:val="007E28E0"/>
    <w:rsid w:val="007E2D35"/>
    <w:rsid w:val="007E2F94"/>
    <w:rsid w:val="007E2FEC"/>
    <w:rsid w:val="007E529C"/>
    <w:rsid w:val="007E5F38"/>
    <w:rsid w:val="007E6AFA"/>
    <w:rsid w:val="007F08B4"/>
    <w:rsid w:val="007F08CF"/>
    <w:rsid w:val="007F1E05"/>
    <w:rsid w:val="007F3196"/>
    <w:rsid w:val="007F3B86"/>
    <w:rsid w:val="007F45B7"/>
    <w:rsid w:val="007F63C7"/>
    <w:rsid w:val="007F793E"/>
    <w:rsid w:val="00800419"/>
    <w:rsid w:val="00800693"/>
    <w:rsid w:val="008017DB"/>
    <w:rsid w:val="0080181D"/>
    <w:rsid w:val="00801F3D"/>
    <w:rsid w:val="00802E33"/>
    <w:rsid w:val="00802FB4"/>
    <w:rsid w:val="00803D58"/>
    <w:rsid w:val="00804C9A"/>
    <w:rsid w:val="00804E9D"/>
    <w:rsid w:val="008055C7"/>
    <w:rsid w:val="00805D21"/>
    <w:rsid w:val="00806CBD"/>
    <w:rsid w:val="00807EEF"/>
    <w:rsid w:val="0081028C"/>
    <w:rsid w:val="00812E40"/>
    <w:rsid w:val="00813077"/>
    <w:rsid w:val="008144D3"/>
    <w:rsid w:val="008159BA"/>
    <w:rsid w:val="00822719"/>
    <w:rsid w:val="00825BF3"/>
    <w:rsid w:val="0082634B"/>
    <w:rsid w:val="008301A2"/>
    <w:rsid w:val="008318EC"/>
    <w:rsid w:val="00834958"/>
    <w:rsid w:val="00835648"/>
    <w:rsid w:val="008374C8"/>
    <w:rsid w:val="00840DC3"/>
    <w:rsid w:val="008415BC"/>
    <w:rsid w:val="008422D6"/>
    <w:rsid w:val="00843774"/>
    <w:rsid w:val="0084584F"/>
    <w:rsid w:val="008466E5"/>
    <w:rsid w:val="00850339"/>
    <w:rsid w:val="00850402"/>
    <w:rsid w:val="00850828"/>
    <w:rsid w:val="0085111E"/>
    <w:rsid w:val="008527BE"/>
    <w:rsid w:val="00852C49"/>
    <w:rsid w:val="00857BC0"/>
    <w:rsid w:val="00860EA9"/>
    <w:rsid w:val="00861D55"/>
    <w:rsid w:val="00862E23"/>
    <w:rsid w:val="008637EB"/>
    <w:rsid w:val="0086388B"/>
    <w:rsid w:val="008648FB"/>
    <w:rsid w:val="00864A8E"/>
    <w:rsid w:val="008664BF"/>
    <w:rsid w:val="00866BE4"/>
    <w:rsid w:val="00867003"/>
    <w:rsid w:val="00867C91"/>
    <w:rsid w:val="0087010F"/>
    <w:rsid w:val="00871CD7"/>
    <w:rsid w:val="00872543"/>
    <w:rsid w:val="00874E5C"/>
    <w:rsid w:val="00875BF3"/>
    <w:rsid w:val="00880129"/>
    <w:rsid w:val="00880C2D"/>
    <w:rsid w:val="00881024"/>
    <w:rsid w:val="00883376"/>
    <w:rsid w:val="00883D2E"/>
    <w:rsid w:val="00884541"/>
    <w:rsid w:val="00884F34"/>
    <w:rsid w:val="00884F54"/>
    <w:rsid w:val="00884FCB"/>
    <w:rsid w:val="00885B20"/>
    <w:rsid w:val="008864E0"/>
    <w:rsid w:val="00887850"/>
    <w:rsid w:val="008911E0"/>
    <w:rsid w:val="008934C5"/>
    <w:rsid w:val="00897EFE"/>
    <w:rsid w:val="008A0E88"/>
    <w:rsid w:val="008A4515"/>
    <w:rsid w:val="008A4B43"/>
    <w:rsid w:val="008A4B6E"/>
    <w:rsid w:val="008A4FC0"/>
    <w:rsid w:val="008A5417"/>
    <w:rsid w:val="008A54A7"/>
    <w:rsid w:val="008A557E"/>
    <w:rsid w:val="008A6602"/>
    <w:rsid w:val="008A6822"/>
    <w:rsid w:val="008A6F0C"/>
    <w:rsid w:val="008B0FA9"/>
    <w:rsid w:val="008B36D0"/>
    <w:rsid w:val="008B3B02"/>
    <w:rsid w:val="008B44CE"/>
    <w:rsid w:val="008B4C6F"/>
    <w:rsid w:val="008B5146"/>
    <w:rsid w:val="008B5441"/>
    <w:rsid w:val="008B6086"/>
    <w:rsid w:val="008B60BD"/>
    <w:rsid w:val="008C2124"/>
    <w:rsid w:val="008C2227"/>
    <w:rsid w:val="008C2A50"/>
    <w:rsid w:val="008C5E1B"/>
    <w:rsid w:val="008D3C2F"/>
    <w:rsid w:val="008D473C"/>
    <w:rsid w:val="008D5638"/>
    <w:rsid w:val="008D5B36"/>
    <w:rsid w:val="008E3AAB"/>
    <w:rsid w:val="008E4FEF"/>
    <w:rsid w:val="008E538C"/>
    <w:rsid w:val="008E60E2"/>
    <w:rsid w:val="008E7E97"/>
    <w:rsid w:val="008F0F04"/>
    <w:rsid w:val="008F128D"/>
    <w:rsid w:val="008F273A"/>
    <w:rsid w:val="008F2D58"/>
    <w:rsid w:val="008F596B"/>
    <w:rsid w:val="008F625D"/>
    <w:rsid w:val="008F74D8"/>
    <w:rsid w:val="008F7B41"/>
    <w:rsid w:val="00902358"/>
    <w:rsid w:val="00902466"/>
    <w:rsid w:val="0090325F"/>
    <w:rsid w:val="0090327D"/>
    <w:rsid w:val="00904187"/>
    <w:rsid w:val="00905DBD"/>
    <w:rsid w:val="0090684C"/>
    <w:rsid w:val="00906901"/>
    <w:rsid w:val="009077B9"/>
    <w:rsid w:val="00907E32"/>
    <w:rsid w:val="00910AFF"/>
    <w:rsid w:val="00911050"/>
    <w:rsid w:val="00911C3E"/>
    <w:rsid w:val="009122C0"/>
    <w:rsid w:val="0091510D"/>
    <w:rsid w:val="00915642"/>
    <w:rsid w:val="00915DD1"/>
    <w:rsid w:val="00921107"/>
    <w:rsid w:val="0092214C"/>
    <w:rsid w:val="009225BC"/>
    <w:rsid w:val="00922E72"/>
    <w:rsid w:val="0092652C"/>
    <w:rsid w:val="00927981"/>
    <w:rsid w:val="0093008C"/>
    <w:rsid w:val="00930197"/>
    <w:rsid w:val="0093055A"/>
    <w:rsid w:val="009305D1"/>
    <w:rsid w:val="009363C3"/>
    <w:rsid w:val="00936FF5"/>
    <w:rsid w:val="00937EA3"/>
    <w:rsid w:val="009407C7"/>
    <w:rsid w:val="009417B5"/>
    <w:rsid w:val="00941C81"/>
    <w:rsid w:val="00943FA4"/>
    <w:rsid w:val="009443BC"/>
    <w:rsid w:val="00944FE3"/>
    <w:rsid w:val="0095036F"/>
    <w:rsid w:val="00950D7C"/>
    <w:rsid w:val="00953CFD"/>
    <w:rsid w:val="009564D0"/>
    <w:rsid w:val="009571E1"/>
    <w:rsid w:val="0095720A"/>
    <w:rsid w:val="00957287"/>
    <w:rsid w:val="00957AE3"/>
    <w:rsid w:val="00962027"/>
    <w:rsid w:val="009621DF"/>
    <w:rsid w:val="0096331D"/>
    <w:rsid w:val="009643D0"/>
    <w:rsid w:val="00964B6A"/>
    <w:rsid w:val="00966566"/>
    <w:rsid w:val="00967AD3"/>
    <w:rsid w:val="00970E0A"/>
    <w:rsid w:val="00971615"/>
    <w:rsid w:val="0097250E"/>
    <w:rsid w:val="00973AA5"/>
    <w:rsid w:val="0097456F"/>
    <w:rsid w:val="00974AC0"/>
    <w:rsid w:val="00975B22"/>
    <w:rsid w:val="00976037"/>
    <w:rsid w:val="00977126"/>
    <w:rsid w:val="00977C9F"/>
    <w:rsid w:val="00981AE4"/>
    <w:rsid w:val="00981E92"/>
    <w:rsid w:val="009823D7"/>
    <w:rsid w:val="00982CA7"/>
    <w:rsid w:val="0098449C"/>
    <w:rsid w:val="00987342"/>
    <w:rsid w:val="009877AD"/>
    <w:rsid w:val="0099070E"/>
    <w:rsid w:val="00990A23"/>
    <w:rsid w:val="009916F1"/>
    <w:rsid w:val="00991C14"/>
    <w:rsid w:val="009931B4"/>
    <w:rsid w:val="0099331F"/>
    <w:rsid w:val="00994F9F"/>
    <w:rsid w:val="0099593C"/>
    <w:rsid w:val="009973C7"/>
    <w:rsid w:val="009A0555"/>
    <w:rsid w:val="009A1AEB"/>
    <w:rsid w:val="009A2464"/>
    <w:rsid w:val="009A271C"/>
    <w:rsid w:val="009A3D8B"/>
    <w:rsid w:val="009A42E6"/>
    <w:rsid w:val="009A4340"/>
    <w:rsid w:val="009A47A6"/>
    <w:rsid w:val="009A47FC"/>
    <w:rsid w:val="009A5147"/>
    <w:rsid w:val="009A67DF"/>
    <w:rsid w:val="009A68ED"/>
    <w:rsid w:val="009A72FE"/>
    <w:rsid w:val="009A78AD"/>
    <w:rsid w:val="009B0E56"/>
    <w:rsid w:val="009B1026"/>
    <w:rsid w:val="009B1D0D"/>
    <w:rsid w:val="009C0595"/>
    <w:rsid w:val="009C1739"/>
    <w:rsid w:val="009C207E"/>
    <w:rsid w:val="009C2748"/>
    <w:rsid w:val="009C3C2F"/>
    <w:rsid w:val="009C4368"/>
    <w:rsid w:val="009C439A"/>
    <w:rsid w:val="009C5937"/>
    <w:rsid w:val="009C5A32"/>
    <w:rsid w:val="009C6E90"/>
    <w:rsid w:val="009D025B"/>
    <w:rsid w:val="009D2E3E"/>
    <w:rsid w:val="009D3212"/>
    <w:rsid w:val="009D34FB"/>
    <w:rsid w:val="009D4293"/>
    <w:rsid w:val="009D4533"/>
    <w:rsid w:val="009D4809"/>
    <w:rsid w:val="009D58F7"/>
    <w:rsid w:val="009D7F9D"/>
    <w:rsid w:val="009E0BB0"/>
    <w:rsid w:val="009E117E"/>
    <w:rsid w:val="009E19D7"/>
    <w:rsid w:val="009E1C38"/>
    <w:rsid w:val="009E1E34"/>
    <w:rsid w:val="009E2FF7"/>
    <w:rsid w:val="009E50A8"/>
    <w:rsid w:val="009F0291"/>
    <w:rsid w:val="009F0BA0"/>
    <w:rsid w:val="009F0F81"/>
    <w:rsid w:val="009F1045"/>
    <w:rsid w:val="009F18C3"/>
    <w:rsid w:val="009F22E1"/>
    <w:rsid w:val="009F4296"/>
    <w:rsid w:val="009F5D26"/>
    <w:rsid w:val="009F7298"/>
    <w:rsid w:val="009F7376"/>
    <w:rsid w:val="00A0220A"/>
    <w:rsid w:val="00A026FC"/>
    <w:rsid w:val="00A02AEB"/>
    <w:rsid w:val="00A0366A"/>
    <w:rsid w:val="00A0451C"/>
    <w:rsid w:val="00A07482"/>
    <w:rsid w:val="00A11560"/>
    <w:rsid w:val="00A1178F"/>
    <w:rsid w:val="00A12720"/>
    <w:rsid w:val="00A140B5"/>
    <w:rsid w:val="00A1414A"/>
    <w:rsid w:val="00A142D9"/>
    <w:rsid w:val="00A14AEB"/>
    <w:rsid w:val="00A15E30"/>
    <w:rsid w:val="00A16C94"/>
    <w:rsid w:val="00A16ECF"/>
    <w:rsid w:val="00A17C59"/>
    <w:rsid w:val="00A20485"/>
    <w:rsid w:val="00A22B47"/>
    <w:rsid w:val="00A22CD2"/>
    <w:rsid w:val="00A22D51"/>
    <w:rsid w:val="00A23160"/>
    <w:rsid w:val="00A25E8D"/>
    <w:rsid w:val="00A300E7"/>
    <w:rsid w:val="00A31400"/>
    <w:rsid w:val="00A31510"/>
    <w:rsid w:val="00A3179F"/>
    <w:rsid w:val="00A318D4"/>
    <w:rsid w:val="00A32E6B"/>
    <w:rsid w:val="00A36077"/>
    <w:rsid w:val="00A43D09"/>
    <w:rsid w:val="00A43E70"/>
    <w:rsid w:val="00A43F58"/>
    <w:rsid w:val="00A4431B"/>
    <w:rsid w:val="00A45010"/>
    <w:rsid w:val="00A451CE"/>
    <w:rsid w:val="00A4558E"/>
    <w:rsid w:val="00A46431"/>
    <w:rsid w:val="00A47412"/>
    <w:rsid w:val="00A51FA7"/>
    <w:rsid w:val="00A523B5"/>
    <w:rsid w:val="00A53E32"/>
    <w:rsid w:val="00A53F85"/>
    <w:rsid w:val="00A54939"/>
    <w:rsid w:val="00A608A6"/>
    <w:rsid w:val="00A61528"/>
    <w:rsid w:val="00A6246F"/>
    <w:rsid w:val="00A62722"/>
    <w:rsid w:val="00A64400"/>
    <w:rsid w:val="00A710BA"/>
    <w:rsid w:val="00A716AC"/>
    <w:rsid w:val="00A73523"/>
    <w:rsid w:val="00A74579"/>
    <w:rsid w:val="00A74B1A"/>
    <w:rsid w:val="00A75681"/>
    <w:rsid w:val="00A7779B"/>
    <w:rsid w:val="00A778E4"/>
    <w:rsid w:val="00A77DDE"/>
    <w:rsid w:val="00A80B56"/>
    <w:rsid w:val="00A81372"/>
    <w:rsid w:val="00A81909"/>
    <w:rsid w:val="00A81D03"/>
    <w:rsid w:val="00A8218B"/>
    <w:rsid w:val="00A824DF"/>
    <w:rsid w:val="00A82F4E"/>
    <w:rsid w:val="00A841E8"/>
    <w:rsid w:val="00A8440B"/>
    <w:rsid w:val="00A85C60"/>
    <w:rsid w:val="00A862A4"/>
    <w:rsid w:val="00A865D7"/>
    <w:rsid w:val="00A86A42"/>
    <w:rsid w:val="00A86ABD"/>
    <w:rsid w:val="00A91702"/>
    <w:rsid w:val="00A935F1"/>
    <w:rsid w:val="00A9445E"/>
    <w:rsid w:val="00A94B1B"/>
    <w:rsid w:val="00A95833"/>
    <w:rsid w:val="00A97FED"/>
    <w:rsid w:val="00AA0A79"/>
    <w:rsid w:val="00AA104D"/>
    <w:rsid w:val="00AA194C"/>
    <w:rsid w:val="00AA2E43"/>
    <w:rsid w:val="00AA5276"/>
    <w:rsid w:val="00AA549A"/>
    <w:rsid w:val="00AA6978"/>
    <w:rsid w:val="00AA799E"/>
    <w:rsid w:val="00AB0D35"/>
    <w:rsid w:val="00AB1EE9"/>
    <w:rsid w:val="00AB24A8"/>
    <w:rsid w:val="00AB467A"/>
    <w:rsid w:val="00AB72FB"/>
    <w:rsid w:val="00AB7312"/>
    <w:rsid w:val="00AC18C9"/>
    <w:rsid w:val="00AC1B24"/>
    <w:rsid w:val="00AC215D"/>
    <w:rsid w:val="00AC2450"/>
    <w:rsid w:val="00AC41EB"/>
    <w:rsid w:val="00AC4F49"/>
    <w:rsid w:val="00AC5205"/>
    <w:rsid w:val="00AC6271"/>
    <w:rsid w:val="00AC6E06"/>
    <w:rsid w:val="00AC6FA8"/>
    <w:rsid w:val="00AD034A"/>
    <w:rsid w:val="00AD05E7"/>
    <w:rsid w:val="00AD21CD"/>
    <w:rsid w:val="00AD77EF"/>
    <w:rsid w:val="00AD7C6A"/>
    <w:rsid w:val="00AE233D"/>
    <w:rsid w:val="00AE5492"/>
    <w:rsid w:val="00AF085F"/>
    <w:rsid w:val="00AF6F31"/>
    <w:rsid w:val="00AF71F0"/>
    <w:rsid w:val="00B00A76"/>
    <w:rsid w:val="00B04731"/>
    <w:rsid w:val="00B053F0"/>
    <w:rsid w:val="00B05707"/>
    <w:rsid w:val="00B06752"/>
    <w:rsid w:val="00B078A4"/>
    <w:rsid w:val="00B11452"/>
    <w:rsid w:val="00B125DD"/>
    <w:rsid w:val="00B13F4D"/>
    <w:rsid w:val="00B14C08"/>
    <w:rsid w:val="00B15B08"/>
    <w:rsid w:val="00B205D4"/>
    <w:rsid w:val="00B2143C"/>
    <w:rsid w:val="00B23724"/>
    <w:rsid w:val="00B23888"/>
    <w:rsid w:val="00B23D00"/>
    <w:rsid w:val="00B24078"/>
    <w:rsid w:val="00B2418F"/>
    <w:rsid w:val="00B24F33"/>
    <w:rsid w:val="00B25472"/>
    <w:rsid w:val="00B25489"/>
    <w:rsid w:val="00B2591F"/>
    <w:rsid w:val="00B2702F"/>
    <w:rsid w:val="00B27602"/>
    <w:rsid w:val="00B31D42"/>
    <w:rsid w:val="00B34295"/>
    <w:rsid w:val="00B3609D"/>
    <w:rsid w:val="00B409C6"/>
    <w:rsid w:val="00B41C3B"/>
    <w:rsid w:val="00B450F9"/>
    <w:rsid w:val="00B45891"/>
    <w:rsid w:val="00B476F5"/>
    <w:rsid w:val="00B47856"/>
    <w:rsid w:val="00B504FA"/>
    <w:rsid w:val="00B52CB8"/>
    <w:rsid w:val="00B53B9E"/>
    <w:rsid w:val="00B542DB"/>
    <w:rsid w:val="00B54D92"/>
    <w:rsid w:val="00B56A6E"/>
    <w:rsid w:val="00B612A1"/>
    <w:rsid w:val="00B64855"/>
    <w:rsid w:val="00B64B0B"/>
    <w:rsid w:val="00B66918"/>
    <w:rsid w:val="00B7024C"/>
    <w:rsid w:val="00B70314"/>
    <w:rsid w:val="00B70C6E"/>
    <w:rsid w:val="00B70E0C"/>
    <w:rsid w:val="00B72E74"/>
    <w:rsid w:val="00B7549A"/>
    <w:rsid w:val="00B75FCB"/>
    <w:rsid w:val="00B76419"/>
    <w:rsid w:val="00B803E7"/>
    <w:rsid w:val="00B814A1"/>
    <w:rsid w:val="00B817CB"/>
    <w:rsid w:val="00B82DA6"/>
    <w:rsid w:val="00B8517D"/>
    <w:rsid w:val="00B85F41"/>
    <w:rsid w:val="00B90568"/>
    <w:rsid w:val="00B92099"/>
    <w:rsid w:val="00B93B2F"/>
    <w:rsid w:val="00B93D83"/>
    <w:rsid w:val="00B93EF9"/>
    <w:rsid w:val="00B95D7E"/>
    <w:rsid w:val="00B97D15"/>
    <w:rsid w:val="00BA0CE4"/>
    <w:rsid w:val="00BA30A7"/>
    <w:rsid w:val="00BA30CE"/>
    <w:rsid w:val="00BA4A4C"/>
    <w:rsid w:val="00BA6892"/>
    <w:rsid w:val="00BB132A"/>
    <w:rsid w:val="00BB158F"/>
    <w:rsid w:val="00BB2646"/>
    <w:rsid w:val="00BB35D2"/>
    <w:rsid w:val="00BB3B01"/>
    <w:rsid w:val="00BB6148"/>
    <w:rsid w:val="00BC16C2"/>
    <w:rsid w:val="00BC2B3A"/>
    <w:rsid w:val="00BC2D1D"/>
    <w:rsid w:val="00BC36FF"/>
    <w:rsid w:val="00BC4117"/>
    <w:rsid w:val="00BC620C"/>
    <w:rsid w:val="00BC66F0"/>
    <w:rsid w:val="00BC675D"/>
    <w:rsid w:val="00BD0E54"/>
    <w:rsid w:val="00BD2572"/>
    <w:rsid w:val="00BD4590"/>
    <w:rsid w:val="00BD708D"/>
    <w:rsid w:val="00BD7BE0"/>
    <w:rsid w:val="00BD7E2A"/>
    <w:rsid w:val="00BE1003"/>
    <w:rsid w:val="00BE11CC"/>
    <w:rsid w:val="00BE2E2E"/>
    <w:rsid w:val="00BE3A34"/>
    <w:rsid w:val="00BE6171"/>
    <w:rsid w:val="00BF0F44"/>
    <w:rsid w:val="00BF12DE"/>
    <w:rsid w:val="00BF32B6"/>
    <w:rsid w:val="00BF530E"/>
    <w:rsid w:val="00BF54E9"/>
    <w:rsid w:val="00BF6006"/>
    <w:rsid w:val="00BF61F8"/>
    <w:rsid w:val="00BF69BA"/>
    <w:rsid w:val="00BF7C90"/>
    <w:rsid w:val="00C00E8F"/>
    <w:rsid w:val="00C049D3"/>
    <w:rsid w:val="00C05E98"/>
    <w:rsid w:val="00C07714"/>
    <w:rsid w:val="00C07A95"/>
    <w:rsid w:val="00C07BC3"/>
    <w:rsid w:val="00C07D43"/>
    <w:rsid w:val="00C1405F"/>
    <w:rsid w:val="00C16470"/>
    <w:rsid w:val="00C1737A"/>
    <w:rsid w:val="00C177F5"/>
    <w:rsid w:val="00C17E25"/>
    <w:rsid w:val="00C17EAC"/>
    <w:rsid w:val="00C2045C"/>
    <w:rsid w:val="00C208A8"/>
    <w:rsid w:val="00C217B1"/>
    <w:rsid w:val="00C21A2C"/>
    <w:rsid w:val="00C237B1"/>
    <w:rsid w:val="00C23C1B"/>
    <w:rsid w:val="00C23EFE"/>
    <w:rsid w:val="00C315A4"/>
    <w:rsid w:val="00C31CD8"/>
    <w:rsid w:val="00C3226C"/>
    <w:rsid w:val="00C334EF"/>
    <w:rsid w:val="00C3457F"/>
    <w:rsid w:val="00C34E51"/>
    <w:rsid w:val="00C352E9"/>
    <w:rsid w:val="00C36F6B"/>
    <w:rsid w:val="00C3766C"/>
    <w:rsid w:val="00C4159E"/>
    <w:rsid w:val="00C44108"/>
    <w:rsid w:val="00C446BD"/>
    <w:rsid w:val="00C456EA"/>
    <w:rsid w:val="00C46EB0"/>
    <w:rsid w:val="00C4767F"/>
    <w:rsid w:val="00C50080"/>
    <w:rsid w:val="00C507A9"/>
    <w:rsid w:val="00C52F77"/>
    <w:rsid w:val="00C53124"/>
    <w:rsid w:val="00C55D7E"/>
    <w:rsid w:val="00C56DB8"/>
    <w:rsid w:val="00C57AB0"/>
    <w:rsid w:val="00C61E60"/>
    <w:rsid w:val="00C61E8B"/>
    <w:rsid w:val="00C61EF5"/>
    <w:rsid w:val="00C635F6"/>
    <w:rsid w:val="00C63E9D"/>
    <w:rsid w:val="00C6403C"/>
    <w:rsid w:val="00C641AC"/>
    <w:rsid w:val="00C64838"/>
    <w:rsid w:val="00C64FA7"/>
    <w:rsid w:val="00C65451"/>
    <w:rsid w:val="00C65636"/>
    <w:rsid w:val="00C670AB"/>
    <w:rsid w:val="00C67352"/>
    <w:rsid w:val="00C678B8"/>
    <w:rsid w:val="00C7070D"/>
    <w:rsid w:val="00C71874"/>
    <w:rsid w:val="00C71C08"/>
    <w:rsid w:val="00C73178"/>
    <w:rsid w:val="00C73D12"/>
    <w:rsid w:val="00C74A23"/>
    <w:rsid w:val="00C74DD2"/>
    <w:rsid w:val="00C74E86"/>
    <w:rsid w:val="00C75396"/>
    <w:rsid w:val="00C755BF"/>
    <w:rsid w:val="00C75A93"/>
    <w:rsid w:val="00C76D6D"/>
    <w:rsid w:val="00C8082F"/>
    <w:rsid w:val="00C80935"/>
    <w:rsid w:val="00C81AF6"/>
    <w:rsid w:val="00C81FE0"/>
    <w:rsid w:val="00C83073"/>
    <w:rsid w:val="00C84C04"/>
    <w:rsid w:val="00C86C61"/>
    <w:rsid w:val="00C90685"/>
    <w:rsid w:val="00C90C45"/>
    <w:rsid w:val="00C91502"/>
    <w:rsid w:val="00C91879"/>
    <w:rsid w:val="00C92527"/>
    <w:rsid w:val="00C92F5D"/>
    <w:rsid w:val="00C93A00"/>
    <w:rsid w:val="00C94F4D"/>
    <w:rsid w:val="00C95063"/>
    <w:rsid w:val="00C95E17"/>
    <w:rsid w:val="00C9670C"/>
    <w:rsid w:val="00C974BD"/>
    <w:rsid w:val="00CA1CB3"/>
    <w:rsid w:val="00CA1F6B"/>
    <w:rsid w:val="00CA20C1"/>
    <w:rsid w:val="00CA276E"/>
    <w:rsid w:val="00CA2815"/>
    <w:rsid w:val="00CA2DFF"/>
    <w:rsid w:val="00CA4261"/>
    <w:rsid w:val="00CA4D3A"/>
    <w:rsid w:val="00CA5EAC"/>
    <w:rsid w:val="00CA7A78"/>
    <w:rsid w:val="00CB2950"/>
    <w:rsid w:val="00CB7CBF"/>
    <w:rsid w:val="00CC1231"/>
    <w:rsid w:val="00CC19E0"/>
    <w:rsid w:val="00CC1B4F"/>
    <w:rsid w:val="00CC1E93"/>
    <w:rsid w:val="00CC21AA"/>
    <w:rsid w:val="00CC24E4"/>
    <w:rsid w:val="00CC3BB5"/>
    <w:rsid w:val="00CC4523"/>
    <w:rsid w:val="00CC627D"/>
    <w:rsid w:val="00CC6647"/>
    <w:rsid w:val="00CC6BBB"/>
    <w:rsid w:val="00CC7B51"/>
    <w:rsid w:val="00CD1202"/>
    <w:rsid w:val="00CD1643"/>
    <w:rsid w:val="00CD17A6"/>
    <w:rsid w:val="00CD2064"/>
    <w:rsid w:val="00CD2AC6"/>
    <w:rsid w:val="00CD2E20"/>
    <w:rsid w:val="00CD30B1"/>
    <w:rsid w:val="00CD368E"/>
    <w:rsid w:val="00CD4417"/>
    <w:rsid w:val="00CD491C"/>
    <w:rsid w:val="00CD5439"/>
    <w:rsid w:val="00CD6221"/>
    <w:rsid w:val="00CD73D1"/>
    <w:rsid w:val="00CE0E6C"/>
    <w:rsid w:val="00CE1531"/>
    <w:rsid w:val="00CE2196"/>
    <w:rsid w:val="00CE42EE"/>
    <w:rsid w:val="00CE5A35"/>
    <w:rsid w:val="00CE7296"/>
    <w:rsid w:val="00CF2012"/>
    <w:rsid w:val="00CF2262"/>
    <w:rsid w:val="00CF2464"/>
    <w:rsid w:val="00CF24ED"/>
    <w:rsid w:val="00CF2777"/>
    <w:rsid w:val="00CF2C04"/>
    <w:rsid w:val="00CF30D9"/>
    <w:rsid w:val="00CF46AE"/>
    <w:rsid w:val="00CF5820"/>
    <w:rsid w:val="00CF5C36"/>
    <w:rsid w:val="00CF6FE4"/>
    <w:rsid w:val="00CF7D3B"/>
    <w:rsid w:val="00CF7D4C"/>
    <w:rsid w:val="00D010F2"/>
    <w:rsid w:val="00D022DA"/>
    <w:rsid w:val="00D04E71"/>
    <w:rsid w:val="00D04F16"/>
    <w:rsid w:val="00D05D7C"/>
    <w:rsid w:val="00D07683"/>
    <w:rsid w:val="00D1036C"/>
    <w:rsid w:val="00D11109"/>
    <w:rsid w:val="00D128C3"/>
    <w:rsid w:val="00D13781"/>
    <w:rsid w:val="00D137E3"/>
    <w:rsid w:val="00D13F52"/>
    <w:rsid w:val="00D1432C"/>
    <w:rsid w:val="00D14F9C"/>
    <w:rsid w:val="00D1543E"/>
    <w:rsid w:val="00D22E95"/>
    <w:rsid w:val="00D23095"/>
    <w:rsid w:val="00D2420C"/>
    <w:rsid w:val="00D25039"/>
    <w:rsid w:val="00D26833"/>
    <w:rsid w:val="00D2689E"/>
    <w:rsid w:val="00D27BB7"/>
    <w:rsid w:val="00D27E43"/>
    <w:rsid w:val="00D30081"/>
    <w:rsid w:val="00D30836"/>
    <w:rsid w:val="00D30ED0"/>
    <w:rsid w:val="00D35AD1"/>
    <w:rsid w:val="00D377CA"/>
    <w:rsid w:val="00D40392"/>
    <w:rsid w:val="00D41332"/>
    <w:rsid w:val="00D432AD"/>
    <w:rsid w:val="00D434F7"/>
    <w:rsid w:val="00D4472D"/>
    <w:rsid w:val="00D449FB"/>
    <w:rsid w:val="00D45433"/>
    <w:rsid w:val="00D4721D"/>
    <w:rsid w:val="00D50928"/>
    <w:rsid w:val="00D50DB2"/>
    <w:rsid w:val="00D529DF"/>
    <w:rsid w:val="00D56B89"/>
    <w:rsid w:val="00D60457"/>
    <w:rsid w:val="00D6191E"/>
    <w:rsid w:val="00D659FD"/>
    <w:rsid w:val="00D65B61"/>
    <w:rsid w:val="00D704EA"/>
    <w:rsid w:val="00D706C4"/>
    <w:rsid w:val="00D708F3"/>
    <w:rsid w:val="00D74C78"/>
    <w:rsid w:val="00D754C7"/>
    <w:rsid w:val="00D76FA4"/>
    <w:rsid w:val="00D77DFB"/>
    <w:rsid w:val="00D817A0"/>
    <w:rsid w:val="00D818CF"/>
    <w:rsid w:val="00D82967"/>
    <w:rsid w:val="00D82A2F"/>
    <w:rsid w:val="00D83174"/>
    <w:rsid w:val="00D83795"/>
    <w:rsid w:val="00D84167"/>
    <w:rsid w:val="00D84CE0"/>
    <w:rsid w:val="00D90FD7"/>
    <w:rsid w:val="00D91E0F"/>
    <w:rsid w:val="00D9466E"/>
    <w:rsid w:val="00D962A8"/>
    <w:rsid w:val="00D9785C"/>
    <w:rsid w:val="00D97DB8"/>
    <w:rsid w:val="00DA1743"/>
    <w:rsid w:val="00DA23B2"/>
    <w:rsid w:val="00DA39B1"/>
    <w:rsid w:val="00DA6860"/>
    <w:rsid w:val="00DA7A40"/>
    <w:rsid w:val="00DA7D7C"/>
    <w:rsid w:val="00DB0491"/>
    <w:rsid w:val="00DB0C7E"/>
    <w:rsid w:val="00DB2729"/>
    <w:rsid w:val="00DB2E4E"/>
    <w:rsid w:val="00DB7FAC"/>
    <w:rsid w:val="00DC00F2"/>
    <w:rsid w:val="00DC2175"/>
    <w:rsid w:val="00DC27F7"/>
    <w:rsid w:val="00DC35FF"/>
    <w:rsid w:val="00DC3BCB"/>
    <w:rsid w:val="00DC3BF5"/>
    <w:rsid w:val="00DC732F"/>
    <w:rsid w:val="00DC76FC"/>
    <w:rsid w:val="00DD0EE2"/>
    <w:rsid w:val="00DD15EC"/>
    <w:rsid w:val="00DD17E7"/>
    <w:rsid w:val="00DD1970"/>
    <w:rsid w:val="00DD26D2"/>
    <w:rsid w:val="00DD3AC4"/>
    <w:rsid w:val="00DD3CCC"/>
    <w:rsid w:val="00DD46C4"/>
    <w:rsid w:val="00DD493D"/>
    <w:rsid w:val="00DD7A54"/>
    <w:rsid w:val="00DE1619"/>
    <w:rsid w:val="00DE24EF"/>
    <w:rsid w:val="00DE2C9E"/>
    <w:rsid w:val="00DE3355"/>
    <w:rsid w:val="00DE39F4"/>
    <w:rsid w:val="00DE3D19"/>
    <w:rsid w:val="00DE3EBE"/>
    <w:rsid w:val="00DE4280"/>
    <w:rsid w:val="00DE71A8"/>
    <w:rsid w:val="00DF18CF"/>
    <w:rsid w:val="00DF1A4F"/>
    <w:rsid w:val="00DF218E"/>
    <w:rsid w:val="00DF221E"/>
    <w:rsid w:val="00DF2362"/>
    <w:rsid w:val="00DF23AE"/>
    <w:rsid w:val="00DF451F"/>
    <w:rsid w:val="00DF4580"/>
    <w:rsid w:val="00DF6D6E"/>
    <w:rsid w:val="00E00490"/>
    <w:rsid w:val="00E00D5A"/>
    <w:rsid w:val="00E013E1"/>
    <w:rsid w:val="00E041D8"/>
    <w:rsid w:val="00E04B0E"/>
    <w:rsid w:val="00E057EC"/>
    <w:rsid w:val="00E0717C"/>
    <w:rsid w:val="00E1459E"/>
    <w:rsid w:val="00E14DBB"/>
    <w:rsid w:val="00E160F4"/>
    <w:rsid w:val="00E164F4"/>
    <w:rsid w:val="00E16AD4"/>
    <w:rsid w:val="00E16C87"/>
    <w:rsid w:val="00E21635"/>
    <w:rsid w:val="00E2517E"/>
    <w:rsid w:val="00E27EEA"/>
    <w:rsid w:val="00E30051"/>
    <w:rsid w:val="00E31212"/>
    <w:rsid w:val="00E32EFC"/>
    <w:rsid w:val="00E3339C"/>
    <w:rsid w:val="00E36103"/>
    <w:rsid w:val="00E36B41"/>
    <w:rsid w:val="00E40DC6"/>
    <w:rsid w:val="00E415FC"/>
    <w:rsid w:val="00E43AC5"/>
    <w:rsid w:val="00E4584F"/>
    <w:rsid w:val="00E462E0"/>
    <w:rsid w:val="00E47168"/>
    <w:rsid w:val="00E47670"/>
    <w:rsid w:val="00E47F9E"/>
    <w:rsid w:val="00E52E5A"/>
    <w:rsid w:val="00E53D88"/>
    <w:rsid w:val="00E54232"/>
    <w:rsid w:val="00E55A46"/>
    <w:rsid w:val="00E56A35"/>
    <w:rsid w:val="00E63738"/>
    <w:rsid w:val="00E6374C"/>
    <w:rsid w:val="00E64761"/>
    <w:rsid w:val="00E65875"/>
    <w:rsid w:val="00E6696E"/>
    <w:rsid w:val="00E710AD"/>
    <w:rsid w:val="00E712BB"/>
    <w:rsid w:val="00E73FDA"/>
    <w:rsid w:val="00E76E58"/>
    <w:rsid w:val="00E800B9"/>
    <w:rsid w:val="00E8013D"/>
    <w:rsid w:val="00E80F9D"/>
    <w:rsid w:val="00E8277D"/>
    <w:rsid w:val="00E86338"/>
    <w:rsid w:val="00E8654E"/>
    <w:rsid w:val="00E86941"/>
    <w:rsid w:val="00E90767"/>
    <w:rsid w:val="00E91866"/>
    <w:rsid w:val="00E922A0"/>
    <w:rsid w:val="00E9267E"/>
    <w:rsid w:val="00E92705"/>
    <w:rsid w:val="00E9298D"/>
    <w:rsid w:val="00E94B96"/>
    <w:rsid w:val="00E97443"/>
    <w:rsid w:val="00E974C3"/>
    <w:rsid w:val="00EA0975"/>
    <w:rsid w:val="00EA3C9D"/>
    <w:rsid w:val="00EA480A"/>
    <w:rsid w:val="00EA645A"/>
    <w:rsid w:val="00EA70F3"/>
    <w:rsid w:val="00EA7217"/>
    <w:rsid w:val="00EB306B"/>
    <w:rsid w:val="00EB373F"/>
    <w:rsid w:val="00EB378B"/>
    <w:rsid w:val="00EB37EB"/>
    <w:rsid w:val="00EB3861"/>
    <w:rsid w:val="00EB435E"/>
    <w:rsid w:val="00EB5D2B"/>
    <w:rsid w:val="00EC02C8"/>
    <w:rsid w:val="00EC056D"/>
    <w:rsid w:val="00EC0582"/>
    <w:rsid w:val="00EC1988"/>
    <w:rsid w:val="00EC1DA6"/>
    <w:rsid w:val="00EC485F"/>
    <w:rsid w:val="00EC6655"/>
    <w:rsid w:val="00EC6913"/>
    <w:rsid w:val="00EC7204"/>
    <w:rsid w:val="00ED28B4"/>
    <w:rsid w:val="00ED32BC"/>
    <w:rsid w:val="00ED3A78"/>
    <w:rsid w:val="00ED420D"/>
    <w:rsid w:val="00ED591D"/>
    <w:rsid w:val="00ED751D"/>
    <w:rsid w:val="00ED7AAE"/>
    <w:rsid w:val="00ED7FD9"/>
    <w:rsid w:val="00EE04B6"/>
    <w:rsid w:val="00EE06E2"/>
    <w:rsid w:val="00EE1D76"/>
    <w:rsid w:val="00EE31DF"/>
    <w:rsid w:val="00EE3899"/>
    <w:rsid w:val="00EE4CB9"/>
    <w:rsid w:val="00EE6013"/>
    <w:rsid w:val="00EE6DEA"/>
    <w:rsid w:val="00EF1969"/>
    <w:rsid w:val="00EF2680"/>
    <w:rsid w:val="00EF4C8C"/>
    <w:rsid w:val="00EF5070"/>
    <w:rsid w:val="00EF623D"/>
    <w:rsid w:val="00EF629B"/>
    <w:rsid w:val="00EF6807"/>
    <w:rsid w:val="00EF7843"/>
    <w:rsid w:val="00EF7BCD"/>
    <w:rsid w:val="00F00BBF"/>
    <w:rsid w:val="00F0176E"/>
    <w:rsid w:val="00F02B0F"/>
    <w:rsid w:val="00F034E5"/>
    <w:rsid w:val="00F06A5E"/>
    <w:rsid w:val="00F11047"/>
    <w:rsid w:val="00F14127"/>
    <w:rsid w:val="00F15DD6"/>
    <w:rsid w:val="00F17F4A"/>
    <w:rsid w:val="00F20841"/>
    <w:rsid w:val="00F22033"/>
    <w:rsid w:val="00F2250E"/>
    <w:rsid w:val="00F2296C"/>
    <w:rsid w:val="00F30212"/>
    <w:rsid w:val="00F32027"/>
    <w:rsid w:val="00F336C7"/>
    <w:rsid w:val="00F34192"/>
    <w:rsid w:val="00F34FD9"/>
    <w:rsid w:val="00F403A5"/>
    <w:rsid w:val="00F4043C"/>
    <w:rsid w:val="00F41662"/>
    <w:rsid w:val="00F41F07"/>
    <w:rsid w:val="00F427C9"/>
    <w:rsid w:val="00F43131"/>
    <w:rsid w:val="00F439A4"/>
    <w:rsid w:val="00F43F0F"/>
    <w:rsid w:val="00F445D3"/>
    <w:rsid w:val="00F448E3"/>
    <w:rsid w:val="00F450F1"/>
    <w:rsid w:val="00F45247"/>
    <w:rsid w:val="00F45843"/>
    <w:rsid w:val="00F45EC0"/>
    <w:rsid w:val="00F47C91"/>
    <w:rsid w:val="00F51D9B"/>
    <w:rsid w:val="00F52D78"/>
    <w:rsid w:val="00F52E27"/>
    <w:rsid w:val="00F5496C"/>
    <w:rsid w:val="00F54A15"/>
    <w:rsid w:val="00F54E3D"/>
    <w:rsid w:val="00F552AA"/>
    <w:rsid w:val="00F561D2"/>
    <w:rsid w:val="00F56D32"/>
    <w:rsid w:val="00F5773E"/>
    <w:rsid w:val="00F62F6E"/>
    <w:rsid w:val="00F63C9B"/>
    <w:rsid w:val="00F655E3"/>
    <w:rsid w:val="00F65EAA"/>
    <w:rsid w:val="00F70B3E"/>
    <w:rsid w:val="00F70C15"/>
    <w:rsid w:val="00F71757"/>
    <w:rsid w:val="00F72934"/>
    <w:rsid w:val="00F74888"/>
    <w:rsid w:val="00F750D3"/>
    <w:rsid w:val="00F75C8D"/>
    <w:rsid w:val="00F75E3A"/>
    <w:rsid w:val="00F76447"/>
    <w:rsid w:val="00F76BD3"/>
    <w:rsid w:val="00F76D00"/>
    <w:rsid w:val="00F8071B"/>
    <w:rsid w:val="00F8083A"/>
    <w:rsid w:val="00F80C92"/>
    <w:rsid w:val="00F80E69"/>
    <w:rsid w:val="00F82525"/>
    <w:rsid w:val="00F8287C"/>
    <w:rsid w:val="00F82C0C"/>
    <w:rsid w:val="00F86373"/>
    <w:rsid w:val="00F86F99"/>
    <w:rsid w:val="00F903C7"/>
    <w:rsid w:val="00F91946"/>
    <w:rsid w:val="00F9539B"/>
    <w:rsid w:val="00F95B04"/>
    <w:rsid w:val="00F970EE"/>
    <w:rsid w:val="00FA3645"/>
    <w:rsid w:val="00FA4B84"/>
    <w:rsid w:val="00FA4BCC"/>
    <w:rsid w:val="00FA4FAC"/>
    <w:rsid w:val="00FA58C5"/>
    <w:rsid w:val="00FA65AC"/>
    <w:rsid w:val="00FA6D42"/>
    <w:rsid w:val="00FA6FF6"/>
    <w:rsid w:val="00FA749F"/>
    <w:rsid w:val="00FB33A8"/>
    <w:rsid w:val="00FB5227"/>
    <w:rsid w:val="00FB68A2"/>
    <w:rsid w:val="00FB6EB9"/>
    <w:rsid w:val="00FC073F"/>
    <w:rsid w:val="00FC3247"/>
    <w:rsid w:val="00FC4B10"/>
    <w:rsid w:val="00FC6D36"/>
    <w:rsid w:val="00FD0F8F"/>
    <w:rsid w:val="00FD454E"/>
    <w:rsid w:val="00FD690C"/>
    <w:rsid w:val="00FE181F"/>
    <w:rsid w:val="00FE1907"/>
    <w:rsid w:val="00FE1F94"/>
    <w:rsid w:val="00FE20EF"/>
    <w:rsid w:val="00FE22F7"/>
    <w:rsid w:val="00FE366A"/>
    <w:rsid w:val="00FE3E77"/>
    <w:rsid w:val="00FE62F6"/>
    <w:rsid w:val="00FF0D49"/>
    <w:rsid w:val="00FF1F08"/>
    <w:rsid w:val="00FF2150"/>
    <w:rsid w:val="00FF2CCE"/>
    <w:rsid w:val="00FF6563"/>
    <w:rsid w:val="41B4933B"/>
    <w:rsid w:val="5B6FDD31"/>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BCAB2"/>
  <w15:docId w15:val="{9AF5C432-F692-49C8-9EE8-B2436208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E1B"/>
    <w:rPr>
      <w:rFonts w:ascii="Times New Roman" w:eastAsia="Times New Roman" w:hAnsi="Times New Roman"/>
      <w:sz w:val="24"/>
      <w:szCs w:val="24"/>
      <w:lang w:val="es-ES" w:eastAsia="en-US"/>
    </w:rPr>
  </w:style>
  <w:style w:type="paragraph" w:styleId="Ttulo1">
    <w:name w:val="heading 1"/>
    <w:basedOn w:val="Normal"/>
    <w:next w:val="Normal"/>
    <w:link w:val="Ttulo1Car"/>
    <w:uiPriority w:val="9"/>
    <w:qFormat/>
    <w:rsid w:val="002F482B"/>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8C5E1B"/>
    <w:pPr>
      <w:keepNext/>
      <w:spacing w:before="240" w:after="60"/>
      <w:outlineLvl w:val="2"/>
    </w:pPr>
    <w:rPr>
      <w:rFonts w:ascii="Arial" w:hAnsi="Arial"/>
      <w:b/>
      <w:bCs/>
      <w:sz w:val="26"/>
      <w:szCs w:val="26"/>
      <w:lang w:val="x-none" w:eastAsia="x-none"/>
    </w:rPr>
  </w:style>
  <w:style w:type="paragraph" w:styleId="Ttulo5">
    <w:name w:val="heading 5"/>
    <w:basedOn w:val="Normal"/>
    <w:next w:val="Normal"/>
    <w:link w:val="Ttulo5Car"/>
    <w:uiPriority w:val="9"/>
    <w:semiHidden/>
    <w:unhideWhenUsed/>
    <w:qFormat/>
    <w:rsid w:val="00C57AB0"/>
    <w:pPr>
      <w:spacing w:before="240" w:after="60"/>
      <w:outlineLvl w:val="4"/>
    </w:pPr>
    <w:rPr>
      <w:rFonts w:ascii="Calibri" w:hAnsi="Calibri"/>
      <w:b/>
      <w:bCs/>
      <w:i/>
      <w:iCs/>
      <w:sz w:val="26"/>
      <w:szCs w:val="26"/>
    </w:rPr>
  </w:style>
  <w:style w:type="paragraph" w:styleId="Ttulo8">
    <w:name w:val="heading 8"/>
    <w:basedOn w:val="Normal"/>
    <w:next w:val="Normal"/>
    <w:link w:val="Ttulo8Car"/>
    <w:qFormat/>
    <w:rsid w:val="008C5E1B"/>
    <w:pPr>
      <w:spacing w:before="240" w:after="60"/>
      <w:outlineLvl w:val="7"/>
    </w:pPr>
    <w:rPr>
      <w:i/>
      <w:iCs/>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8C5E1B"/>
    <w:rPr>
      <w:rFonts w:ascii="Arial" w:eastAsia="Times New Roman" w:hAnsi="Arial" w:cs="Arial"/>
      <w:b/>
      <w:bCs/>
      <w:sz w:val="26"/>
      <w:szCs w:val="26"/>
    </w:rPr>
  </w:style>
  <w:style w:type="character" w:customStyle="1" w:styleId="Ttulo8Car">
    <w:name w:val="Título 8 Car"/>
    <w:link w:val="Ttulo8"/>
    <w:rsid w:val="008C5E1B"/>
    <w:rPr>
      <w:rFonts w:ascii="Times New Roman" w:eastAsia="Times New Roman" w:hAnsi="Times New Roman" w:cs="Times New Roman"/>
      <w:i/>
      <w:iCs/>
      <w:sz w:val="24"/>
      <w:szCs w:val="24"/>
    </w:rPr>
  </w:style>
  <w:style w:type="paragraph" w:customStyle="1" w:styleId="Char">
    <w:name w:val="Char"/>
    <w:basedOn w:val="Normal"/>
    <w:rsid w:val="008C5E1B"/>
    <w:pPr>
      <w:spacing w:after="160" w:line="240" w:lineRule="exact"/>
    </w:pPr>
    <w:rPr>
      <w:rFonts w:ascii="Arial" w:eastAsia="MS Mincho" w:hAnsi="Arial"/>
      <w:sz w:val="20"/>
      <w:szCs w:val="20"/>
    </w:rPr>
  </w:style>
  <w:style w:type="paragraph" w:styleId="Textoindependiente3">
    <w:name w:val="Body Text 3"/>
    <w:basedOn w:val="Normal"/>
    <w:link w:val="Textoindependiente3Car"/>
    <w:rsid w:val="008C5E1B"/>
    <w:pPr>
      <w:spacing w:after="120"/>
    </w:pPr>
    <w:rPr>
      <w:sz w:val="16"/>
      <w:szCs w:val="16"/>
      <w:lang w:eastAsia="es-ES"/>
    </w:rPr>
  </w:style>
  <w:style w:type="character" w:customStyle="1" w:styleId="Textoindependiente3Car">
    <w:name w:val="Texto independiente 3 Car"/>
    <w:link w:val="Textoindependiente3"/>
    <w:rsid w:val="008C5E1B"/>
    <w:rPr>
      <w:rFonts w:ascii="Times New Roman" w:eastAsia="Times New Roman" w:hAnsi="Times New Roman" w:cs="Times New Roman"/>
      <w:sz w:val="16"/>
      <w:szCs w:val="16"/>
      <w:lang w:val="es-ES" w:eastAsia="es-ES"/>
    </w:rPr>
  </w:style>
  <w:style w:type="character" w:styleId="Hipervnculo">
    <w:name w:val="Hyperlink"/>
    <w:uiPriority w:val="99"/>
    <w:rsid w:val="008C5E1B"/>
    <w:rPr>
      <w:color w:val="0000FF"/>
      <w:u w:val="single"/>
    </w:rPr>
  </w:style>
  <w:style w:type="paragraph" w:styleId="Prrafodelista">
    <w:name w:val="List Paragraph"/>
    <w:basedOn w:val="Normal"/>
    <w:uiPriority w:val="34"/>
    <w:qFormat/>
    <w:rsid w:val="008C5E1B"/>
    <w:pPr>
      <w:ind w:left="720"/>
    </w:pPr>
  </w:style>
  <w:style w:type="character" w:styleId="Refdecomentario">
    <w:name w:val="annotation reference"/>
    <w:uiPriority w:val="99"/>
    <w:rsid w:val="008C5E1B"/>
    <w:rPr>
      <w:sz w:val="16"/>
      <w:szCs w:val="16"/>
    </w:rPr>
  </w:style>
  <w:style w:type="paragraph" w:styleId="Textocomentario">
    <w:name w:val="annotation text"/>
    <w:basedOn w:val="Normal"/>
    <w:link w:val="TextocomentarioCar"/>
    <w:uiPriority w:val="99"/>
    <w:rsid w:val="008C5E1B"/>
    <w:rPr>
      <w:sz w:val="20"/>
      <w:szCs w:val="20"/>
      <w:lang w:val="x-none" w:eastAsia="x-none"/>
    </w:rPr>
  </w:style>
  <w:style w:type="character" w:customStyle="1" w:styleId="TextocomentarioCar">
    <w:name w:val="Texto comentario Car"/>
    <w:link w:val="Textocomentario"/>
    <w:uiPriority w:val="99"/>
    <w:rsid w:val="008C5E1B"/>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rsid w:val="008C5E1B"/>
    <w:rPr>
      <w:b/>
      <w:bCs/>
    </w:rPr>
  </w:style>
  <w:style w:type="character" w:customStyle="1" w:styleId="AsuntodelcomentarioCar">
    <w:name w:val="Asunto del comentario Car"/>
    <w:link w:val="Asuntodelcomentario"/>
    <w:rsid w:val="008C5E1B"/>
    <w:rPr>
      <w:rFonts w:ascii="Times New Roman" w:eastAsia="Times New Roman" w:hAnsi="Times New Roman" w:cs="Times New Roman"/>
      <w:b/>
      <w:bCs/>
      <w:sz w:val="20"/>
      <w:szCs w:val="20"/>
    </w:rPr>
  </w:style>
  <w:style w:type="paragraph" w:styleId="Textodeglobo">
    <w:name w:val="Balloon Text"/>
    <w:basedOn w:val="Normal"/>
    <w:link w:val="TextodegloboCar"/>
    <w:rsid w:val="008C5E1B"/>
    <w:rPr>
      <w:rFonts w:ascii="Tahoma" w:hAnsi="Tahoma"/>
      <w:sz w:val="16"/>
      <w:szCs w:val="16"/>
      <w:lang w:val="x-none" w:eastAsia="x-none"/>
    </w:rPr>
  </w:style>
  <w:style w:type="character" w:customStyle="1" w:styleId="TextodegloboCar">
    <w:name w:val="Texto de globo Car"/>
    <w:link w:val="Textodeglobo"/>
    <w:rsid w:val="008C5E1B"/>
    <w:rPr>
      <w:rFonts w:ascii="Tahoma" w:eastAsia="Times New Roman" w:hAnsi="Tahoma" w:cs="Tahoma"/>
      <w:sz w:val="16"/>
      <w:szCs w:val="16"/>
    </w:rPr>
  </w:style>
  <w:style w:type="paragraph" w:styleId="Encabezado">
    <w:name w:val="header"/>
    <w:basedOn w:val="Normal"/>
    <w:link w:val="EncabezadoCar"/>
    <w:uiPriority w:val="99"/>
    <w:rsid w:val="008C5E1B"/>
    <w:pPr>
      <w:tabs>
        <w:tab w:val="center" w:pos="4419"/>
        <w:tab w:val="right" w:pos="8838"/>
      </w:tabs>
    </w:pPr>
    <w:rPr>
      <w:lang w:val="x-none" w:eastAsia="x-none"/>
    </w:rPr>
  </w:style>
  <w:style w:type="character" w:customStyle="1" w:styleId="EncabezadoCar">
    <w:name w:val="Encabezado Car"/>
    <w:link w:val="Encabezado"/>
    <w:uiPriority w:val="99"/>
    <w:rsid w:val="008C5E1B"/>
    <w:rPr>
      <w:rFonts w:ascii="Times New Roman" w:eastAsia="Times New Roman" w:hAnsi="Times New Roman" w:cs="Times New Roman"/>
      <w:sz w:val="24"/>
      <w:szCs w:val="24"/>
    </w:rPr>
  </w:style>
  <w:style w:type="paragraph" w:styleId="Piedepgina">
    <w:name w:val="footer"/>
    <w:basedOn w:val="Normal"/>
    <w:link w:val="PiedepginaCar"/>
    <w:uiPriority w:val="99"/>
    <w:rsid w:val="008C5E1B"/>
    <w:pPr>
      <w:tabs>
        <w:tab w:val="center" w:pos="4419"/>
        <w:tab w:val="right" w:pos="8838"/>
      </w:tabs>
    </w:pPr>
    <w:rPr>
      <w:lang w:val="x-none" w:eastAsia="x-none"/>
    </w:rPr>
  </w:style>
  <w:style w:type="character" w:customStyle="1" w:styleId="PiedepginaCar">
    <w:name w:val="Pie de página Car"/>
    <w:link w:val="Piedepgina"/>
    <w:uiPriority w:val="99"/>
    <w:rsid w:val="008C5E1B"/>
    <w:rPr>
      <w:rFonts w:ascii="Times New Roman" w:eastAsia="Times New Roman" w:hAnsi="Times New Roman" w:cs="Times New Roman"/>
      <w:sz w:val="24"/>
      <w:szCs w:val="24"/>
    </w:rPr>
  </w:style>
  <w:style w:type="paragraph" w:styleId="Sangra3detindependiente">
    <w:name w:val="Body Text Indent 3"/>
    <w:basedOn w:val="Normal"/>
    <w:link w:val="Sangra3detindependienteCar"/>
    <w:rsid w:val="008C5E1B"/>
    <w:pPr>
      <w:spacing w:after="120"/>
      <w:ind w:left="283"/>
    </w:pPr>
    <w:rPr>
      <w:sz w:val="16"/>
      <w:szCs w:val="16"/>
      <w:lang w:val="x-none" w:eastAsia="x-none"/>
    </w:rPr>
  </w:style>
  <w:style w:type="character" w:customStyle="1" w:styleId="Sangra3detindependienteCar">
    <w:name w:val="Sangría 3 de t. independiente Car"/>
    <w:link w:val="Sangra3detindependiente"/>
    <w:rsid w:val="008C5E1B"/>
    <w:rPr>
      <w:rFonts w:ascii="Times New Roman" w:eastAsia="Times New Roman" w:hAnsi="Times New Roman" w:cs="Times New Roman"/>
      <w:sz w:val="16"/>
      <w:szCs w:val="16"/>
    </w:rPr>
  </w:style>
  <w:style w:type="paragraph" w:customStyle="1" w:styleId="CNV">
    <w:name w:val="CNV"/>
    <w:basedOn w:val="Normal"/>
    <w:rsid w:val="008C5E1B"/>
    <w:pPr>
      <w:jc w:val="both"/>
    </w:pPr>
    <w:rPr>
      <w:szCs w:val="20"/>
      <w:lang w:val="es-ES_tradnl"/>
    </w:rPr>
  </w:style>
  <w:style w:type="paragraph" w:customStyle="1" w:styleId="CarCar">
    <w:name w:val="Car Car"/>
    <w:basedOn w:val="Normal"/>
    <w:rsid w:val="008C5E1B"/>
    <w:pPr>
      <w:spacing w:after="160" w:line="240" w:lineRule="exact"/>
    </w:pPr>
    <w:rPr>
      <w:rFonts w:ascii="Verdana" w:hAnsi="Verdana"/>
      <w:sz w:val="20"/>
      <w:szCs w:val="20"/>
      <w:lang w:val="es-CR"/>
    </w:rPr>
  </w:style>
  <w:style w:type="paragraph" w:styleId="Ttulo">
    <w:name w:val="Title"/>
    <w:basedOn w:val="Normal"/>
    <w:link w:val="TtuloCar"/>
    <w:qFormat/>
    <w:rsid w:val="008C5E1B"/>
    <w:pPr>
      <w:widowControl w:val="0"/>
      <w:jc w:val="center"/>
      <w:outlineLvl w:val="0"/>
    </w:pPr>
    <w:rPr>
      <w:rFonts w:ascii="Arial" w:hAnsi="Arial"/>
      <w:b/>
      <w:i/>
      <w:lang w:val="es-CR" w:eastAsia="x-none"/>
    </w:rPr>
  </w:style>
  <w:style w:type="character" w:customStyle="1" w:styleId="TtuloCar">
    <w:name w:val="Título Car"/>
    <w:link w:val="Ttulo"/>
    <w:rsid w:val="008C5E1B"/>
    <w:rPr>
      <w:rFonts w:ascii="Arial" w:eastAsia="Times New Roman" w:hAnsi="Arial" w:cs="Times New Roman"/>
      <w:b/>
      <w:i/>
      <w:sz w:val="24"/>
      <w:szCs w:val="24"/>
      <w:lang w:val="es-CR"/>
    </w:rPr>
  </w:style>
  <w:style w:type="paragraph" w:styleId="Textoindependiente">
    <w:name w:val="Body Text"/>
    <w:basedOn w:val="Normal"/>
    <w:link w:val="TextoindependienteCar"/>
    <w:rsid w:val="008C5E1B"/>
    <w:pPr>
      <w:spacing w:after="120"/>
    </w:pPr>
    <w:rPr>
      <w:lang w:val="x-none" w:eastAsia="x-none"/>
    </w:rPr>
  </w:style>
  <w:style w:type="character" w:customStyle="1" w:styleId="TextoindependienteCar">
    <w:name w:val="Texto independiente Car"/>
    <w:link w:val="Textoindependiente"/>
    <w:rsid w:val="008C5E1B"/>
    <w:rPr>
      <w:rFonts w:ascii="Times New Roman" w:eastAsia="Times New Roman" w:hAnsi="Times New Roman" w:cs="Times New Roman"/>
      <w:sz w:val="24"/>
      <w:szCs w:val="24"/>
    </w:rPr>
  </w:style>
  <w:style w:type="paragraph" w:styleId="Textoindependiente2">
    <w:name w:val="Body Text 2"/>
    <w:basedOn w:val="Normal"/>
    <w:link w:val="Textoindependiente2Car"/>
    <w:rsid w:val="008C5E1B"/>
    <w:pPr>
      <w:spacing w:after="120" w:line="480" w:lineRule="auto"/>
    </w:pPr>
    <w:rPr>
      <w:lang w:val="x-none" w:eastAsia="x-none"/>
    </w:rPr>
  </w:style>
  <w:style w:type="character" w:customStyle="1" w:styleId="Textoindependiente2Car">
    <w:name w:val="Texto independiente 2 Car"/>
    <w:link w:val="Textoindependiente2"/>
    <w:rsid w:val="008C5E1B"/>
    <w:rPr>
      <w:rFonts w:ascii="Times New Roman" w:eastAsia="Times New Roman" w:hAnsi="Times New Roman" w:cs="Times New Roman"/>
      <w:sz w:val="24"/>
      <w:szCs w:val="24"/>
    </w:rPr>
  </w:style>
  <w:style w:type="character" w:styleId="Nmerodepgina">
    <w:name w:val="page number"/>
    <w:basedOn w:val="Fuentedeprrafopredeter"/>
    <w:rsid w:val="008C5E1B"/>
  </w:style>
  <w:style w:type="paragraph" w:customStyle="1" w:styleId="Default">
    <w:name w:val="Default"/>
    <w:rsid w:val="008C5E1B"/>
    <w:pPr>
      <w:autoSpaceDE w:val="0"/>
      <w:autoSpaceDN w:val="0"/>
      <w:adjustRightInd w:val="0"/>
    </w:pPr>
    <w:rPr>
      <w:rFonts w:ascii="IMAKDG+Arial,Bold" w:eastAsia="Times New Roman" w:hAnsi="IMAKDG+Arial,Bold" w:cs="IMAKDG+Arial,Bold"/>
      <w:color w:val="000000"/>
      <w:sz w:val="24"/>
      <w:szCs w:val="24"/>
      <w:lang w:val="es-ES" w:eastAsia="es-ES"/>
    </w:rPr>
  </w:style>
  <w:style w:type="paragraph" w:styleId="Textonotapie">
    <w:name w:val="footnote text"/>
    <w:basedOn w:val="Normal"/>
    <w:link w:val="TextonotapieCar"/>
    <w:rsid w:val="008C5E1B"/>
    <w:rPr>
      <w:sz w:val="20"/>
      <w:szCs w:val="20"/>
      <w:lang w:val="x-none" w:eastAsia="x-none"/>
    </w:rPr>
  </w:style>
  <w:style w:type="character" w:customStyle="1" w:styleId="TextonotapieCar">
    <w:name w:val="Texto nota pie Car"/>
    <w:link w:val="Textonotapie"/>
    <w:rsid w:val="008C5E1B"/>
    <w:rPr>
      <w:rFonts w:ascii="Times New Roman" w:eastAsia="Times New Roman" w:hAnsi="Times New Roman" w:cs="Times New Roman"/>
      <w:sz w:val="20"/>
      <w:szCs w:val="20"/>
    </w:rPr>
  </w:style>
  <w:style w:type="character" w:styleId="Refdenotaalpie">
    <w:name w:val="footnote reference"/>
    <w:rsid w:val="008C5E1B"/>
    <w:rPr>
      <w:vertAlign w:val="superscript"/>
    </w:rPr>
  </w:style>
  <w:style w:type="paragraph" w:customStyle="1" w:styleId="CharChar1CarCar">
    <w:name w:val="Char Char1 Car Car"/>
    <w:basedOn w:val="Normal"/>
    <w:rsid w:val="008C5E1B"/>
    <w:pPr>
      <w:spacing w:after="160" w:line="240" w:lineRule="exact"/>
    </w:pPr>
    <w:rPr>
      <w:rFonts w:ascii="Arial" w:eastAsia="MS Mincho" w:hAnsi="Arial"/>
      <w:sz w:val="20"/>
      <w:szCs w:val="20"/>
    </w:rPr>
  </w:style>
  <w:style w:type="paragraph" w:styleId="Revisin">
    <w:name w:val="Revision"/>
    <w:hidden/>
    <w:uiPriority w:val="99"/>
    <w:semiHidden/>
    <w:rsid w:val="008C5E1B"/>
    <w:rPr>
      <w:rFonts w:ascii="Times New Roman" w:eastAsia="Times New Roman" w:hAnsi="Times New Roman"/>
      <w:sz w:val="24"/>
      <w:szCs w:val="24"/>
      <w:lang w:val="en-US" w:eastAsia="en-US"/>
    </w:rPr>
  </w:style>
  <w:style w:type="paragraph" w:customStyle="1" w:styleId="Char2">
    <w:name w:val="Char2"/>
    <w:basedOn w:val="Normal"/>
    <w:rsid w:val="008C5E1B"/>
    <w:pPr>
      <w:spacing w:after="160" w:line="240" w:lineRule="exact"/>
    </w:pPr>
    <w:rPr>
      <w:rFonts w:ascii="Verdana" w:hAnsi="Verdana"/>
      <w:sz w:val="20"/>
      <w:szCs w:val="20"/>
      <w:lang w:val="es-CR"/>
    </w:rPr>
  </w:style>
  <w:style w:type="paragraph" w:customStyle="1" w:styleId="t23">
    <w:name w:val="t23"/>
    <w:basedOn w:val="Normal"/>
    <w:rsid w:val="008C5E1B"/>
    <w:pPr>
      <w:widowControl w:val="0"/>
      <w:autoSpaceDE w:val="0"/>
      <w:autoSpaceDN w:val="0"/>
      <w:adjustRightInd w:val="0"/>
      <w:spacing w:line="255" w:lineRule="atLeast"/>
    </w:pPr>
  </w:style>
  <w:style w:type="paragraph" w:styleId="Sangradetextonormal">
    <w:name w:val="Body Text Indent"/>
    <w:basedOn w:val="Normal"/>
    <w:link w:val="SangradetextonormalCar"/>
    <w:rsid w:val="008C5E1B"/>
    <w:pPr>
      <w:spacing w:after="120"/>
      <w:ind w:left="283"/>
    </w:pPr>
    <w:rPr>
      <w:rFonts w:eastAsia="Calibri"/>
      <w:lang w:val="x-none" w:eastAsia="x-none"/>
    </w:rPr>
  </w:style>
  <w:style w:type="character" w:customStyle="1" w:styleId="SangradetextonormalCar">
    <w:name w:val="Sangría de texto normal Car"/>
    <w:link w:val="Sangradetextonormal"/>
    <w:rsid w:val="008C5E1B"/>
    <w:rPr>
      <w:rFonts w:ascii="Times New Roman" w:eastAsia="Calibri" w:hAnsi="Times New Roman" w:cs="Times New Roman"/>
      <w:sz w:val="24"/>
      <w:szCs w:val="24"/>
    </w:rPr>
  </w:style>
  <w:style w:type="table" w:styleId="Tablaconcuadrcula">
    <w:name w:val="Table Grid"/>
    <w:basedOn w:val="Tablanormal"/>
    <w:uiPriority w:val="59"/>
    <w:rsid w:val="00A86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5Car">
    <w:name w:val="Título 5 Car"/>
    <w:link w:val="Ttulo5"/>
    <w:uiPriority w:val="9"/>
    <w:semiHidden/>
    <w:rsid w:val="00C57AB0"/>
    <w:rPr>
      <w:rFonts w:ascii="Calibri" w:eastAsia="Times New Roman" w:hAnsi="Calibri" w:cs="Times New Roman"/>
      <w:b/>
      <w:bCs/>
      <w:i/>
      <w:iCs/>
      <w:sz w:val="26"/>
      <w:szCs w:val="26"/>
      <w:lang w:val="en-US" w:eastAsia="en-US"/>
    </w:rPr>
  </w:style>
  <w:style w:type="character" w:customStyle="1" w:styleId="Ttulo1Car">
    <w:name w:val="Título 1 Car"/>
    <w:link w:val="Ttulo1"/>
    <w:uiPriority w:val="9"/>
    <w:rsid w:val="002F482B"/>
    <w:rPr>
      <w:rFonts w:ascii="Cambria" w:eastAsia="Times New Roman" w:hAnsi="Cambria" w:cs="Times New Roman"/>
      <w:b/>
      <w:bCs/>
      <w:kern w:val="32"/>
      <w:sz w:val="32"/>
      <w:szCs w:val="32"/>
      <w:lang w:val="en-US" w:eastAsia="en-US"/>
    </w:rPr>
  </w:style>
  <w:style w:type="paragraph" w:styleId="Sangra2detindependiente">
    <w:name w:val="Body Text Indent 2"/>
    <w:basedOn w:val="Normal"/>
    <w:link w:val="Sangra2detindependienteCar"/>
    <w:rsid w:val="00307CE9"/>
    <w:pPr>
      <w:spacing w:after="120" w:line="480" w:lineRule="auto"/>
      <w:ind w:left="283"/>
    </w:pPr>
    <w:rPr>
      <w:sz w:val="20"/>
      <w:szCs w:val="20"/>
      <w:lang w:val="x-none" w:eastAsia="es-ES"/>
    </w:rPr>
  </w:style>
  <w:style w:type="character" w:customStyle="1" w:styleId="Sangra2detindependienteCar">
    <w:name w:val="Sangría 2 de t. independiente Car"/>
    <w:link w:val="Sangra2detindependiente"/>
    <w:rsid w:val="00307CE9"/>
    <w:rPr>
      <w:rFonts w:ascii="Times New Roman" w:eastAsia="Times New Roman" w:hAnsi="Times New Roman"/>
      <w:lang w:eastAsia="es-ES"/>
    </w:rPr>
  </w:style>
  <w:style w:type="paragraph" w:styleId="TtuloTDC">
    <w:name w:val="TOC Heading"/>
    <w:basedOn w:val="Ttulo1"/>
    <w:next w:val="Normal"/>
    <w:uiPriority w:val="39"/>
    <w:semiHidden/>
    <w:unhideWhenUsed/>
    <w:qFormat/>
    <w:rsid w:val="007A4732"/>
    <w:pPr>
      <w:keepLines/>
      <w:spacing w:before="480" w:after="0" w:line="276" w:lineRule="auto"/>
      <w:outlineLvl w:val="9"/>
    </w:pPr>
    <w:rPr>
      <w:color w:val="365F91"/>
      <w:kern w:val="0"/>
      <w:sz w:val="28"/>
      <w:szCs w:val="28"/>
    </w:rPr>
  </w:style>
  <w:style w:type="paragraph" w:styleId="TDC1">
    <w:name w:val="toc 1"/>
    <w:basedOn w:val="Normal"/>
    <w:next w:val="Normal"/>
    <w:autoRedefine/>
    <w:uiPriority w:val="39"/>
    <w:unhideWhenUsed/>
    <w:rsid w:val="004D4ABE"/>
    <w:pPr>
      <w:tabs>
        <w:tab w:val="right" w:leader="dot" w:pos="8630"/>
      </w:tabs>
      <w:spacing w:line="360" w:lineRule="auto"/>
    </w:pPr>
    <w:rPr>
      <w:rFonts w:ascii="Arial" w:hAnsi="Arial" w:cs="Arial"/>
      <w:b/>
      <w:noProof/>
      <w:sz w:val="21"/>
      <w:szCs w:val="21"/>
    </w:rPr>
  </w:style>
  <w:style w:type="paragraph" w:styleId="Textonotaalfinal">
    <w:name w:val="endnote text"/>
    <w:basedOn w:val="Normal"/>
    <w:link w:val="TextonotaalfinalCar"/>
    <w:uiPriority w:val="99"/>
    <w:semiHidden/>
    <w:unhideWhenUsed/>
    <w:rsid w:val="00850828"/>
    <w:rPr>
      <w:sz w:val="20"/>
      <w:szCs w:val="20"/>
    </w:rPr>
  </w:style>
  <w:style w:type="character" w:customStyle="1" w:styleId="TextonotaalfinalCar">
    <w:name w:val="Texto nota al final Car"/>
    <w:link w:val="Textonotaalfinal"/>
    <w:uiPriority w:val="99"/>
    <w:semiHidden/>
    <w:rsid w:val="00850828"/>
    <w:rPr>
      <w:rFonts w:ascii="Times New Roman" w:eastAsia="Times New Roman" w:hAnsi="Times New Roman"/>
      <w:lang w:val="en-US" w:eastAsia="en-US"/>
    </w:rPr>
  </w:style>
  <w:style w:type="character" w:styleId="Refdenotaalfinal">
    <w:name w:val="endnote reference"/>
    <w:uiPriority w:val="99"/>
    <w:semiHidden/>
    <w:unhideWhenUsed/>
    <w:rsid w:val="00850828"/>
    <w:rPr>
      <w:vertAlign w:val="superscript"/>
    </w:rPr>
  </w:style>
  <w:style w:type="paragraph" w:customStyle="1" w:styleId="p84">
    <w:name w:val="p84"/>
    <w:basedOn w:val="Normal"/>
    <w:rsid w:val="00FD0F8F"/>
    <w:pPr>
      <w:widowControl w:val="0"/>
      <w:tabs>
        <w:tab w:val="left" w:pos="940"/>
      </w:tabs>
      <w:spacing w:line="280" w:lineRule="atLeast"/>
      <w:ind w:left="288" w:hanging="144"/>
      <w:jc w:val="both"/>
    </w:pPr>
    <w:rPr>
      <w:snapToGrid w:val="0"/>
      <w:szCs w:val="20"/>
      <w:lang w:eastAsia="es-ES"/>
    </w:rPr>
  </w:style>
  <w:style w:type="character" w:styleId="Mencinsinresolver">
    <w:name w:val="Unresolved Mention"/>
    <w:basedOn w:val="Fuentedeprrafopredeter"/>
    <w:uiPriority w:val="99"/>
    <w:semiHidden/>
    <w:unhideWhenUsed/>
    <w:rsid w:val="00AB0D35"/>
    <w:rPr>
      <w:color w:val="808080"/>
      <w:shd w:val="clear" w:color="auto" w:fill="E6E6E6"/>
    </w:rPr>
  </w:style>
  <w:style w:type="character" w:styleId="Hipervnculovisitado">
    <w:name w:val="FollowedHyperlink"/>
    <w:basedOn w:val="Fuentedeprrafopredeter"/>
    <w:uiPriority w:val="99"/>
    <w:semiHidden/>
    <w:unhideWhenUsed/>
    <w:rsid w:val="00EE4CB9"/>
    <w:rPr>
      <w:color w:val="800080" w:themeColor="followedHyperlink"/>
      <w:u w:val="single"/>
    </w:rPr>
  </w:style>
  <w:style w:type="paragraph" w:styleId="Sinespaciado">
    <w:name w:val="No Spacing"/>
    <w:uiPriority w:val="1"/>
    <w:qFormat/>
    <w:rsid w:val="00A11560"/>
    <w:rPr>
      <w:rFonts w:asciiTheme="minorHAnsi" w:eastAsiaTheme="minorHAnsi" w:hAnsiTheme="minorHAnsi" w:cstheme="minorBidi"/>
      <w:sz w:val="22"/>
      <w:szCs w:val="22"/>
      <w:lang w:eastAsia="en-US"/>
    </w:rPr>
  </w:style>
  <w:style w:type="character" w:customStyle="1" w:styleId="ui-provider">
    <w:name w:val="ui-provider"/>
    <w:basedOn w:val="Fuentedeprrafopredeter"/>
    <w:rsid w:val="00BE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5865">
      <w:bodyDiv w:val="1"/>
      <w:marLeft w:val="0"/>
      <w:marRight w:val="0"/>
      <w:marTop w:val="0"/>
      <w:marBottom w:val="0"/>
      <w:divBdr>
        <w:top w:val="none" w:sz="0" w:space="0" w:color="auto"/>
        <w:left w:val="none" w:sz="0" w:space="0" w:color="auto"/>
        <w:bottom w:val="none" w:sz="0" w:space="0" w:color="auto"/>
        <w:right w:val="none" w:sz="0" w:space="0" w:color="auto"/>
      </w:divBdr>
    </w:div>
    <w:div w:id="262156793">
      <w:bodyDiv w:val="1"/>
      <w:marLeft w:val="0"/>
      <w:marRight w:val="0"/>
      <w:marTop w:val="0"/>
      <w:marBottom w:val="0"/>
      <w:divBdr>
        <w:top w:val="none" w:sz="0" w:space="0" w:color="auto"/>
        <w:left w:val="none" w:sz="0" w:space="0" w:color="auto"/>
        <w:bottom w:val="none" w:sz="0" w:space="0" w:color="auto"/>
        <w:right w:val="none" w:sz="0" w:space="0" w:color="auto"/>
      </w:divBdr>
      <w:divsChild>
        <w:div w:id="1384864431">
          <w:marLeft w:val="0"/>
          <w:marRight w:val="0"/>
          <w:marTop w:val="0"/>
          <w:marBottom w:val="0"/>
          <w:divBdr>
            <w:top w:val="none" w:sz="0" w:space="0" w:color="auto"/>
            <w:left w:val="none" w:sz="0" w:space="0" w:color="auto"/>
            <w:bottom w:val="none" w:sz="0" w:space="0" w:color="auto"/>
            <w:right w:val="none" w:sz="0" w:space="0" w:color="auto"/>
          </w:divBdr>
        </w:div>
      </w:divsChild>
    </w:div>
    <w:div w:id="524952522">
      <w:bodyDiv w:val="1"/>
      <w:marLeft w:val="0"/>
      <w:marRight w:val="0"/>
      <w:marTop w:val="0"/>
      <w:marBottom w:val="0"/>
      <w:divBdr>
        <w:top w:val="none" w:sz="0" w:space="0" w:color="auto"/>
        <w:left w:val="none" w:sz="0" w:space="0" w:color="auto"/>
        <w:bottom w:val="none" w:sz="0" w:space="0" w:color="auto"/>
        <w:right w:val="none" w:sz="0" w:space="0" w:color="auto"/>
      </w:divBdr>
    </w:div>
    <w:div w:id="1143742753">
      <w:bodyDiv w:val="1"/>
      <w:marLeft w:val="0"/>
      <w:marRight w:val="0"/>
      <w:marTop w:val="0"/>
      <w:marBottom w:val="0"/>
      <w:divBdr>
        <w:top w:val="none" w:sz="0" w:space="0" w:color="auto"/>
        <w:left w:val="none" w:sz="0" w:space="0" w:color="auto"/>
        <w:bottom w:val="none" w:sz="0" w:space="0" w:color="auto"/>
        <w:right w:val="none" w:sz="0" w:space="0" w:color="auto"/>
      </w:divBdr>
    </w:div>
    <w:div w:id="1642033210">
      <w:bodyDiv w:val="1"/>
      <w:marLeft w:val="0"/>
      <w:marRight w:val="0"/>
      <w:marTop w:val="0"/>
      <w:marBottom w:val="0"/>
      <w:divBdr>
        <w:top w:val="none" w:sz="0" w:space="0" w:color="auto"/>
        <w:left w:val="none" w:sz="0" w:space="0" w:color="auto"/>
        <w:bottom w:val="none" w:sz="0" w:space="0" w:color="auto"/>
        <w:right w:val="none" w:sz="0" w:space="0" w:color="auto"/>
      </w:divBdr>
    </w:div>
    <w:div w:id="20151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ugeval.fi.c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ugeval.fi.c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ugeval.fi.c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ugeval.fi.cr" TargetMode="External"/><Relationship Id="rId20" Type="http://schemas.openxmlformats.org/officeDocument/2006/relationships/hyperlink" Target="http://www.sugeval.fi.c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iplatam.com" TargetMode="External"/><Relationship Id="rId23" Type="http://schemas.openxmlformats.org/officeDocument/2006/relationships/hyperlink" Target="https://www.mvalores.fi.cr/estados-financiero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ugeval.fi.c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dn.prod.website-files.com/67e225ccb3b904ad5ed92486/691e422c4faff053272592a2_Poli%CC%81tica%20Conflictos%20de%20Intere%CC%81s_Multifondos.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M6Rlg0s6l9zzkzRNEJqTH0ehTi3K1dmeXiB+FPO0gJs=</DigestValue>
    </Reference>
    <Reference Type="http://uri.etsi.org/01903#SignedProperties" URI="#idSignedProperties">
      <Transforms>
        <Transform Algorithm="http://www.w3.org/TR/2001/REC-xml-c14n-20010315"/>
      </Transforms>
      <DigestMethod Algorithm="http://www.w3.org/2001/04/xmlenc#sha256"/>
      <DigestValue>DkLV+DsL68aAPFlhXAi3TSq5q0gNeGbDwp2F7C6ATuI=</DigestValue>
    </Reference>
  </SignedInfo>
  <SignatureValue>iGQ5uP5tmZ5SNES/IItRJkix8hCx7BatcTPhP3Os2DF6RYVbWh2IVQyfJz02qTkyLxOCpW4f7dFQs4BhgpA+VK5umE3J0kk319dVK2jQG4jDhRtpBINlK3Kc8zybmMohcAXJ0Ha0oK/tXv7Mcek6W1fnta8rEm7pSXxf1PNapHwLG3HXsQGcycj3Hs0XRsvjNxO7pL3f19l2iLBBuShBzFmgNYOIZCq4r6NcEuf27+WRbn8JgRfMcURFD4IUyYQ6By1qxeAzRVAlpIdZ6UehEoemRY4hPY+4t9u4NapYDEJz2riM/76TRonH/0Qe+B4ZwM5o3ftv1On9fjYZa/dduw==</SignatureValue>
  <KeyInfo>
    <X509Data>
      <X509Certificate>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MVUVNd0AXcCZwW29UknFS3dkFp9nerUzK7HY4A5QFpFvtPklvSUzTUXDMXaa/NROzTk8rxpxXIqFupaM3Rx4H+shwahQ/VkpZwCEwRz76oPhY+CREA923WiNlB0sLF9/jztqqsbiaY/diJbkcBl4PVH/tPKYmGUwYE3r+VdHwnSbklr0Y2pqTrtHFK5lguq0gAOPBrGTYC5eOI/x+4V1JUaJQVQQHS1dZCsOa/NPCLie5+IEwKjxI4BYiRMED1Jau2DSYir3qG+N0F79uBz+x/rrGhF37CXVYKSo5+V2gtsxyfMBQXktc7fYSP0qpvq9fXkxmOWjh989AZWS9Bkt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+V+U3Ak0OFzfNkMLNq8juR3RL0RB6RBYeJTwrO85fQ4=</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yHW4EyhpvZq7N6N2+/RL24rvFWPVNdO/xCNNtQlbaLQ=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yHW4EyhpvZq7N6N2+/RL24rvFWPVNdO/xCNNtQlbaLQ=</DigestValue>
      </Reference>
      <Reference URI="/word/document.xml?ContentType=application/vnd.openxmlformats-officedocument.wordprocessingml.document.main+xml">
        <DigestMethod Algorithm="http://www.w3.org/2001/04/xmlenc#sha256"/>
        <DigestValue>1tsUMpKdcaCnLFj4ZzhmUoJ/pk1FsLoY3EWEPN1yFYs=</DigestValue>
      </Reference>
      <Reference URI="/word/webSettings.xml?ContentType=application/vnd.openxmlformats-officedocument.wordprocessingml.webSettings+xml">
        <DigestMethod Algorithm="http://www.w3.org/2001/04/xmlenc#sha256"/>
        <DigestValue>Fh0qi1TwQ0Pregesc+3gvzVAIxdFS/12Fonk7nFzANg=</DigestValue>
      </Reference>
      <Reference URI="/word/media/image3.png?ContentType=image/png">
        <DigestMethod Algorithm="http://www.w3.org/2001/04/xmlenc#sha256"/>
        <DigestValue>G3L2EzZV/oDHiC474yQ57ITOXbmT53Xz7QI6WM/D2t4=</DigestValue>
      </Reference>
      <Reference URI="/word/header2.xml?ContentType=application/vnd.openxmlformats-officedocument.wordprocessingml.header+xml">
        <DigestMethod Algorithm="http://www.w3.org/2001/04/xmlenc#sha256"/>
        <DigestValue>FWQhCw4JYXN6MaMmxlpmT3mebUAK7xfDYs08hYB7+94=</DigestValue>
      </Reference>
      <Reference URI="/word/media/image3.emf?ContentType=image/x-emf">
        <DigestMethod Algorithm="http://www.w3.org/2001/04/xmlenc#sha256"/>
        <DigestValue>LvlCejPcZv5WrG1JwLRlWY5yUUi0Zl+BlMoB551oVRU=</DigestValue>
      </Reference>
      <Reference URI="/word/settings.xml?ContentType=application/vnd.openxmlformats-officedocument.wordprocessingml.settings+xml">
        <DigestMethod Algorithm="http://www.w3.org/2001/04/xmlenc#sha256"/>
        <DigestValue>iv6F2+6kgL6fKmQczMbCNydVzIDrm86IaeuqLG/NKnA=</DigestValue>
      </Reference>
      <Reference URI="/word/media/image2.png?ContentType=image/png">
        <DigestMethod Algorithm="http://www.w3.org/2001/04/xmlenc#sha256"/>
        <DigestValue>28tvVszyhqbwdmSMFKwi9il8qHOm7OCv2G1ZO6XzHRM=</DigestValue>
      </Reference>
      <Reference URI="/word/footer1.xml?ContentType=application/vnd.openxmlformats-officedocument.wordprocessingml.footer+xml">
        <DigestMethod Algorithm="http://www.w3.org/2001/04/xmlenc#sha256"/>
        <DigestValue>ozsTUNlh4oDzGVM4+MhIK9BO6DXEB/p+z38I/LgnSG0=</DigestValue>
      </Reference>
      <Reference URI="/word/styles.xml?ContentType=application/vnd.openxmlformats-officedocument.wordprocessingml.styles+xml">
        <DigestMethod Algorithm="http://www.w3.org/2001/04/xmlenc#sha256"/>
        <DigestValue>j3ZevD8hQqNSmH78Zarrmz50911to3rjac+nFhv5Qe4=</DigestValue>
      </Reference>
      <Reference URI="/word/media/image1.png?ContentType=image/png">
        <DigestMethod Algorithm="http://www.w3.org/2001/04/xmlenc#sha256"/>
        <DigestValue>G3L2EzZV/oDHiC474yQ57ITOXbmT53Xz7QI6WM/D2t4=</DigestValue>
      </Reference>
      <Reference URI="/word/header1.xml?ContentType=application/vnd.openxmlformats-officedocument.wordprocessingml.header+xml">
        <DigestMethod Algorithm="http://www.w3.org/2001/04/xmlenc#sha256"/>
        <DigestValue>6OwES8l6vkXGtyIC24fmwxGPXZxpP98mZy+AAvT3wlw=</DigestValue>
      </Reference>
      <Reference URI="/word/numbering.xml?ContentType=application/vnd.openxmlformats-officedocument.wordprocessingml.numbering+xml">
        <DigestMethod Algorithm="http://www.w3.org/2001/04/xmlenc#sha256"/>
        <DigestValue>3vAye+pG6TMipymF1Y8x2nzGGsSpNm+Jx/xHToE/s0o=</DigestValue>
      </Reference>
      <Reference URI="/word/theme/theme1.xml?ContentType=application/vnd.openxmlformats-officedocument.theme+xml">
        <DigestMethod Algorithm="http://www.w3.org/2001/04/xmlenc#sha256"/>
        <DigestValue>eSIC9JgbLMTj3aX2JgC9P+aUpFk3rMwKte2hPCzTWEk=</DigestValue>
      </Reference>
      <Reference URI="/word/endnotes.xml?ContentType=application/vnd.openxmlformats-officedocument.wordprocessingml.endnotes+xml">
        <DigestMethod Algorithm="http://www.w3.org/2001/04/xmlenc#sha256"/>
        <DigestValue>KbUvWpAg2xoSywoVERVJ7QXpqquervi9Ku7ePiQONgc=</DigestValue>
      </Reference>
      <Reference URI="/word/footnotes.xml?ContentType=application/vnd.openxmlformats-officedocument.wordprocessingml.footnotes+xml">
        <DigestMethod Algorithm="http://www.w3.org/2001/04/xmlenc#sha256"/>
        <DigestValue>H8neki4hxcCtxfdup8OfK2bfv5rgeg+m2N0V+MfNAz8=</DigestValue>
      </Reference>
      <Reference URI="/word/media/image4.png?ContentType=image/png">
        <DigestMethod Algorithm="http://www.w3.org/2001/04/xmlenc#sha256"/>
        <DigestValue>28tvVszyhqbwdmSMFKwi9il8qHOm7OCv2G1ZO6XzHRM=</DigestValue>
      </Reference>
      <Reference URI="/word/fontTable.xml?ContentType=application/vnd.openxmlformats-officedocument.wordprocessingml.fontTable+xml">
        <DigestMethod Algorithm="http://www.w3.org/2001/04/xmlenc#sha256"/>
        <DigestValue>MDPZwOSGHruBQnClHX3XRdHx0Jm0sLPeWSrKTRcGB5Q=</DigestValue>
      </Reference>
    </Manifest>
    <SignatureProperties>
      <SignatureProperty Id="idSignatureTime" Target="#idPackageSignature">
        <mdssi:SignatureTime xmlns:mdssi="http://schemas.openxmlformats.org/package/2006/digital-signature">
          <mdssi:Format>YYYY-MM-DDThh:mm:ssTZD</mdssi:Format>
          <mdssi:Value>2026-03-20T20:56:04Z</mdssi:Value>
        </mdssi:SignatureTime>
      </SignatureProperty>
    </SignatureProperties>
  </Object>
  <Object>
    <xd:QualifyingProperties xmlns:xd="http://uri.etsi.org/01903/v1.3.2#" Target="#idPackageSignature">
      <xd:SignedProperties Id="idSignedProperties">
        <xd:SignedSignatureProperties>
          <xd:SigningTime>2026-03-20T20:56:04Z</xd:SigningTime>
          <xd:SigningCertificate>
            <xd:Cert>
              <xd:CertDigest>
                <DigestMethod Algorithm="http://www.w3.org/2001/04/xmlenc#sha256"/>
                <DigestValue>FuRYasisvFV4v/JEE2qqxEJYHEDIEUwZCcmeUzHIY5Y=</DigestValue>
              </xd:CertDigest>
              <xd:IssuerSerial>
                <X509IssuerName>CN=CA SINPE - PERSONA FISICA v2, OU=DIVISION SISTEMAS DE PAGO, O=BANCO CENTRAL DE COSTA RICA, C=CR, SERIALNUMBER=CPJ-4-000-004017</X509IssuerName>
                <X509SerialNumber>446019470510346716530753625759501584631163771</X509SerialNumber>
              </xd:IssuerSerial>
            </xd:Cert>
          </xd:SigningCertificate>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YuAvNgLVgxdhkktsyg+NcS55EsaF5ZrVeGnk4NuvSDkCBCvnWNoYDzIwMjYwMzIwMjA1NjEy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</xd:EncapsulatedCRLValue>
                <xd:EncapsulatedCRLValue>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5I1MlZH6WZTK4KhftZ3u/RHWdTzGQsKaO2dHLnX4kJc=</DigestValue>
                </xd:DigestAlgAndValue>
                <xd:CRLIdentifier>
                  <xd:Issuer>SERIALNUMBER=CPJ-2-100-098311,C=CR,O=MICITT,OU=DCFD,CN=CA POLITICA PERSONA FISICA - COSTA RICA v2</xd:Issuer>
                  <xd:IssueTime>2026-02-08T18:12:53Z</xd:IssueTime>
                  <xd:Number>70</xd:Number>
                </xd:CRLIdentifier>
              </xd:CRLRef>
              <xd:CRLRef>
                <xd:DigestAlgAndValue>
                  <DigestMethod Algorithm="http://www.w3.org/2001/04/xmlenc#sha256"/>
                  <DigestValue>TOUkhSdSs4D2PiPn885fzj5xYhs0R+S5jRgUy9Dg7Qk=</DigestValue>
                </xd:DigestAlgAndValue>
                <xd:CRLIdentifier>
                  <xd:Issuer>SERIALNUMBER=CPJ-2-100-098311,OU=DCFD,O=MICITT,C=CR,CN=CA RAIZ NACIONAL - COSTA RICA v2</xd:Issuer>
                  <xd:IssueTime>2026-02-08T17:26:50Z</xd:IssueTime>
                  <xd:Number>38</xd:Number>
                </xd:CRLIdentifier>
              </xd:CRLRef>
            </xd:CRLRefs>
            <xd:OCSPRefs>
              <xd:OCSPRef>
                <xd:OCSPIdentifier>
                  <xd:ResponderID>
                    <xd:ByKey>2jBSPgdh0wD8TI6hGxRbgvghSk8=</xd:ByKey>
                  </xd:ResponderID>
                  <xd:ProducedAt>2026-03-20T20:56:12Z</xd:ProducedAt>
                </xd:OCSPIdentifier>
                <xd:DigestAlgAndValue>
                  <DigestMethod Algorithm="http://www.w3.org/2001/04/xmlenc#sha256"/>
                  <DigestValue>/WJvAvyjvYcOdNtAp3RwG0oGWldTsPvMSDDKUCewqrQ=</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</xd:EncapsulatedCRLValue>
              <xd:EncapsulatedCRLValue>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</xd:EncapsulatedCRLValue>
            </xd:CRLValues>
            <xd:OCSPValues>
              <xd:EncapsulatedOCSPValue>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</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BKBkBGIwYAIBAQYIYIE8AQEBAQUwMTANBglghkgBZQMEAgEFAAQgO2PE25CULfaNmVTcX4Wc72In
hfiDMYLpZpQHdzLH8RwCBCvnWNwYDzIwMjYwMzIwMjA1NjEyWjAEgAIB9AEB/6CCB8Iwgge+MIIF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CSqGSIb3DQEJAzENBgsqhkiG9w0BCRABBDAcBgkqhkiG9w0BCQUxDxcNMjYwMzIwMjA1NjEyWjAv
BgkqhkiG9w0BCQQxIgQg7lboD3GfDP+qQogBRsx1WpfzT+B8K1mGCvPfLjDWR4MwNwYLKoZIhvcN
AQkQAi8xKDAmMCQwIgQgrKszXYj6Q2nTJpWV/NZakemXG2IrBO983WoSsYOW808wDQYJKoZIhvcN
AQEBBQAEggEAN+KNbgEudiQ3HhZ5ZQRw8vnkiu/Ij90jGY2t0Zo5kdhFkT59udkqJUh0A565g5b6
JycOOt4IA+S52U58tSAaZwQPTJe+Mdb+TifuPB4OdmYlzMGbY+IIRQCUtFj/B7m8gzUpm7qLqfqT
eOkk54xOnTaEs59ytjK2SSie2nFiYeXBjCS5cxPl4Xmr0SiSWr8w33W5t0DuPrbWzq9W5ZfOrTo/
g5OYZi2zFXNOC/fjDvkl1CdbM7p78qzwSg3VuoK2IJNr9G1dJtP45vHyx9nd3KusI/MNSPU0hyO7
7eadw/acjoRjCtd3Tf0PP24VOIeC75KCBbhlF9c4nO9TrGjc+g==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1DEBACB4B7FEE498D48F31FA17F3946" ma:contentTypeVersion="14" ma:contentTypeDescription="Crear nuevo documento." ma:contentTypeScope="" ma:versionID="e46fcf410735d92a0fffc8022485b396">
  <xsd:schema xmlns:xsd="http://www.w3.org/2001/XMLSchema" xmlns:xs="http://www.w3.org/2001/XMLSchema" xmlns:p="http://schemas.microsoft.com/office/2006/metadata/properties" xmlns:ns2="70628ba9-6bf3-49a7-9614-6b8b4a0243e6" xmlns:ns3="853a55cb-17c7-4e6d-b378-74fe2e25ef83" targetNamespace="http://schemas.microsoft.com/office/2006/metadata/properties" ma:root="true" ma:fieldsID="61491c1887ff531f15c4eff57e4ff31b" ns2:_="" ns3:_="">
    <xsd:import namespace="70628ba9-6bf3-49a7-9614-6b8b4a0243e6"/>
    <xsd:import namespace="853a55cb-17c7-4e6d-b378-74fe2e25e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28ba9-6bf3-49a7-9614-6b8b4a024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aef1b0b3-da31-4b74-887a-4ccc9f9f108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3a55cb-17c7-4e6d-b378-74fe2e25ef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17d2bc-bc8c-4126-946d-19c11477a947}" ma:internalName="TaxCatchAll" ma:showField="CatchAllData" ma:web="853a55cb-17c7-4e6d-b378-74fe2e25e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628ba9-6bf3-49a7-9614-6b8b4a0243e6">
      <Terms xmlns="http://schemas.microsoft.com/office/infopath/2007/PartnerControls"/>
    </lcf76f155ced4ddcb4097134ff3c332f>
    <TaxCatchAll xmlns="853a55cb-17c7-4e6d-b378-74fe2e25ef83" xsi:nil="true"/>
  </documentManagement>
</p:properties>
</file>

<file path=customXml/itemProps1.xml><?xml version="1.0" encoding="utf-8"?>
<ds:datastoreItem xmlns:ds="http://schemas.openxmlformats.org/officeDocument/2006/customXml" ds:itemID="{8EBEA928-B3B2-42CD-854A-A13A2B87C169}">
  <ds:schemaRefs>
    <ds:schemaRef ds:uri="http://schemas.microsoft.com/sharepoint/v3/contenttype/forms"/>
  </ds:schemaRefs>
</ds:datastoreItem>
</file>

<file path=customXml/itemProps2.xml><?xml version="1.0" encoding="utf-8"?>
<ds:datastoreItem xmlns:ds="http://schemas.openxmlformats.org/officeDocument/2006/customXml" ds:itemID="{A27FF33F-A9AF-44A0-BE96-776736CED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28ba9-6bf3-49a7-9614-6b8b4a0243e6"/>
    <ds:schemaRef ds:uri="853a55cb-17c7-4e6d-b378-74fe2e25e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65152-4D1F-4D93-B0CC-8EC04D386863}">
  <ds:schemaRefs>
    <ds:schemaRef ds:uri="http://schemas.openxmlformats.org/officeDocument/2006/bibliography"/>
  </ds:schemaRefs>
</ds:datastoreItem>
</file>

<file path=customXml/itemProps4.xml><?xml version="1.0" encoding="utf-8"?>
<ds:datastoreItem xmlns:ds="http://schemas.openxmlformats.org/officeDocument/2006/customXml" ds:itemID="{2AC65196-1DCC-403C-A785-BA6801E9419E}">
  <ds:schemaRefs>
    <ds:schemaRef ds:uri="http://schemas.microsoft.com/office/2006/metadata/properties"/>
    <ds:schemaRef ds:uri="http://schemas.microsoft.com/office/infopath/2007/PartnerControls"/>
    <ds:schemaRef ds:uri="70628ba9-6bf3-49a7-9614-6b8b4a0243e6"/>
    <ds:schemaRef ds:uri="853a55cb-17c7-4e6d-b378-74fe2e25ef83"/>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32</Pages>
  <Words>12794</Words>
  <Characters>70370</Characters>
  <Application>Microsoft Office Word</Application>
  <DocSecurity>0</DocSecurity>
  <Lines>586</Lines>
  <Paragraphs>165</Paragraphs>
  <ScaleCrop>false</ScaleCrop>
  <Company>SUGEVAL</Company>
  <LinksUpToDate>false</LinksUpToDate>
  <CharactersWithSpaces>82999</CharactersWithSpaces>
  <SharedDoc>false</SharedDoc>
  <HLinks>
    <vt:vector size="108" baseType="variant">
      <vt:variant>
        <vt:i4>1310805</vt:i4>
      </vt:variant>
      <vt:variant>
        <vt:i4>84</vt:i4>
      </vt:variant>
      <vt:variant>
        <vt:i4>0</vt:i4>
      </vt:variant>
      <vt:variant>
        <vt:i4>5</vt:i4>
      </vt:variant>
      <vt:variant>
        <vt:lpwstr>https://cdn.prod.website-files.com/67e225ccb3b904ad5ed92486/691e422c4faff053272592a2_Poli%CC%81tica Conflictos de Intere%CC%81s_Multifondos.pdf</vt:lpwstr>
      </vt:variant>
      <vt:variant>
        <vt:lpwstr/>
      </vt:variant>
      <vt:variant>
        <vt:i4>2031621</vt:i4>
      </vt:variant>
      <vt:variant>
        <vt:i4>81</vt:i4>
      </vt:variant>
      <vt:variant>
        <vt:i4>0</vt:i4>
      </vt:variant>
      <vt:variant>
        <vt:i4>5</vt:i4>
      </vt:variant>
      <vt:variant>
        <vt:lpwstr>http://www.sugeval.fi.cr/</vt:lpwstr>
      </vt:variant>
      <vt:variant>
        <vt:lpwstr/>
      </vt:variant>
      <vt:variant>
        <vt:i4>2031621</vt:i4>
      </vt:variant>
      <vt:variant>
        <vt:i4>78</vt:i4>
      </vt:variant>
      <vt:variant>
        <vt:i4>0</vt:i4>
      </vt:variant>
      <vt:variant>
        <vt:i4>5</vt:i4>
      </vt:variant>
      <vt:variant>
        <vt:lpwstr>http://www.sugeval.fi.cr/</vt:lpwstr>
      </vt:variant>
      <vt:variant>
        <vt:lpwstr/>
      </vt:variant>
      <vt:variant>
        <vt:i4>2031621</vt:i4>
      </vt:variant>
      <vt:variant>
        <vt:i4>75</vt:i4>
      </vt:variant>
      <vt:variant>
        <vt:i4>0</vt:i4>
      </vt:variant>
      <vt:variant>
        <vt:i4>5</vt:i4>
      </vt:variant>
      <vt:variant>
        <vt:lpwstr>http://www.sugeval.fi.cr/</vt:lpwstr>
      </vt:variant>
      <vt:variant>
        <vt:lpwstr/>
      </vt:variant>
      <vt:variant>
        <vt:i4>2031621</vt:i4>
      </vt:variant>
      <vt:variant>
        <vt:i4>72</vt:i4>
      </vt:variant>
      <vt:variant>
        <vt:i4>0</vt:i4>
      </vt:variant>
      <vt:variant>
        <vt:i4>5</vt:i4>
      </vt:variant>
      <vt:variant>
        <vt:lpwstr>http://www.sugeval.fi.cr/</vt:lpwstr>
      </vt:variant>
      <vt:variant>
        <vt:lpwstr/>
      </vt:variant>
      <vt:variant>
        <vt:i4>2031621</vt:i4>
      </vt:variant>
      <vt:variant>
        <vt:i4>69</vt:i4>
      </vt:variant>
      <vt:variant>
        <vt:i4>0</vt:i4>
      </vt:variant>
      <vt:variant>
        <vt:i4>5</vt:i4>
      </vt:variant>
      <vt:variant>
        <vt:lpwstr>http://www.sugeval.fi.cr/</vt:lpwstr>
      </vt:variant>
      <vt:variant>
        <vt:lpwstr/>
      </vt:variant>
      <vt:variant>
        <vt:i4>2031621</vt:i4>
      </vt:variant>
      <vt:variant>
        <vt:i4>66</vt:i4>
      </vt:variant>
      <vt:variant>
        <vt:i4>0</vt:i4>
      </vt:variant>
      <vt:variant>
        <vt:i4>5</vt:i4>
      </vt:variant>
      <vt:variant>
        <vt:lpwstr>http://www.sugeval.fi.cr/</vt:lpwstr>
      </vt:variant>
      <vt:variant>
        <vt:lpwstr/>
      </vt:variant>
      <vt:variant>
        <vt:i4>4522050</vt:i4>
      </vt:variant>
      <vt:variant>
        <vt:i4>63</vt:i4>
      </vt:variant>
      <vt:variant>
        <vt:i4>0</vt:i4>
      </vt:variant>
      <vt:variant>
        <vt:i4>5</vt:i4>
      </vt:variant>
      <vt:variant>
        <vt:lpwstr>http://www.piplatam.com/</vt:lpwstr>
      </vt:variant>
      <vt:variant>
        <vt:lpwstr/>
      </vt:variant>
      <vt:variant>
        <vt:i4>1638460</vt:i4>
      </vt:variant>
      <vt:variant>
        <vt:i4>56</vt:i4>
      </vt:variant>
      <vt:variant>
        <vt:i4>0</vt:i4>
      </vt:variant>
      <vt:variant>
        <vt:i4>5</vt:i4>
      </vt:variant>
      <vt:variant>
        <vt:lpwstr/>
      </vt:variant>
      <vt:variant>
        <vt:lpwstr>_Toc34228951</vt:lpwstr>
      </vt:variant>
      <vt:variant>
        <vt:i4>1572924</vt:i4>
      </vt:variant>
      <vt:variant>
        <vt:i4>50</vt:i4>
      </vt:variant>
      <vt:variant>
        <vt:i4>0</vt:i4>
      </vt:variant>
      <vt:variant>
        <vt:i4>5</vt:i4>
      </vt:variant>
      <vt:variant>
        <vt:lpwstr/>
      </vt:variant>
      <vt:variant>
        <vt:lpwstr>_Toc34228950</vt:lpwstr>
      </vt:variant>
      <vt:variant>
        <vt:i4>1114173</vt:i4>
      </vt:variant>
      <vt:variant>
        <vt:i4>44</vt:i4>
      </vt:variant>
      <vt:variant>
        <vt:i4>0</vt:i4>
      </vt:variant>
      <vt:variant>
        <vt:i4>5</vt:i4>
      </vt:variant>
      <vt:variant>
        <vt:lpwstr/>
      </vt:variant>
      <vt:variant>
        <vt:lpwstr>_Toc34228949</vt:lpwstr>
      </vt:variant>
      <vt:variant>
        <vt:i4>1048637</vt:i4>
      </vt:variant>
      <vt:variant>
        <vt:i4>38</vt:i4>
      </vt:variant>
      <vt:variant>
        <vt:i4>0</vt:i4>
      </vt:variant>
      <vt:variant>
        <vt:i4>5</vt:i4>
      </vt:variant>
      <vt:variant>
        <vt:lpwstr/>
      </vt:variant>
      <vt:variant>
        <vt:lpwstr>_Toc34228948</vt:lpwstr>
      </vt:variant>
      <vt:variant>
        <vt:i4>2031677</vt:i4>
      </vt:variant>
      <vt:variant>
        <vt:i4>32</vt:i4>
      </vt:variant>
      <vt:variant>
        <vt:i4>0</vt:i4>
      </vt:variant>
      <vt:variant>
        <vt:i4>5</vt:i4>
      </vt:variant>
      <vt:variant>
        <vt:lpwstr/>
      </vt:variant>
      <vt:variant>
        <vt:lpwstr>_Toc34228947</vt:lpwstr>
      </vt:variant>
      <vt:variant>
        <vt:i4>1966141</vt:i4>
      </vt:variant>
      <vt:variant>
        <vt:i4>26</vt:i4>
      </vt:variant>
      <vt:variant>
        <vt:i4>0</vt:i4>
      </vt:variant>
      <vt:variant>
        <vt:i4>5</vt:i4>
      </vt:variant>
      <vt:variant>
        <vt:lpwstr/>
      </vt:variant>
      <vt:variant>
        <vt:lpwstr>_Toc34228946</vt:lpwstr>
      </vt:variant>
      <vt:variant>
        <vt:i4>1900605</vt:i4>
      </vt:variant>
      <vt:variant>
        <vt:i4>20</vt:i4>
      </vt:variant>
      <vt:variant>
        <vt:i4>0</vt:i4>
      </vt:variant>
      <vt:variant>
        <vt:i4>5</vt:i4>
      </vt:variant>
      <vt:variant>
        <vt:lpwstr/>
      </vt:variant>
      <vt:variant>
        <vt:lpwstr>_Toc34228945</vt:lpwstr>
      </vt:variant>
      <vt:variant>
        <vt:i4>1835069</vt:i4>
      </vt:variant>
      <vt:variant>
        <vt:i4>14</vt:i4>
      </vt:variant>
      <vt:variant>
        <vt:i4>0</vt:i4>
      </vt:variant>
      <vt:variant>
        <vt:i4>5</vt:i4>
      </vt:variant>
      <vt:variant>
        <vt:lpwstr/>
      </vt:variant>
      <vt:variant>
        <vt:lpwstr>_Toc34228944</vt:lpwstr>
      </vt:variant>
      <vt:variant>
        <vt:i4>1769533</vt:i4>
      </vt:variant>
      <vt:variant>
        <vt:i4>8</vt:i4>
      </vt:variant>
      <vt:variant>
        <vt:i4>0</vt:i4>
      </vt:variant>
      <vt:variant>
        <vt:i4>5</vt:i4>
      </vt:variant>
      <vt:variant>
        <vt:lpwstr/>
      </vt:variant>
      <vt:variant>
        <vt:lpwstr>_Toc34228943</vt:lpwstr>
      </vt:variant>
      <vt:variant>
        <vt:i4>1703997</vt:i4>
      </vt:variant>
      <vt:variant>
        <vt:i4>2</vt:i4>
      </vt:variant>
      <vt:variant>
        <vt:i4>0</vt:i4>
      </vt:variant>
      <vt:variant>
        <vt:i4>5</vt:i4>
      </vt:variant>
      <vt:variant>
        <vt:lpwstr/>
      </vt:variant>
      <vt:variant>
        <vt:lpwstr>_Toc34228942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del acuerdo SGV-A-158</dc:title>
  <dc:subject/>
  <dc:creator>rodriguezma</dc:creator>
  <cp:keywords/>
  <cp:lastModifiedBy>Marymar Venegas Arévalo</cp:lastModifiedBy>
  <cp:revision>23</cp:revision>
  <cp:lastPrinted>2020-06-10T00:57:00Z</cp:lastPrinted>
  <dcterms:created xsi:type="dcterms:W3CDTF">2026-02-11T21:08:00Z</dcterms:created>
  <dcterms:modified xsi:type="dcterms:W3CDTF">2026-03-20T17:54:00Z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Estado">
    <vt:lpwstr>Vigente</vt:lpwstr>
  </property>
  <property fmtid="{D5CDD505-2E9C-101B-9397-08002B2CF9AE}" pid="4" name="Order">
    <vt:lpwstr>11300.0000000000</vt:lpwstr>
  </property>
  <property fmtid="{D5CDD505-2E9C-101B-9397-08002B2CF9AE}" pid="5" name="MediaServiceImageTags">
    <vt:lpwstr/>
  </property>
  <property fmtid="{D5CDD505-2E9C-101B-9397-08002B2CF9AE}" pid="6" name="ContentTypeId">
    <vt:lpwstr>0x01010021DEBACB4B7FEE498D48F31FA17F3946</vt:lpwstr>
  </property>
</Properties>
</file>