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3C51" w14:textId="42CF6008" w:rsidR="0084461E" w:rsidRDefault="00FC0894" w:rsidP="00FC0894">
      <w:pPr>
        <w:pStyle w:val="Heading1"/>
      </w:pPr>
      <w:r>
        <w:t>Claude Sonnet 4 2025-05-31</w:t>
      </w:r>
    </w:p>
    <w:p w14:paraId="068CBE5B" w14:textId="462322AF" w:rsidR="00FC0894" w:rsidRDefault="00FC0894" w:rsidP="00FC0894">
      <w:pPr>
        <w:pStyle w:val="whitespace-normal"/>
        <w:rPr>
          <w:rStyle w:val="HTMLCode"/>
          <w:rFonts w:ascii="Menlo" w:eastAsiaTheme="majorEastAsia" w:hAnsi="Menlo" w:cs="Menlo"/>
          <w:spacing w:val="-6"/>
          <w:bdr w:val="single" w:sz="2" w:space="0" w:color="auto" w:frame="1"/>
        </w:rPr>
      </w:pPr>
      <w:r>
        <w:rPr>
          <w:rFonts w:ascii="Segoe UI" w:hAnsi="Segoe UI" w:cs="Segoe UI"/>
          <w:color w:val="141413"/>
          <w:spacing w:val="-6"/>
          <w:sz w:val="23"/>
          <w:szCs w:val="23"/>
          <w:shd w:val="clear" w:color="auto" w:fill="F0EEE6"/>
        </w:rPr>
        <w:t xml:space="preserve">I'm working with a friend on the Independent Medical Exam market. This is a sample patient narrative. Can you help me create an impairment rating according to the AMA Guides 5th edition? </w:t>
      </w:r>
      <w:r>
        <w:rPr>
          <w:rStyle w:val="HTMLCode"/>
          <w:rFonts w:ascii="Menlo" w:eastAsiaTheme="majorEastAsia" w:hAnsi="Menlo" w:cs="Menlo"/>
          <w:spacing w:val="-6"/>
          <w:bdr w:val="single" w:sz="2" w:space="0" w:color="auto" w:frame="1"/>
        </w:rPr>
        <w:t xml:space="preserve">Subject: 45-year-old woman. History: Sustained a tibia fracture in a motor vehicle accident. Current Symptoms: No pain; stiffness about the ankle and foot, with some swelling of the foot and ankle toward evening. Cannot stand for long peri- </w:t>
      </w:r>
      <w:proofErr w:type="spellStart"/>
      <w:r>
        <w:rPr>
          <w:rStyle w:val="HTMLCode"/>
          <w:rFonts w:ascii="Menlo" w:eastAsiaTheme="majorEastAsia" w:hAnsi="Menlo" w:cs="Menlo"/>
          <w:spacing w:val="-6"/>
          <w:bdr w:val="single" w:sz="2" w:space="0" w:color="auto" w:frame="1"/>
        </w:rPr>
        <w:t>ods</w:t>
      </w:r>
      <w:proofErr w:type="spellEnd"/>
      <w:r>
        <w:rPr>
          <w:rStyle w:val="HTMLCode"/>
          <w:rFonts w:ascii="Menlo" w:eastAsiaTheme="majorEastAsia" w:hAnsi="Menlo" w:cs="Menlo"/>
          <w:spacing w:val="-6"/>
          <w:bdr w:val="single" w:sz="2" w:space="0" w:color="auto" w:frame="1"/>
        </w:rPr>
        <w:t xml:space="preserve"> and cannot use shoes with elevated heels. Physical Exam: Ankle flexion is 6°; ankle extension is 5°. Toe extension is less than 10° for all toes. 1- cm atrophy of the left calf. It is difficult to deter- mine the strength of the ankle and toe extensors, but a mild weakness is noted. Clinical Studies: X-rays: healed tibia fracture with no malalignment. Diagnosis: Healed tibia fracture.</w:t>
      </w:r>
    </w:p>
    <w:p w14:paraId="2E31C36E" w14:textId="77777777" w:rsidR="00FC0894" w:rsidRDefault="00FC0894" w:rsidP="00FC0894">
      <w:pPr>
        <w:pStyle w:val="whitespace-normal"/>
        <w:rPr>
          <w:rStyle w:val="HTMLCode"/>
          <w:rFonts w:ascii="Menlo" w:eastAsiaTheme="majorEastAsia" w:hAnsi="Menlo" w:cs="Menlo"/>
          <w:spacing w:val="-6"/>
          <w:bdr w:val="single" w:sz="2" w:space="0" w:color="auto" w:frame="1"/>
        </w:rPr>
      </w:pPr>
    </w:p>
    <w:p w14:paraId="37813E12" w14:textId="606F703D" w:rsidR="00FC0894" w:rsidRDefault="00FC0894" w:rsidP="00FC0894">
      <w:pPr>
        <w:pStyle w:val="whitespace-normal"/>
      </w:pPr>
      <w:r>
        <w:t>Absolutely! Let me provide a manual impairment rating calculation using the AMA Guides 5th Edition.</w:t>
      </w:r>
    </w:p>
    <w:p w14:paraId="74370989" w14:textId="77777777" w:rsidR="00FC0894" w:rsidRDefault="00FC0894" w:rsidP="00FC0894">
      <w:pPr>
        <w:pStyle w:val="Heading2"/>
      </w:pPr>
      <w:r>
        <w:t>Manual Impairment Rating Calculation - AMA Guides 5th Edition</w:t>
      </w:r>
    </w:p>
    <w:p w14:paraId="7E75B42B" w14:textId="77777777" w:rsidR="00FC0894" w:rsidRDefault="00FC0894" w:rsidP="00FC0894">
      <w:pPr>
        <w:pStyle w:val="Heading3"/>
      </w:pPr>
      <w:r>
        <w:t>Patient Summary</w:t>
      </w:r>
    </w:p>
    <w:p w14:paraId="048DC8F1" w14:textId="77777777" w:rsidR="00FC0894" w:rsidRDefault="00FC0894" w:rsidP="00FC0894">
      <w:pPr>
        <w:pStyle w:val="whitespace-normal"/>
      </w:pPr>
      <w:r>
        <w:t>45-year-old woman with healed tibia fracture showing significant ankle and toe range of motion limitations, mild weakness, and calf atrophy.</w:t>
      </w:r>
    </w:p>
    <w:p w14:paraId="4E6267A5" w14:textId="77777777" w:rsidR="00FC0894" w:rsidRDefault="00FC0894" w:rsidP="00FC0894">
      <w:pPr>
        <w:pStyle w:val="Heading3"/>
      </w:pPr>
      <w:r>
        <w:t>Individual Impairment Components</w:t>
      </w:r>
    </w:p>
    <w:p w14:paraId="302EF138" w14:textId="77777777" w:rsidR="00FC0894" w:rsidRDefault="00FC0894" w:rsidP="00FC0894">
      <w:pPr>
        <w:pStyle w:val="whitespace-normal"/>
      </w:pPr>
      <w:r>
        <w:rPr>
          <w:rStyle w:val="Strong"/>
          <w:rFonts w:eastAsiaTheme="majorEastAsia"/>
        </w:rPr>
        <w:t>1. Ankle Range of Motion Impairments</w:t>
      </w:r>
    </w:p>
    <w:p w14:paraId="13E8C7BD" w14:textId="77777777" w:rsidR="00FC0894" w:rsidRDefault="00FC0894" w:rsidP="00FC0894">
      <w:pPr>
        <w:pStyle w:val="whitespace-normal"/>
      </w:pPr>
      <w:r>
        <w:t>Using Table 17-33 (Ankle Dorsiflexion and Plantarflexion Impairments):</w:t>
      </w:r>
    </w:p>
    <w:p w14:paraId="644361B1" w14:textId="77777777" w:rsidR="00FC0894" w:rsidRDefault="00FC0894" w:rsidP="00FC0894">
      <w:pPr>
        <w:pStyle w:val="whitespace-normal"/>
        <w:numPr>
          <w:ilvl w:val="0"/>
          <w:numId w:val="1"/>
        </w:numPr>
      </w:pPr>
      <w:r>
        <w:rPr>
          <w:rStyle w:val="Strong"/>
          <w:rFonts w:eastAsiaTheme="majorEastAsia"/>
        </w:rPr>
        <w:t>Ankle Flexion (Plantarflexion): 6°</w:t>
      </w:r>
      <w:r>
        <w:t xml:space="preserve"> </w:t>
      </w:r>
    </w:p>
    <w:p w14:paraId="0807C0CF" w14:textId="77777777" w:rsidR="00FC0894" w:rsidRDefault="00FC0894" w:rsidP="00FC0894">
      <w:pPr>
        <w:pStyle w:val="whitespace-normal"/>
        <w:numPr>
          <w:ilvl w:val="1"/>
          <w:numId w:val="1"/>
        </w:numPr>
      </w:pPr>
      <w:r>
        <w:t>Normal range: 0° to 50°</w:t>
      </w:r>
    </w:p>
    <w:p w14:paraId="2C7C8231" w14:textId="77777777" w:rsidR="00FC0894" w:rsidRDefault="00FC0894" w:rsidP="00FC0894">
      <w:pPr>
        <w:pStyle w:val="whitespace-normal"/>
        <w:numPr>
          <w:ilvl w:val="1"/>
          <w:numId w:val="1"/>
        </w:numPr>
      </w:pPr>
      <w:r>
        <w:t>Patient has: 6° (lost 44° of motion)</w:t>
      </w:r>
    </w:p>
    <w:p w14:paraId="3F9B6618" w14:textId="77777777" w:rsidR="00FC0894" w:rsidRDefault="00FC0894" w:rsidP="00FC0894">
      <w:pPr>
        <w:pStyle w:val="whitespace-normal"/>
        <w:numPr>
          <w:ilvl w:val="1"/>
          <w:numId w:val="1"/>
        </w:numPr>
      </w:pPr>
      <w:r>
        <w:t>Per Table 17-33: ~15% lower extremity impairment</w:t>
      </w:r>
    </w:p>
    <w:p w14:paraId="47A88DD2" w14:textId="77777777" w:rsidR="00FC0894" w:rsidRDefault="00FC0894" w:rsidP="00FC0894">
      <w:pPr>
        <w:pStyle w:val="whitespace-normal"/>
        <w:numPr>
          <w:ilvl w:val="0"/>
          <w:numId w:val="1"/>
        </w:numPr>
      </w:pPr>
      <w:r>
        <w:rPr>
          <w:rStyle w:val="Strong"/>
          <w:rFonts w:eastAsiaTheme="majorEastAsia"/>
        </w:rPr>
        <w:t>Ankle Extension (Dorsiflexion): 5°</w:t>
      </w:r>
      <w:r>
        <w:t xml:space="preserve"> </w:t>
      </w:r>
    </w:p>
    <w:p w14:paraId="285588BB" w14:textId="77777777" w:rsidR="00FC0894" w:rsidRDefault="00FC0894" w:rsidP="00FC0894">
      <w:pPr>
        <w:pStyle w:val="whitespace-normal"/>
        <w:numPr>
          <w:ilvl w:val="1"/>
          <w:numId w:val="1"/>
        </w:numPr>
      </w:pPr>
      <w:r>
        <w:t>Normal range: 0° to 20°</w:t>
      </w:r>
    </w:p>
    <w:p w14:paraId="746B46CC" w14:textId="77777777" w:rsidR="00FC0894" w:rsidRDefault="00FC0894" w:rsidP="00FC0894">
      <w:pPr>
        <w:pStyle w:val="whitespace-normal"/>
        <w:numPr>
          <w:ilvl w:val="1"/>
          <w:numId w:val="1"/>
        </w:numPr>
      </w:pPr>
      <w:r>
        <w:t>Patient has: 5° (lost 15° of motion)</w:t>
      </w:r>
    </w:p>
    <w:p w14:paraId="5287EA48" w14:textId="77777777" w:rsidR="00FC0894" w:rsidRDefault="00FC0894" w:rsidP="00FC0894">
      <w:pPr>
        <w:pStyle w:val="whitespace-normal"/>
        <w:numPr>
          <w:ilvl w:val="1"/>
          <w:numId w:val="1"/>
        </w:numPr>
      </w:pPr>
      <w:r>
        <w:t>Per Table 17-33: ~12% lower extremity impairment</w:t>
      </w:r>
    </w:p>
    <w:p w14:paraId="4333B4D5" w14:textId="77777777" w:rsidR="00FC0894" w:rsidRDefault="00FC0894" w:rsidP="00FC0894">
      <w:pPr>
        <w:pStyle w:val="whitespace-normal"/>
      </w:pPr>
      <w:r>
        <w:rPr>
          <w:rStyle w:val="Strong"/>
          <w:rFonts w:eastAsiaTheme="majorEastAsia"/>
        </w:rPr>
        <w:t>2. Toe Range of Motion Impairments</w:t>
      </w:r>
    </w:p>
    <w:p w14:paraId="31AD1FB4" w14:textId="77777777" w:rsidR="00FC0894" w:rsidRDefault="00FC0894" w:rsidP="00FC0894">
      <w:pPr>
        <w:pStyle w:val="whitespace-normal"/>
      </w:pPr>
      <w:r>
        <w:t>Using Table 17-37 (Toe Impairments):</w:t>
      </w:r>
    </w:p>
    <w:p w14:paraId="59A60B70" w14:textId="77777777" w:rsidR="00FC0894" w:rsidRDefault="00FC0894" w:rsidP="00FC0894">
      <w:pPr>
        <w:pStyle w:val="whitespace-normal"/>
        <w:numPr>
          <w:ilvl w:val="0"/>
          <w:numId w:val="2"/>
        </w:numPr>
      </w:pPr>
      <w:r>
        <w:rPr>
          <w:rStyle w:val="Strong"/>
          <w:rFonts w:eastAsiaTheme="majorEastAsia"/>
        </w:rPr>
        <w:lastRenderedPageBreak/>
        <w:t>All toes extension &lt;10°</w:t>
      </w:r>
      <w:r>
        <w:t xml:space="preserve"> </w:t>
      </w:r>
    </w:p>
    <w:p w14:paraId="5211B9BA" w14:textId="77777777" w:rsidR="00FC0894" w:rsidRDefault="00FC0894" w:rsidP="00FC0894">
      <w:pPr>
        <w:pStyle w:val="whitespace-normal"/>
        <w:numPr>
          <w:ilvl w:val="1"/>
          <w:numId w:val="2"/>
        </w:numPr>
      </w:pPr>
      <w:r>
        <w:t>Normal great toe extension: 0° to 70°</w:t>
      </w:r>
    </w:p>
    <w:p w14:paraId="0D0EFFF2" w14:textId="77777777" w:rsidR="00FC0894" w:rsidRDefault="00FC0894" w:rsidP="00FC0894">
      <w:pPr>
        <w:pStyle w:val="whitespace-normal"/>
        <w:numPr>
          <w:ilvl w:val="1"/>
          <w:numId w:val="2"/>
        </w:numPr>
      </w:pPr>
      <w:r>
        <w:t>Normal lesser toe extension: 0° to 40°</w:t>
      </w:r>
    </w:p>
    <w:p w14:paraId="137DA58F" w14:textId="77777777" w:rsidR="00FC0894" w:rsidRDefault="00FC0894" w:rsidP="00FC0894">
      <w:pPr>
        <w:pStyle w:val="whitespace-normal"/>
        <w:numPr>
          <w:ilvl w:val="1"/>
          <w:numId w:val="2"/>
        </w:numPr>
      </w:pPr>
      <w:r>
        <w:t>Estimated combined toe impairment: ~8% lower extremity</w:t>
      </w:r>
    </w:p>
    <w:p w14:paraId="56450CBB" w14:textId="77777777" w:rsidR="00FC0894" w:rsidRDefault="00FC0894" w:rsidP="00FC0894">
      <w:pPr>
        <w:pStyle w:val="whitespace-normal"/>
      </w:pPr>
      <w:r>
        <w:rPr>
          <w:rStyle w:val="Strong"/>
          <w:rFonts w:eastAsiaTheme="majorEastAsia"/>
        </w:rPr>
        <w:t>3. Muscle Weakness</w:t>
      </w:r>
    </w:p>
    <w:p w14:paraId="32063B19" w14:textId="77777777" w:rsidR="00FC0894" w:rsidRDefault="00FC0894" w:rsidP="00FC0894">
      <w:pPr>
        <w:pStyle w:val="whitespace-normal"/>
      </w:pPr>
      <w:r>
        <w:t>Using Table 17-2 (Lower Extremity Muscle Rating):</w:t>
      </w:r>
    </w:p>
    <w:p w14:paraId="34160DC4" w14:textId="77777777" w:rsidR="00FC0894" w:rsidRDefault="00FC0894" w:rsidP="00FC0894">
      <w:pPr>
        <w:pStyle w:val="whitespace-normal"/>
        <w:numPr>
          <w:ilvl w:val="0"/>
          <w:numId w:val="3"/>
        </w:numPr>
      </w:pPr>
      <w:r>
        <w:rPr>
          <w:rStyle w:val="Strong"/>
          <w:rFonts w:eastAsiaTheme="majorEastAsia"/>
        </w:rPr>
        <w:t>Mild weakness of ankle and toe extensors</w:t>
      </w:r>
      <w:r>
        <w:t xml:space="preserve"> </w:t>
      </w:r>
    </w:p>
    <w:p w14:paraId="4D1AF051" w14:textId="77777777" w:rsidR="00FC0894" w:rsidRDefault="00FC0894" w:rsidP="00FC0894">
      <w:pPr>
        <w:pStyle w:val="whitespace-normal"/>
        <w:numPr>
          <w:ilvl w:val="1"/>
          <w:numId w:val="3"/>
        </w:numPr>
      </w:pPr>
      <w:r>
        <w:t>Grade 4/5 strength (good): ~10% lower extremity impairment</w:t>
      </w:r>
    </w:p>
    <w:p w14:paraId="1D8244A5" w14:textId="77777777" w:rsidR="00FC0894" w:rsidRDefault="00FC0894" w:rsidP="00FC0894">
      <w:pPr>
        <w:pStyle w:val="whitespace-normal"/>
      </w:pPr>
      <w:r>
        <w:rPr>
          <w:rStyle w:val="Strong"/>
          <w:rFonts w:eastAsiaTheme="majorEastAsia"/>
        </w:rPr>
        <w:t>4. Muscle Atrophy</w:t>
      </w:r>
    </w:p>
    <w:p w14:paraId="29903307" w14:textId="77777777" w:rsidR="00FC0894" w:rsidRDefault="00FC0894" w:rsidP="00FC0894">
      <w:pPr>
        <w:pStyle w:val="whitespace-normal"/>
      </w:pPr>
      <w:r>
        <w:t>Using Table 17-6 (Lower Extremity Muscle Atrophy):</w:t>
      </w:r>
    </w:p>
    <w:p w14:paraId="1C025927" w14:textId="77777777" w:rsidR="00FC0894" w:rsidRDefault="00FC0894" w:rsidP="00FC0894">
      <w:pPr>
        <w:pStyle w:val="whitespace-normal"/>
        <w:numPr>
          <w:ilvl w:val="0"/>
          <w:numId w:val="4"/>
        </w:numPr>
      </w:pPr>
      <w:r>
        <w:rPr>
          <w:rStyle w:val="Strong"/>
          <w:rFonts w:eastAsiaTheme="majorEastAsia"/>
        </w:rPr>
        <w:t>1 cm calf atrophy</w:t>
      </w:r>
      <w:r>
        <w:t xml:space="preserve"> </w:t>
      </w:r>
    </w:p>
    <w:p w14:paraId="2122FD32" w14:textId="77777777" w:rsidR="00FC0894" w:rsidRDefault="00FC0894" w:rsidP="00FC0894">
      <w:pPr>
        <w:pStyle w:val="whitespace-normal"/>
        <w:numPr>
          <w:ilvl w:val="1"/>
          <w:numId w:val="4"/>
        </w:numPr>
      </w:pPr>
      <w:r>
        <w:t>Per table: 0% lower extremity impairment (below threshold)</w:t>
      </w:r>
    </w:p>
    <w:p w14:paraId="56581A57" w14:textId="77777777" w:rsidR="00FC0894" w:rsidRDefault="00FC0894" w:rsidP="00FC0894">
      <w:pPr>
        <w:pStyle w:val="Heading3"/>
      </w:pPr>
      <w:r>
        <w:t>Combining Impairments</w:t>
      </w:r>
    </w:p>
    <w:p w14:paraId="0CF757C5" w14:textId="77777777" w:rsidR="00FC0894" w:rsidRDefault="00FC0894" w:rsidP="00FC0894">
      <w:pPr>
        <w:pStyle w:val="whitespace-normal"/>
      </w:pPr>
      <w:r>
        <w:t>Using the Combined Values Chart (Table 1-2):</w:t>
      </w:r>
    </w:p>
    <w:p w14:paraId="07EEE415" w14:textId="77777777" w:rsidR="00FC0894" w:rsidRDefault="00FC0894" w:rsidP="00FC0894">
      <w:pPr>
        <w:pStyle w:val="whitespace-normal"/>
        <w:numPr>
          <w:ilvl w:val="0"/>
          <w:numId w:val="5"/>
        </w:numPr>
      </w:pPr>
      <w:r>
        <w:t>Ankle flexion: 15%</w:t>
      </w:r>
    </w:p>
    <w:p w14:paraId="72B09FFD" w14:textId="77777777" w:rsidR="00FC0894" w:rsidRDefault="00FC0894" w:rsidP="00FC0894">
      <w:pPr>
        <w:pStyle w:val="whitespace-normal"/>
        <w:numPr>
          <w:ilvl w:val="0"/>
          <w:numId w:val="5"/>
        </w:numPr>
      </w:pPr>
      <w:r>
        <w:t>Combined with ankle extension: 15% + 12% = 25%</w:t>
      </w:r>
    </w:p>
    <w:p w14:paraId="7CF6AD1C" w14:textId="77777777" w:rsidR="00FC0894" w:rsidRDefault="00FC0894" w:rsidP="00FC0894">
      <w:pPr>
        <w:pStyle w:val="whitespace-normal"/>
        <w:numPr>
          <w:ilvl w:val="0"/>
          <w:numId w:val="5"/>
        </w:numPr>
      </w:pPr>
      <w:r>
        <w:t>Combined with toe impairments: 25% + 8% = 31%</w:t>
      </w:r>
    </w:p>
    <w:p w14:paraId="1E5C0349" w14:textId="77777777" w:rsidR="00FC0894" w:rsidRDefault="00FC0894" w:rsidP="00FC0894">
      <w:pPr>
        <w:pStyle w:val="whitespace-normal"/>
        <w:numPr>
          <w:ilvl w:val="0"/>
          <w:numId w:val="5"/>
        </w:numPr>
      </w:pPr>
      <w:r>
        <w:t>Combined with muscle weakness: 31% + 10% = 38%</w:t>
      </w:r>
    </w:p>
    <w:p w14:paraId="4AF6C197" w14:textId="77777777" w:rsidR="00FC0894" w:rsidRDefault="00FC0894" w:rsidP="00FC0894">
      <w:pPr>
        <w:pStyle w:val="whitespace-normal"/>
        <w:numPr>
          <w:ilvl w:val="0"/>
          <w:numId w:val="5"/>
        </w:numPr>
      </w:pPr>
      <w:r>
        <w:t>Muscle atrophy adds: 0%</w:t>
      </w:r>
    </w:p>
    <w:p w14:paraId="776D8EED" w14:textId="77777777" w:rsidR="00FC0894" w:rsidRDefault="00FC0894" w:rsidP="00FC0894">
      <w:pPr>
        <w:pStyle w:val="whitespace-normal"/>
      </w:pPr>
      <w:r>
        <w:rPr>
          <w:rStyle w:val="Strong"/>
          <w:rFonts w:eastAsiaTheme="majorEastAsia"/>
        </w:rPr>
        <w:t>Total Lower Extremity Impairment: 38%</w:t>
      </w:r>
    </w:p>
    <w:p w14:paraId="41110878" w14:textId="77777777" w:rsidR="00FC0894" w:rsidRDefault="00FC0894" w:rsidP="00FC0894">
      <w:pPr>
        <w:pStyle w:val="Heading3"/>
      </w:pPr>
      <w:r>
        <w:t>Conversion to Whole Person Impairment</w:t>
      </w:r>
    </w:p>
    <w:p w14:paraId="457EAC80" w14:textId="77777777" w:rsidR="00FC0894" w:rsidRDefault="00FC0894" w:rsidP="00FC0894">
      <w:pPr>
        <w:pStyle w:val="whitespace-normal"/>
      </w:pPr>
      <w:r>
        <w:t>Using Table 17-3 (Lower Extremity to Whole Person Conversion):</w:t>
      </w:r>
    </w:p>
    <w:p w14:paraId="27AC7A3A" w14:textId="77777777" w:rsidR="00FC0894" w:rsidRDefault="00FC0894" w:rsidP="00FC0894">
      <w:pPr>
        <w:pStyle w:val="whitespace-normal"/>
      </w:pPr>
      <w:r>
        <w:t xml:space="preserve">38% lower extremity impairment = </w:t>
      </w:r>
      <w:r>
        <w:rPr>
          <w:rStyle w:val="Strong"/>
          <w:rFonts w:eastAsiaTheme="majorEastAsia"/>
        </w:rPr>
        <w:t>15% Whole Person Impairment</w:t>
      </w:r>
    </w:p>
    <w:p w14:paraId="1ED9C0BD" w14:textId="77777777" w:rsidR="00FC0894" w:rsidRDefault="00FC0894" w:rsidP="00FC0894">
      <w:pPr>
        <w:pStyle w:val="Heading2"/>
      </w:pPr>
      <w:r>
        <w:t>Final Rating</w:t>
      </w:r>
    </w:p>
    <w:p w14:paraId="22C3D8F2" w14:textId="77777777" w:rsidR="00FC0894" w:rsidRDefault="00FC0894" w:rsidP="00FC0894">
      <w:pPr>
        <w:pStyle w:val="whitespace-normal"/>
      </w:pPr>
      <w:r>
        <w:rPr>
          <w:rStyle w:val="Strong"/>
          <w:rFonts w:eastAsiaTheme="majorEastAsia"/>
        </w:rPr>
        <w:t>15% Whole Person Impairment</w:t>
      </w:r>
      <w:r>
        <w:t xml:space="preserve"> resulting from:</w:t>
      </w:r>
    </w:p>
    <w:p w14:paraId="4E667DED" w14:textId="77777777" w:rsidR="00FC0894" w:rsidRDefault="00FC0894" w:rsidP="00FC0894">
      <w:pPr>
        <w:pStyle w:val="whitespace-normal"/>
        <w:numPr>
          <w:ilvl w:val="0"/>
          <w:numId w:val="6"/>
        </w:numPr>
      </w:pPr>
      <w:r>
        <w:t>Severe ankle range of motion limitations</w:t>
      </w:r>
    </w:p>
    <w:p w14:paraId="4CF9C7E9" w14:textId="77777777" w:rsidR="00FC0894" w:rsidRDefault="00FC0894" w:rsidP="00FC0894">
      <w:pPr>
        <w:pStyle w:val="whitespace-normal"/>
        <w:numPr>
          <w:ilvl w:val="0"/>
          <w:numId w:val="6"/>
        </w:numPr>
      </w:pPr>
      <w:r>
        <w:t>Multiple toe extension deficits</w:t>
      </w:r>
    </w:p>
    <w:p w14:paraId="2577152E" w14:textId="77777777" w:rsidR="00FC0894" w:rsidRDefault="00FC0894" w:rsidP="00FC0894">
      <w:pPr>
        <w:pStyle w:val="whitespace-normal"/>
        <w:numPr>
          <w:ilvl w:val="0"/>
          <w:numId w:val="6"/>
        </w:numPr>
      </w:pPr>
      <w:r>
        <w:t>Mild ankle/toe extensor weakness</w:t>
      </w:r>
    </w:p>
    <w:p w14:paraId="64744FE3" w14:textId="77777777" w:rsidR="00FC0894" w:rsidRDefault="00FC0894" w:rsidP="00FC0894">
      <w:pPr>
        <w:pStyle w:val="whitespace-normal"/>
        <w:numPr>
          <w:ilvl w:val="0"/>
          <w:numId w:val="6"/>
        </w:numPr>
      </w:pPr>
      <w:r>
        <w:t>Functional limitations consistent with clinical findings</w:t>
      </w:r>
    </w:p>
    <w:p w14:paraId="5D29B0EC" w14:textId="77777777" w:rsidR="00FC0894" w:rsidRDefault="00FC0894" w:rsidP="00FC0894">
      <w:pPr>
        <w:pStyle w:val="whitespace-normal"/>
      </w:pPr>
      <w:r>
        <w:lastRenderedPageBreak/>
        <w:t>This rating reflects the significant functional impact of the healed tibia fracture on ankle and foot mobility, justifying the patient's reported inability to stand for prolonged periods or wear elevated heels.</w:t>
      </w:r>
    </w:p>
    <w:p w14:paraId="359E3776" w14:textId="77777777" w:rsidR="00FC0894" w:rsidRPr="00FC0894" w:rsidRDefault="00FC0894" w:rsidP="00FC0894"/>
    <w:sectPr w:rsidR="00FC0894" w:rsidRPr="00FC0894" w:rsidSect="006E5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F1DDD"/>
    <w:multiLevelType w:val="multilevel"/>
    <w:tmpl w:val="BF68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D495D"/>
    <w:multiLevelType w:val="multilevel"/>
    <w:tmpl w:val="6E02D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56F15"/>
    <w:multiLevelType w:val="multilevel"/>
    <w:tmpl w:val="8F729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7514A"/>
    <w:multiLevelType w:val="multilevel"/>
    <w:tmpl w:val="71121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44CFB"/>
    <w:multiLevelType w:val="multilevel"/>
    <w:tmpl w:val="12442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B50282"/>
    <w:multiLevelType w:val="multilevel"/>
    <w:tmpl w:val="A3F21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106578">
    <w:abstractNumId w:val="5"/>
  </w:num>
  <w:num w:numId="2" w16cid:durableId="1691033002">
    <w:abstractNumId w:val="1"/>
  </w:num>
  <w:num w:numId="3" w16cid:durableId="792872094">
    <w:abstractNumId w:val="2"/>
  </w:num>
  <w:num w:numId="4" w16cid:durableId="25715777">
    <w:abstractNumId w:val="3"/>
  </w:num>
  <w:num w:numId="5" w16cid:durableId="1642928186">
    <w:abstractNumId w:val="4"/>
  </w:num>
  <w:num w:numId="6" w16cid:durableId="163298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94"/>
    <w:rsid w:val="00291618"/>
    <w:rsid w:val="002F510B"/>
    <w:rsid w:val="003C6713"/>
    <w:rsid w:val="00543D5A"/>
    <w:rsid w:val="006E54AF"/>
    <w:rsid w:val="007D46C4"/>
    <w:rsid w:val="0084461E"/>
    <w:rsid w:val="00A4256E"/>
    <w:rsid w:val="00AA2166"/>
    <w:rsid w:val="00B813B6"/>
    <w:rsid w:val="00DC4C02"/>
    <w:rsid w:val="00F22B65"/>
    <w:rsid w:val="00FC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E334AB"/>
  <w15:chartTrackingRefBased/>
  <w15:docId w15:val="{67FC8F71-E2DF-5A43-B864-76D4805C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8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8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8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8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8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8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8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8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8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894"/>
    <w:rPr>
      <w:rFonts w:eastAsiaTheme="majorEastAsia" w:cstheme="majorBidi"/>
      <w:color w:val="272727" w:themeColor="text1" w:themeTint="D8"/>
    </w:rPr>
  </w:style>
  <w:style w:type="paragraph" w:styleId="Title">
    <w:name w:val="Title"/>
    <w:basedOn w:val="Normal"/>
    <w:next w:val="Normal"/>
    <w:link w:val="TitleChar"/>
    <w:uiPriority w:val="10"/>
    <w:qFormat/>
    <w:rsid w:val="00FC0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894"/>
    <w:pPr>
      <w:spacing w:before="160"/>
      <w:jc w:val="center"/>
    </w:pPr>
    <w:rPr>
      <w:i/>
      <w:iCs/>
      <w:color w:val="404040" w:themeColor="text1" w:themeTint="BF"/>
    </w:rPr>
  </w:style>
  <w:style w:type="character" w:customStyle="1" w:styleId="QuoteChar">
    <w:name w:val="Quote Char"/>
    <w:basedOn w:val="DefaultParagraphFont"/>
    <w:link w:val="Quote"/>
    <w:uiPriority w:val="29"/>
    <w:rsid w:val="00FC0894"/>
    <w:rPr>
      <w:i/>
      <w:iCs/>
      <w:color w:val="404040" w:themeColor="text1" w:themeTint="BF"/>
    </w:rPr>
  </w:style>
  <w:style w:type="paragraph" w:styleId="ListParagraph">
    <w:name w:val="List Paragraph"/>
    <w:basedOn w:val="Normal"/>
    <w:uiPriority w:val="34"/>
    <w:qFormat/>
    <w:rsid w:val="00FC0894"/>
    <w:pPr>
      <w:ind w:left="720"/>
      <w:contextualSpacing/>
    </w:pPr>
  </w:style>
  <w:style w:type="character" w:styleId="IntenseEmphasis">
    <w:name w:val="Intense Emphasis"/>
    <w:basedOn w:val="DefaultParagraphFont"/>
    <w:uiPriority w:val="21"/>
    <w:qFormat/>
    <w:rsid w:val="00FC0894"/>
    <w:rPr>
      <w:i/>
      <w:iCs/>
      <w:color w:val="0F4761" w:themeColor="accent1" w:themeShade="BF"/>
    </w:rPr>
  </w:style>
  <w:style w:type="paragraph" w:styleId="IntenseQuote">
    <w:name w:val="Intense Quote"/>
    <w:basedOn w:val="Normal"/>
    <w:next w:val="Normal"/>
    <w:link w:val="IntenseQuoteChar"/>
    <w:uiPriority w:val="30"/>
    <w:qFormat/>
    <w:rsid w:val="00FC0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894"/>
    <w:rPr>
      <w:i/>
      <w:iCs/>
      <w:color w:val="0F4761" w:themeColor="accent1" w:themeShade="BF"/>
    </w:rPr>
  </w:style>
  <w:style w:type="character" w:styleId="IntenseReference">
    <w:name w:val="Intense Reference"/>
    <w:basedOn w:val="DefaultParagraphFont"/>
    <w:uiPriority w:val="32"/>
    <w:qFormat/>
    <w:rsid w:val="00FC0894"/>
    <w:rPr>
      <w:b/>
      <w:bCs/>
      <w:smallCaps/>
      <w:color w:val="0F4761" w:themeColor="accent1" w:themeShade="BF"/>
      <w:spacing w:val="5"/>
    </w:rPr>
  </w:style>
  <w:style w:type="paragraph" w:customStyle="1" w:styleId="whitespace-normal">
    <w:name w:val="whitespace-normal"/>
    <w:basedOn w:val="Normal"/>
    <w:rsid w:val="00FC08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C0894"/>
    <w:rPr>
      <w:b/>
      <w:bCs/>
    </w:rPr>
  </w:style>
  <w:style w:type="character" w:styleId="HTMLCode">
    <w:name w:val="HTML Code"/>
    <w:basedOn w:val="DefaultParagraphFont"/>
    <w:uiPriority w:val="99"/>
    <w:semiHidden/>
    <w:unhideWhenUsed/>
    <w:rsid w:val="00FC089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0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479</Words>
  <Characters>2588</Characters>
  <Application>Microsoft Office Word</Application>
  <DocSecurity>0</DocSecurity>
  <Lines>63</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Wen</dc:creator>
  <cp:keywords/>
  <dc:description/>
  <cp:lastModifiedBy>Ben Wen</cp:lastModifiedBy>
  <cp:revision>2</cp:revision>
  <dcterms:created xsi:type="dcterms:W3CDTF">2025-06-01T04:31:00Z</dcterms:created>
  <dcterms:modified xsi:type="dcterms:W3CDTF">2025-10-13T08:00:00Z</dcterms:modified>
  <cp:category/>
</cp:coreProperties>
</file>