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E61D" w14:textId="0D032F6F" w:rsidR="00941EEF" w:rsidRDefault="00EE1E72">
      <w:pPr>
        <w:rPr>
          <w:sz w:val="36"/>
          <w:szCs w:val="36"/>
        </w:rPr>
      </w:pPr>
      <w:r w:rsidRPr="001111A8">
        <w:rPr>
          <w:sz w:val="36"/>
          <w:szCs w:val="36"/>
        </w:rPr>
        <w:t>CLINITALK</w:t>
      </w:r>
      <w:r w:rsidR="003478AF" w:rsidRPr="001111A8">
        <w:rPr>
          <w:sz w:val="36"/>
          <w:szCs w:val="36"/>
        </w:rPr>
        <w:t xml:space="preserve"> </w:t>
      </w:r>
      <w:r w:rsidR="00326703" w:rsidRPr="001111A8">
        <w:rPr>
          <w:sz w:val="36"/>
          <w:szCs w:val="36"/>
        </w:rPr>
        <w:t>Consent and Storage of Recordings</w:t>
      </w:r>
    </w:p>
    <w:p w14:paraId="588C89A8" w14:textId="77777777" w:rsidR="0052721C" w:rsidRDefault="0052721C" w:rsidP="0052721C">
      <w:pPr>
        <w:rPr>
          <w:b/>
          <w:bCs/>
        </w:rPr>
      </w:pPr>
      <w:r>
        <w:rPr>
          <w:b/>
          <w:bCs/>
        </w:rPr>
        <w:t>Change control</w:t>
      </w:r>
    </w:p>
    <w:tbl>
      <w:tblPr>
        <w:tblStyle w:val="GridTable4-Accent1"/>
        <w:tblW w:w="0" w:type="auto"/>
        <w:tblInd w:w="0" w:type="dxa"/>
        <w:tblLook w:val="04A0" w:firstRow="1" w:lastRow="0" w:firstColumn="1" w:lastColumn="0" w:noHBand="0" w:noVBand="1"/>
      </w:tblPr>
      <w:tblGrid>
        <w:gridCol w:w="2328"/>
        <w:gridCol w:w="2283"/>
        <w:gridCol w:w="2374"/>
        <w:gridCol w:w="2031"/>
      </w:tblGrid>
      <w:tr w:rsidR="002E7B18" w14:paraId="1BCC0E89" w14:textId="35FF94AB" w:rsidTr="002E7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2289C5CE" w14:textId="77777777" w:rsidR="002E7B18" w:rsidRDefault="002E7B18">
            <w:r>
              <w:t>Reviewer</w:t>
            </w:r>
          </w:p>
        </w:tc>
        <w:tc>
          <w:tcPr>
            <w:tcW w:w="2283" w:type="dxa"/>
            <w:hideMark/>
          </w:tcPr>
          <w:p w14:paraId="1A762629" w14:textId="77777777" w:rsidR="002E7B18" w:rsidRDefault="002E7B18">
            <w:pPr>
              <w:cnfStyle w:val="100000000000" w:firstRow="1" w:lastRow="0" w:firstColumn="0" w:lastColumn="0" w:oddVBand="0" w:evenVBand="0" w:oddHBand="0" w:evenHBand="0" w:firstRowFirstColumn="0" w:firstRowLastColumn="0" w:lastRowFirstColumn="0" w:lastRowLastColumn="0"/>
            </w:pPr>
            <w:r>
              <w:t>Date</w:t>
            </w:r>
          </w:p>
        </w:tc>
        <w:tc>
          <w:tcPr>
            <w:tcW w:w="2374" w:type="dxa"/>
            <w:hideMark/>
          </w:tcPr>
          <w:p w14:paraId="41A2C0D2" w14:textId="77777777" w:rsidR="002E7B18" w:rsidRDefault="002E7B18">
            <w:pPr>
              <w:cnfStyle w:val="100000000000" w:firstRow="1" w:lastRow="0" w:firstColumn="0" w:lastColumn="0" w:oddVBand="0" w:evenVBand="0" w:oddHBand="0" w:evenHBand="0" w:firstRowFirstColumn="0" w:firstRowLastColumn="0" w:lastRowFirstColumn="0" w:lastRowLastColumn="0"/>
            </w:pPr>
            <w:r>
              <w:t>Comments</w:t>
            </w:r>
          </w:p>
        </w:tc>
        <w:tc>
          <w:tcPr>
            <w:tcW w:w="2031" w:type="dxa"/>
          </w:tcPr>
          <w:p w14:paraId="28F72430" w14:textId="68620F4E" w:rsidR="002E7B18" w:rsidRDefault="002E7B18">
            <w:pPr>
              <w:cnfStyle w:val="100000000000" w:firstRow="1" w:lastRow="0" w:firstColumn="0" w:lastColumn="0" w:oddVBand="0" w:evenVBand="0" w:oddHBand="0" w:evenHBand="0" w:firstRowFirstColumn="0" w:firstRowLastColumn="0" w:lastRowFirstColumn="0" w:lastRowLastColumn="0"/>
            </w:pPr>
            <w:r>
              <w:t>Version</w:t>
            </w:r>
          </w:p>
        </w:tc>
      </w:tr>
      <w:tr w:rsidR="002E7B18" w14:paraId="1BB4E0CD" w14:textId="769FDBA6" w:rsidTr="002E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5653DD" w14:textId="77777777" w:rsidR="002E7B18" w:rsidRDefault="002E7B18">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0DC4B08" w14:textId="77777777" w:rsidR="002E7B18" w:rsidRDefault="002E7B18">
            <w:pPr>
              <w:cnfStyle w:val="000000100000" w:firstRow="0" w:lastRow="0" w:firstColumn="0" w:lastColumn="0" w:oddVBand="0" w:evenVBand="0" w:oddHBand="1" w:evenHBand="0" w:firstRowFirstColumn="0" w:firstRowLastColumn="0" w:lastRowFirstColumn="0" w:lastRowLastColumn="0"/>
            </w:pPr>
            <w:r>
              <w:t>25/9/23</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375497" w14:textId="1C0F81CC" w:rsidR="002E7B18" w:rsidRDefault="002E7B18">
            <w:pPr>
              <w:cnfStyle w:val="000000100000" w:firstRow="0" w:lastRow="0" w:firstColumn="0" w:lastColumn="0" w:oddVBand="0" w:evenVBand="0" w:oddHBand="1" w:evenHBand="0" w:firstRowFirstColumn="0" w:firstRowLastColumn="0" w:lastRowFirstColumn="0" w:lastRowLastColumn="0"/>
            </w:pPr>
            <w:r>
              <w:t>Consent policy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DBA7799" w14:textId="4C81964B" w:rsidR="002E7B18" w:rsidRDefault="002E7B18">
            <w:pPr>
              <w:cnfStyle w:val="000000100000" w:firstRow="0" w:lastRow="0" w:firstColumn="0" w:lastColumn="0" w:oddVBand="0" w:evenVBand="0" w:oddHBand="1" w:evenHBand="0" w:firstRowFirstColumn="0" w:firstRowLastColumn="0" w:lastRowFirstColumn="0" w:lastRowLastColumn="0"/>
            </w:pPr>
            <w:r>
              <w:t>1.0</w:t>
            </w:r>
          </w:p>
        </w:tc>
      </w:tr>
      <w:tr w:rsidR="00051997" w14:paraId="671EF77C" w14:textId="77777777" w:rsidTr="00144D17">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9B5D27" w14:textId="77777777" w:rsidR="00051997" w:rsidRDefault="00051997"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5176E3" w14:textId="6AB7C551" w:rsidR="00051997" w:rsidRDefault="00051997" w:rsidP="00144D17">
            <w:pPr>
              <w:cnfStyle w:val="000000000000" w:firstRow="0" w:lastRow="0" w:firstColumn="0" w:lastColumn="0" w:oddVBand="0" w:evenVBand="0" w:oddHBand="0" w:evenHBand="0" w:firstRowFirstColumn="0" w:firstRowLastColumn="0" w:lastRowFirstColumn="0" w:lastRowLastColumn="0"/>
            </w:pPr>
            <w:r>
              <w:t>1/4/2024</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24AB482" w14:textId="77777777" w:rsidR="00051997" w:rsidRDefault="00051997" w:rsidP="00144D17">
            <w:pPr>
              <w:cnfStyle w:val="000000000000" w:firstRow="0" w:lastRow="0" w:firstColumn="0" w:lastColumn="0" w:oddVBand="0" w:evenVBand="0" w:oddHBand="0" w:evenHBand="0" w:firstRowFirstColumn="0" w:firstRowLastColumn="0" w:lastRowFirstColumn="0" w:lastRowLastColumn="0"/>
            </w:pPr>
            <w:r>
              <w:t>Consent policy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6FBDB75" w14:textId="77777777" w:rsidR="00051997" w:rsidRDefault="00051997" w:rsidP="00144D17">
            <w:pPr>
              <w:cnfStyle w:val="000000000000" w:firstRow="0" w:lastRow="0" w:firstColumn="0" w:lastColumn="0" w:oddVBand="0" w:evenVBand="0" w:oddHBand="0" w:evenHBand="0" w:firstRowFirstColumn="0" w:firstRowLastColumn="0" w:lastRowFirstColumn="0" w:lastRowLastColumn="0"/>
            </w:pPr>
            <w:r>
              <w:t>1.0</w:t>
            </w:r>
          </w:p>
        </w:tc>
      </w:tr>
      <w:tr w:rsidR="00051997" w14:paraId="1C867C41"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0295E2" w14:textId="77777777" w:rsidR="00051997" w:rsidRDefault="00051997"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3CD771" w14:textId="2E81825B" w:rsidR="00051997" w:rsidRDefault="00051997" w:rsidP="00144D17">
            <w:pPr>
              <w:cnfStyle w:val="000000100000" w:firstRow="0" w:lastRow="0" w:firstColumn="0" w:lastColumn="0" w:oddVBand="0" w:evenVBand="0" w:oddHBand="1" w:evenHBand="0" w:firstRowFirstColumn="0" w:firstRowLastColumn="0" w:lastRowFirstColumn="0" w:lastRowLastColumn="0"/>
            </w:pPr>
            <w:r w:rsidRPr="00051997">
              <w:t>11/04/2025</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421E9D0" w14:textId="77777777" w:rsidR="00051997" w:rsidRDefault="00051997" w:rsidP="00144D17">
            <w:pPr>
              <w:cnfStyle w:val="000000100000" w:firstRow="0" w:lastRow="0" w:firstColumn="0" w:lastColumn="0" w:oddVBand="0" w:evenVBand="0" w:oddHBand="1" w:evenHBand="0" w:firstRowFirstColumn="0" w:firstRowLastColumn="0" w:lastRowFirstColumn="0" w:lastRowLastColumn="0"/>
            </w:pPr>
            <w:r>
              <w:t>Consent policy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4138949" w14:textId="77777777" w:rsidR="00051997" w:rsidRDefault="00051997" w:rsidP="00144D17">
            <w:pPr>
              <w:cnfStyle w:val="000000100000" w:firstRow="0" w:lastRow="0" w:firstColumn="0" w:lastColumn="0" w:oddVBand="0" w:evenVBand="0" w:oddHBand="1" w:evenHBand="0" w:firstRowFirstColumn="0" w:firstRowLastColumn="0" w:lastRowFirstColumn="0" w:lastRowLastColumn="0"/>
            </w:pPr>
            <w:r>
              <w:t>1.0</w:t>
            </w:r>
          </w:p>
        </w:tc>
      </w:tr>
      <w:tr w:rsidR="00051997" w14:paraId="3F1F9D89" w14:textId="77777777" w:rsidTr="002E7B18">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CD39D9" w14:textId="77777777" w:rsidR="00051997" w:rsidRDefault="00051997"/>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1310D9B" w14:textId="77777777" w:rsidR="00051997" w:rsidRDefault="00051997">
            <w:pPr>
              <w:cnfStyle w:val="000000000000" w:firstRow="0" w:lastRow="0" w:firstColumn="0" w:lastColumn="0" w:oddVBand="0" w:evenVBand="0" w:oddHBand="0"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1E3A9A2" w14:textId="77777777" w:rsidR="00051997" w:rsidRDefault="00051997">
            <w:pPr>
              <w:cnfStyle w:val="000000000000" w:firstRow="0" w:lastRow="0" w:firstColumn="0" w:lastColumn="0" w:oddVBand="0" w:evenVBand="0" w:oddHBand="0"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5EF79C7" w14:textId="77777777" w:rsidR="00051997" w:rsidRDefault="00051997">
            <w:pPr>
              <w:cnfStyle w:val="000000000000" w:firstRow="0" w:lastRow="0" w:firstColumn="0" w:lastColumn="0" w:oddVBand="0" w:evenVBand="0" w:oddHBand="0" w:evenHBand="0" w:firstRowFirstColumn="0" w:firstRowLastColumn="0" w:lastRowFirstColumn="0" w:lastRowLastColumn="0"/>
            </w:pPr>
          </w:p>
        </w:tc>
      </w:tr>
      <w:tr w:rsidR="00051997" w14:paraId="6B0A0904" w14:textId="77777777" w:rsidTr="002E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A13E1D6" w14:textId="77777777" w:rsidR="00051997" w:rsidRDefault="00051997"/>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7CBB278" w14:textId="77777777" w:rsidR="00051997" w:rsidRDefault="00051997">
            <w:pPr>
              <w:cnfStyle w:val="000000100000" w:firstRow="0" w:lastRow="0" w:firstColumn="0" w:lastColumn="0" w:oddVBand="0" w:evenVBand="0" w:oddHBand="1"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C8A9CBA" w14:textId="77777777" w:rsidR="00051997" w:rsidRDefault="00051997">
            <w:pPr>
              <w:cnfStyle w:val="000000100000" w:firstRow="0" w:lastRow="0" w:firstColumn="0" w:lastColumn="0" w:oddVBand="0" w:evenVBand="0" w:oddHBand="1"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CAB8494" w14:textId="77777777" w:rsidR="00051997" w:rsidRDefault="00051997">
            <w:pPr>
              <w:cnfStyle w:val="000000100000" w:firstRow="0" w:lastRow="0" w:firstColumn="0" w:lastColumn="0" w:oddVBand="0" w:evenVBand="0" w:oddHBand="1" w:evenHBand="0" w:firstRowFirstColumn="0" w:firstRowLastColumn="0" w:lastRowFirstColumn="0" w:lastRowLastColumn="0"/>
            </w:pPr>
          </w:p>
        </w:tc>
      </w:tr>
      <w:tr w:rsidR="002E7B18" w14:paraId="1C222FCB" w14:textId="749018CC" w:rsidTr="002E7B18">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520D7F1" w14:textId="77777777" w:rsidR="002E7B18" w:rsidRDefault="002E7B18"/>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808E642" w14:textId="77777777" w:rsidR="002E7B18" w:rsidRDefault="002E7B18">
            <w:pPr>
              <w:cnfStyle w:val="000000000000" w:firstRow="0" w:lastRow="0" w:firstColumn="0" w:lastColumn="0" w:oddVBand="0" w:evenVBand="0" w:oddHBand="0"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876442C" w14:textId="77777777" w:rsidR="002E7B18" w:rsidRDefault="002E7B18">
            <w:pPr>
              <w:cnfStyle w:val="000000000000" w:firstRow="0" w:lastRow="0" w:firstColumn="0" w:lastColumn="0" w:oddVBand="0" w:evenVBand="0" w:oddHBand="0"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7143BC6" w14:textId="77777777" w:rsidR="002E7B18" w:rsidRDefault="002E7B18">
            <w:pPr>
              <w:cnfStyle w:val="000000000000" w:firstRow="0" w:lastRow="0" w:firstColumn="0" w:lastColumn="0" w:oddVBand="0" w:evenVBand="0" w:oddHBand="0" w:evenHBand="0" w:firstRowFirstColumn="0" w:firstRowLastColumn="0" w:lastRowFirstColumn="0" w:lastRowLastColumn="0"/>
            </w:pPr>
          </w:p>
        </w:tc>
      </w:tr>
    </w:tbl>
    <w:p w14:paraId="6690301F" w14:textId="48AE9900" w:rsidR="0052721C" w:rsidRDefault="0052721C" w:rsidP="0052721C">
      <w:pPr>
        <w:rPr>
          <w:kern w:val="2"/>
          <w14:ligatures w14:val="standardContextual"/>
        </w:rPr>
      </w:pPr>
      <w:r>
        <w:t xml:space="preserve">Next review date: </w:t>
      </w:r>
      <w:r w:rsidR="00051997">
        <w:t>April 2026</w:t>
      </w:r>
    </w:p>
    <w:p w14:paraId="0CB27A0F" w14:textId="77777777" w:rsidR="001111A8" w:rsidRPr="001111A8" w:rsidRDefault="001111A8">
      <w:pPr>
        <w:rPr>
          <w:sz w:val="36"/>
          <w:szCs w:val="36"/>
        </w:rPr>
      </w:pPr>
    </w:p>
    <w:sdt>
      <w:sdtPr>
        <w:rPr>
          <w:rFonts w:asciiTheme="minorHAnsi" w:eastAsiaTheme="minorHAnsi" w:hAnsiTheme="minorHAnsi" w:cstheme="minorBidi"/>
          <w:color w:val="auto"/>
          <w:sz w:val="22"/>
          <w:szCs w:val="22"/>
          <w:lang w:eastAsia="en-US"/>
        </w:rPr>
        <w:id w:val="-1182745150"/>
        <w:docPartObj>
          <w:docPartGallery w:val="Table of Contents"/>
          <w:docPartUnique/>
        </w:docPartObj>
      </w:sdtPr>
      <w:sdtEndPr>
        <w:rPr>
          <w:b/>
          <w:bCs/>
        </w:rPr>
      </w:sdtEndPr>
      <w:sdtContent>
        <w:p w14:paraId="26F718DA" w14:textId="108F190B" w:rsidR="00473087" w:rsidRPr="001B509A" w:rsidRDefault="00473087">
          <w:pPr>
            <w:pStyle w:val="TOCHeading"/>
          </w:pPr>
          <w:r w:rsidRPr="001B509A">
            <w:t>Contents</w:t>
          </w:r>
        </w:p>
        <w:p w14:paraId="63BB2902" w14:textId="2075396A" w:rsidR="00EE71F8" w:rsidRPr="001B509A" w:rsidRDefault="00473087">
          <w:pPr>
            <w:pStyle w:val="TOC1"/>
            <w:tabs>
              <w:tab w:val="right" w:leader="dot" w:pos="9016"/>
            </w:tabs>
            <w:rPr>
              <w:rFonts w:eastAsiaTheme="minorEastAsia"/>
              <w:noProof/>
              <w:lang w:eastAsia="en-GB"/>
            </w:rPr>
          </w:pPr>
          <w:r w:rsidRPr="001B509A">
            <w:fldChar w:fldCharType="begin"/>
          </w:r>
          <w:r w:rsidRPr="001B509A">
            <w:instrText xml:space="preserve"> TOC \o "1-3" \h \z \u </w:instrText>
          </w:r>
          <w:r w:rsidRPr="001B509A">
            <w:fldChar w:fldCharType="separate"/>
          </w:r>
          <w:hyperlink w:anchor="_Toc117438540" w:history="1">
            <w:r w:rsidR="00EE71F8" w:rsidRPr="001B509A">
              <w:rPr>
                <w:rStyle w:val="Hyperlink"/>
                <w:noProof/>
              </w:rPr>
              <w:t>Document overview</w:t>
            </w:r>
            <w:r w:rsidR="00EE71F8" w:rsidRPr="001B509A">
              <w:rPr>
                <w:noProof/>
                <w:webHidden/>
              </w:rPr>
              <w:tab/>
            </w:r>
            <w:r w:rsidR="00EE71F8" w:rsidRPr="001B509A">
              <w:rPr>
                <w:noProof/>
                <w:webHidden/>
              </w:rPr>
              <w:fldChar w:fldCharType="begin"/>
            </w:r>
            <w:r w:rsidR="00EE71F8" w:rsidRPr="001B509A">
              <w:rPr>
                <w:noProof/>
                <w:webHidden/>
              </w:rPr>
              <w:instrText xml:space="preserve"> PAGEREF _Toc117438540 \h </w:instrText>
            </w:r>
            <w:r w:rsidR="00EE71F8" w:rsidRPr="001B509A">
              <w:rPr>
                <w:noProof/>
                <w:webHidden/>
              </w:rPr>
            </w:r>
            <w:r w:rsidR="00EE71F8" w:rsidRPr="001B509A">
              <w:rPr>
                <w:noProof/>
                <w:webHidden/>
              </w:rPr>
              <w:fldChar w:fldCharType="separate"/>
            </w:r>
            <w:r w:rsidR="00EE71F8" w:rsidRPr="001B509A">
              <w:rPr>
                <w:noProof/>
                <w:webHidden/>
              </w:rPr>
              <w:t>2</w:t>
            </w:r>
            <w:r w:rsidR="00EE71F8" w:rsidRPr="001B509A">
              <w:rPr>
                <w:noProof/>
                <w:webHidden/>
              </w:rPr>
              <w:fldChar w:fldCharType="end"/>
            </w:r>
          </w:hyperlink>
        </w:p>
        <w:p w14:paraId="1E21220C" w14:textId="64757DFC" w:rsidR="00EE71F8" w:rsidRPr="001B509A" w:rsidRDefault="00EE71F8">
          <w:pPr>
            <w:pStyle w:val="TOC1"/>
            <w:tabs>
              <w:tab w:val="right" w:leader="dot" w:pos="9016"/>
            </w:tabs>
            <w:rPr>
              <w:rFonts w:eastAsiaTheme="minorEastAsia"/>
              <w:noProof/>
              <w:lang w:eastAsia="en-GB"/>
            </w:rPr>
          </w:pPr>
          <w:hyperlink w:anchor="_Toc117438541" w:history="1">
            <w:r w:rsidRPr="001B509A">
              <w:rPr>
                <w:rStyle w:val="Hyperlink"/>
                <w:noProof/>
              </w:rPr>
              <w:t>Intended purpose</w:t>
            </w:r>
            <w:r w:rsidRPr="001B509A">
              <w:rPr>
                <w:noProof/>
                <w:webHidden/>
              </w:rPr>
              <w:tab/>
            </w:r>
            <w:r w:rsidRPr="001B509A">
              <w:rPr>
                <w:noProof/>
                <w:webHidden/>
              </w:rPr>
              <w:fldChar w:fldCharType="begin"/>
            </w:r>
            <w:r w:rsidRPr="001B509A">
              <w:rPr>
                <w:noProof/>
                <w:webHidden/>
              </w:rPr>
              <w:instrText xml:space="preserve"> PAGEREF _Toc117438541 \h </w:instrText>
            </w:r>
            <w:r w:rsidRPr="001B509A">
              <w:rPr>
                <w:noProof/>
                <w:webHidden/>
              </w:rPr>
            </w:r>
            <w:r w:rsidRPr="001B509A">
              <w:rPr>
                <w:noProof/>
                <w:webHidden/>
              </w:rPr>
              <w:fldChar w:fldCharType="separate"/>
            </w:r>
            <w:r w:rsidRPr="001B509A">
              <w:rPr>
                <w:noProof/>
                <w:webHidden/>
              </w:rPr>
              <w:t>3</w:t>
            </w:r>
            <w:r w:rsidRPr="001B509A">
              <w:rPr>
                <w:noProof/>
                <w:webHidden/>
              </w:rPr>
              <w:fldChar w:fldCharType="end"/>
            </w:r>
          </w:hyperlink>
        </w:p>
        <w:p w14:paraId="7823E48C" w14:textId="3E535BC2" w:rsidR="00EE71F8" w:rsidRPr="001B509A" w:rsidRDefault="00EE71F8">
          <w:pPr>
            <w:pStyle w:val="TOC1"/>
            <w:tabs>
              <w:tab w:val="left" w:pos="440"/>
              <w:tab w:val="right" w:leader="dot" w:pos="9016"/>
            </w:tabs>
            <w:rPr>
              <w:rFonts w:eastAsiaTheme="minorEastAsia"/>
              <w:noProof/>
              <w:lang w:eastAsia="en-GB"/>
            </w:rPr>
          </w:pPr>
          <w:hyperlink w:anchor="_Toc117438542" w:history="1">
            <w:r w:rsidRPr="001B509A">
              <w:rPr>
                <w:rStyle w:val="Hyperlink"/>
                <w:noProof/>
              </w:rPr>
              <w:t>1.</w:t>
            </w:r>
            <w:r w:rsidRPr="001B509A">
              <w:rPr>
                <w:rFonts w:eastAsiaTheme="minorEastAsia"/>
                <w:noProof/>
                <w:lang w:eastAsia="en-GB"/>
              </w:rPr>
              <w:tab/>
            </w:r>
            <w:r w:rsidRPr="001B509A">
              <w:rPr>
                <w:rStyle w:val="Hyperlink"/>
                <w:noProof/>
              </w:rPr>
              <w:t>Informing patients about recordings</w:t>
            </w:r>
            <w:r w:rsidRPr="001B509A">
              <w:rPr>
                <w:noProof/>
                <w:webHidden/>
              </w:rPr>
              <w:tab/>
            </w:r>
            <w:r w:rsidRPr="001B509A">
              <w:rPr>
                <w:noProof/>
                <w:webHidden/>
              </w:rPr>
              <w:fldChar w:fldCharType="begin"/>
            </w:r>
            <w:r w:rsidRPr="001B509A">
              <w:rPr>
                <w:noProof/>
                <w:webHidden/>
              </w:rPr>
              <w:instrText xml:space="preserve"> PAGEREF _Toc117438542 \h </w:instrText>
            </w:r>
            <w:r w:rsidRPr="001B509A">
              <w:rPr>
                <w:noProof/>
                <w:webHidden/>
              </w:rPr>
            </w:r>
            <w:r w:rsidRPr="001B509A">
              <w:rPr>
                <w:noProof/>
                <w:webHidden/>
              </w:rPr>
              <w:fldChar w:fldCharType="separate"/>
            </w:r>
            <w:r w:rsidRPr="001B509A">
              <w:rPr>
                <w:noProof/>
                <w:webHidden/>
              </w:rPr>
              <w:t>4</w:t>
            </w:r>
            <w:r w:rsidRPr="001B509A">
              <w:rPr>
                <w:noProof/>
                <w:webHidden/>
              </w:rPr>
              <w:fldChar w:fldCharType="end"/>
            </w:r>
          </w:hyperlink>
        </w:p>
        <w:p w14:paraId="1403C5EC" w14:textId="6D14D4C4" w:rsidR="00EE71F8" w:rsidRPr="001B509A" w:rsidRDefault="00EE71F8" w:rsidP="001111A8">
          <w:pPr>
            <w:pStyle w:val="TOC2"/>
            <w:tabs>
              <w:tab w:val="right" w:leader="dot" w:pos="9016"/>
            </w:tabs>
            <w:ind w:left="720"/>
            <w:rPr>
              <w:rFonts w:eastAsiaTheme="minorEastAsia"/>
              <w:noProof/>
              <w:lang w:eastAsia="en-GB"/>
            </w:rPr>
          </w:pPr>
          <w:hyperlink w:anchor="_Toc117438543" w:history="1">
            <w:r w:rsidRPr="001B509A">
              <w:rPr>
                <w:rStyle w:val="Hyperlink"/>
                <w:noProof/>
              </w:rPr>
              <w:t>Putting consultation recording in context:</w:t>
            </w:r>
            <w:r w:rsidRPr="001B509A">
              <w:rPr>
                <w:noProof/>
                <w:webHidden/>
              </w:rPr>
              <w:tab/>
            </w:r>
            <w:r w:rsidRPr="001B509A">
              <w:rPr>
                <w:noProof/>
                <w:webHidden/>
              </w:rPr>
              <w:fldChar w:fldCharType="begin"/>
            </w:r>
            <w:r w:rsidRPr="001B509A">
              <w:rPr>
                <w:noProof/>
                <w:webHidden/>
              </w:rPr>
              <w:instrText xml:space="preserve"> PAGEREF _Toc117438543 \h </w:instrText>
            </w:r>
            <w:r w:rsidRPr="001B509A">
              <w:rPr>
                <w:noProof/>
                <w:webHidden/>
              </w:rPr>
            </w:r>
            <w:r w:rsidRPr="001B509A">
              <w:rPr>
                <w:noProof/>
                <w:webHidden/>
              </w:rPr>
              <w:fldChar w:fldCharType="separate"/>
            </w:r>
            <w:r w:rsidRPr="001B509A">
              <w:rPr>
                <w:noProof/>
                <w:webHidden/>
              </w:rPr>
              <w:t>4</w:t>
            </w:r>
            <w:r w:rsidRPr="001B509A">
              <w:rPr>
                <w:noProof/>
                <w:webHidden/>
              </w:rPr>
              <w:fldChar w:fldCharType="end"/>
            </w:r>
          </w:hyperlink>
        </w:p>
        <w:p w14:paraId="6FCCBA56" w14:textId="7A99A4E6" w:rsidR="00EE71F8" w:rsidRPr="001B509A" w:rsidRDefault="00EE71F8" w:rsidP="001111A8">
          <w:pPr>
            <w:pStyle w:val="TOC2"/>
            <w:tabs>
              <w:tab w:val="right" w:leader="dot" w:pos="9016"/>
            </w:tabs>
            <w:ind w:left="720"/>
            <w:rPr>
              <w:rFonts w:eastAsiaTheme="minorEastAsia"/>
              <w:noProof/>
              <w:lang w:eastAsia="en-GB"/>
            </w:rPr>
          </w:pPr>
          <w:hyperlink w:anchor="_Toc117438544" w:history="1">
            <w:r w:rsidRPr="001B509A">
              <w:rPr>
                <w:rStyle w:val="Hyperlink"/>
                <w:noProof/>
              </w:rPr>
              <w:t>Respecting privacy and dignity</w:t>
            </w:r>
            <w:r w:rsidRPr="001B509A">
              <w:rPr>
                <w:noProof/>
                <w:webHidden/>
              </w:rPr>
              <w:tab/>
            </w:r>
            <w:r w:rsidRPr="001B509A">
              <w:rPr>
                <w:noProof/>
                <w:webHidden/>
              </w:rPr>
              <w:fldChar w:fldCharType="begin"/>
            </w:r>
            <w:r w:rsidRPr="001B509A">
              <w:rPr>
                <w:noProof/>
                <w:webHidden/>
              </w:rPr>
              <w:instrText xml:space="preserve"> PAGEREF _Toc117438544 \h </w:instrText>
            </w:r>
            <w:r w:rsidRPr="001B509A">
              <w:rPr>
                <w:noProof/>
                <w:webHidden/>
              </w:rPr>
            </w:r>
            <w:r w:rsidRPr="001B509A">
              <w:rPr>
                <w:noProof/>
                <w:webHidden/>
              </w:rPr>
              <w:fldChar w:fldCharType="separate"/>
            </w:r>
            <w:r w:rsidRPr="001B509A">
              <w:rPr>
                <w:noProof/>
                <w:webHidden/>
              </w:rPr>
              <w:t>4</w:t>
            </w:r>
            <w:r w:rsidRPr="001B509A">
              <w:rPr>
                <w:noProof/>
                <w:webHidden/>
              </w:rPr>
              <w:fldChar w:fldCharType="end"/>
            </w:r>
          </w:hyperlink>
        </w:p>
        <w:p w14:paraId="1C1559A6" w14:textId="20F12E0F" w:rsidR="00EE71F8" w:rsidRPr="001B509A" w:rsidRDefault="00EE71F8" w:rsidP="001111A8">
          <w:pPr>
            <w:pStyle w:val="TOC2"/>
            <w:tabs>
              <w:tab w:val="right" w:leader="dot" w:pos="9016"/>
            </w:tabs>
            <w:ind w:left="720"/>
            <w:rPr>
              <w:rFonts w:eastAsiaTheme="minorEastAsia"/>
              <w:noProof/>
              <w:lang w:eastAsia="en-GB"/>
            </w:rPr>
          </w:pPr>
          <w:hyperlink w:anchor="_Toc117438545" w:history="1">
            <w:r w:rsidRPr="001B509A">
              <w:rPr>
                <w:rStyle w:val="Hyperlink"/>
                <w:noProof/>
              </w:rPr>
              <w:t>Informing patients about consultation recording</w:t>
            </w:r>
            <w:r w:rsidRPr="001B509A">
              <w:rPr>
                <w:noProof/>
                <w:webHidden/>
              </w:rPr>
              <w:tab/>
            </w:r>
            <w:r w:rsidRPr="001B509A">
              <w:rPr>
                <w:noProof/>
                <w:webHidden/>
              </w:rPr>
              <w:fldChar w:fldCharType="begin"/>
            </w:r>
            <w:r w:rsidRPr="001B509A">
              <w:rPr>
                <w:noProof/>
                <w:webHidden/>
              </w:rPr>
              <w:instrText xml:space="preserve"> PAGEREF _Toc117438545 \h </w:instrText>
            </w:r>
            <w:r w:rsidRPr="001B509A">
              <w:rPr>
                <w:noProof/>
                <w:webHidden/>
              </w:rPr>
            </w:r>
            <w:r w:rsidRPr="001B509A">
              <w:rPr>
                <w:noProof/>
                <w:webHidden/>
              </w:rPr>
              <w:fldChar w:fldCharType="separate"/>
            </w:r>
            <w:r w:rsidRPr="001B509A">
              <w:rPr>
                <w:noProof/>
                <w:webHidden/>
              </w:rPr>
              <w:t>4</w:t>
            </w:r>
            <w:r w:rsidRPr="001B509A">
              <w:rPr>
                <w:noProof/>
                <w:webHidden/>
              </w:rPr>
              <w:fldChar w:fldCharType="end"/>
            </w:r>
          </w:hyperlink>
        </w:p>
        <w:p w14:paraId="7A1CF810" w14:textId="1A7642AB" w:rsidR="00EE71F8" w:rsidRPr="001B509A" w:rsidRDefault="00EE71F8">
          <w:pPr>
            <w:pStyle w:val="TOC1"/>
            <w:tabs>
              <w:tab w:val="left" w:pos="440"/>
              <w:tab w:val="right" w:leader="dot" w:pos="9016"/>
            </w:tabs>
            <w:rPr>
              <w:rFonts w:eastAsiaTheme="minorEastAsia"/>
              <w:noProof/>
              <w:lang w:eastAsia="en-GB"/>
            </w:rPr>
          </w:pPr>
          <w:hyperlink w:anchor="_Toc117438546" w:history="1">
            <w:r w:rsidRPr="001B509A">
              <w:rPr>
                <w:rStyle w:val="Hyperlink"/>
                <w:noProof/>
              </w:rPr>
              <w:t>2.</w:t>
            </w:r>
            <w:r w:rsidRPr="001B509A">
              <w:rPr>
                <w:rFonts w:eastAsiaTheme="minorEastAsia"/>
                <w:noProof/>
                <w:lang w:eastAsia="en-GB"/>
              </w:rPr>
              <w:tab/>
            </w:r>
            <w:r w:rsidRPr="001B509A">
              <w:rPr>
                <w:rStyle w:val="Hyperlink"/>
                <w:noProof/>
              </w:rPr>
              <w:t>The right to decline recordings</w:t>
            </w:r>
            <w:r w:rsidRPr="001B509A">
              <w:rPr>
                <w:noProof/>
                <w:webHidden/>
              </w:rPr>
              <w:tab/>
            </w:r>
            <w:r w:rsidRPr="001B509A">
              <w:rPr>
                <w:noProof/>
                <w:webHidden/>
              </w:rPr>
              <w:fldChar w:fldCharType="begin"/>
            </w:r>
            <w:r w:rsidRPr="001B509A">
              <w:rPr>
                <w:noProof/>
                <w:webHidden/>
              </w:rPr>
              <w:instrText xml:space="preserve"> PAGEREF _Toc117438546 \h </w:instrText>
            </w:r>
            <w:r w:rsidRPr="001B509A">
              <w:rPr>
                <w:noProof/>
                <w:webHidden/>
              </w:rPr>
            </w:r>
            <w:r w:rsidRPr="001B509A">
              <w:rPr>
                <w:noProof/>
                <w:webHidden/>
              </w:rPr>
              <w:fldChar w:fldCharType="separate"/>
            </w:r>
            <w:r w:rsidRPr="001B509A">
              <w:rPr>
                <w:noProof/>
                <w:webHidden/>
              </w:rPr>
              <w:t>5</w:t>
            </w:r>
            <w:r w:rsidRPr="001B509A">
              <w:rPr>
                <w:noProof/>
                <w:webHidden/>
              </w:rPr>
              <w:fldChar w:fldCharType="end"/>
            </w:r>
          </w:hyperlink>
        </w:p>
        <w:p w14:paraId="446577F2" w14:textId="2E2CF713" w:rsidR="00EE71F8" w:rsidRPr="001B509A" w:rsidRDefault="00EE71F8">
          <w:pPr>
            <w:pStyle w:val="TOC1"/>
            <w:tabs>
              <w:tab w:val="left" w:pos="440"/>
              <w:tab w:val="right" w:leader="dot" w:pos="9016"/>
            </w:tabs>
            <w:rPr>
              <w:rFonts w:eastAsiaTheme="minorEastAsia"/>
              <w:noProof/>
              <w:lang w:eastAsia="en-GB"/>
            </w:rPr>
          </w:pPr>
          <w:hyperlink w:anchor="_Toc117438547" w:history="1">
            <w:r w:rsidRPr="001B509A">
              <w:rPr>
                <w:rStyle w:val="Hyperlink"/>
                <w:noProof/>
              </w:rPr>
              <w:t>3.</w:t>
            </w:r>
            <w:r w:rsidRPr="001B509A">
              <w:rPr>
                <w:rFonts w:eastAsiaTheme="minorEastAsia"/>
                <w:noProof/>
                <w:lang w:eastAsia="en-GB"/>
              </w:rPr>
              <w:tab/>
            </w:r>
            <w:r w:rsidRPr="001B509A">
              <w:rPr>
                <w:rStyle w:val="Hyperlink"/>
                <w:noProof/>
              </w:rPr>
              <w:t>Confidential storage of data</w:t>
            </w:r>
            <w:r w:rsidRPr="001B509A">
              <w:rPr>
                <w:noProof/>
                <w:webHidden/>
              </w:rPr>
              <w:tab/>
            </w:r>
            <w:r w:rsidRPr="001B509A">
              <w:rPr>
                <w:noProof/>
                <w:webHidden/>
              </w:rPr>
              <w:fldChar w:fldCharType="begin"/>
            </w:r>
            <w:r w:rsidRPr="001B509A">
              <w:rPr>
                <w:noProof/>
                <w:webHidden/>
              </w:rPr>
              <w:instrText xml:space="preserve"> PAGEREF _Toc117438547 \h </w:instrText>
            </w:r>
            <w:r w:rsidRPr="001B509A">
              <w:rPr>
                <w:noProof/>
                <w:webHidden/>
              </w:rPr>
            </w:r>
            <w:r w:rsidRPr="001B509A">
              <w:rPr>
                <w:noProof/>
                <w:webHidden/>
              </w:rPr>
              <w:fldChar w:fldCharType="separate"/>
            </w:r>
            <w:r w:rsidRPr="001B509A">
              <w:rPr>
                <w:noProof/>
                <w:webHidden/>
              </w:rPr>
              <w:t>6</w:t>
            </w:r>
            <w:r w:rsidRPr="001B509A">
              <w:rPr>
                <w:noProof/>
                <w:webHidden/>
              </w:rPr>
              <w:fldChar w:fldCharType="end"/>
            </w:r>
          </w:hyperlink>
        </w:p>
        <w:p w14:paraId="03B75BC1" w14:textId="775C74C4" w:rsidR="00EE71F8" w:rsidRPr="001B509A" w:rsidRDefault="00EE71F8">
          <w:pPr>
            <w:pStyle w:val="TOC1"/>
            <w:tabs>
              <w:tab w:val="left" w:pos="440"/>
              <w:tab w:val="right" w:leader="dot" w:pos="9016"/>
            </w:tabs>
            <w:rPr>
              <w:rFonts w:eastAsiaTheme="minorEastAsia"/>
              <w:noProof/>
              <w:lang w:eastAsia="en-GB"/>
            </w:rPr>
          </w:pPr>
          <w:hyperlink w:anchor="_Toc117438548" w:history="1">
            <w:r w:rsidRPr="001B509A">
              <w:rPr>
                <w:rStyle w:val="Hyperlink"/>
                <w:noProof/>
              </w:rPr>
              <w:t>4.</w:t>
            </w:r>
            <w:r w:rsidRPr="001B509A">
              <w:rPr>
                <w:rFonts w:eastAsiaTheme="minorEastAsia"/>
                <w:noProof/>
                <w:lang w:eastAsia="en-GB"/>
              </w:rPr>
              <w:tab/>
            </w:r>
            <w:r w:rsidRPr="001B509A">
              <w:rPr>
                <w:rStyle w:val="Hyperlink"/>
                <w:noProof/>
              </w:rPr>
              <w:t>Accessing recordings</w:t>
            </w:r>
            <w:r w:rsidRPr="001B509A">
              <w:rPr>
                <w:noProof/>
                <w:webHidden/>
              </w:rPr>
              <w:tab/>
            </w:r>
            <w:r w:rsidRPr="001B509A">
              <w:rPr>
                <w:noProof/>
                <w:webHidden/>
              </w:rPr>
              <w:fldChar w:fldCharType="begin"/>
            </w:r>
            <w:r w:rsidRPr="001B509A">
              <w:rPr>
                <w:noProof/>
                <w:webHidden/>
              </w:rPr>
              <w:instrText xml:space="preserve"> PAGEREF _Toc117438548 \h </w:instrText>
            </w:r>
            <w:r w:rsidRPr="001B509A">
              <w:rPr>
                <w:noProof/>
                <w:webHidden/>
              </w:rPr>
            </w:r>
            <w:r w:rsidRPr="001B509A">
              <w:rPr>
                <w:noProof/>
                <w:webHidden/>
              </w:rPr>
              <w:fldChar w:fldCharType="separate"/>
            </w:r>
            <w:r w:rsidRPr="001B509A">
              <w:rPr>
                <w:noProof/>
                <w:webHidden/>
              </w:rPr>
              <w:t>6</w:t>
            </w:r>
            <w:r w:rsidRPr="001B509A">
              <w:rPr>
                <w:noProof/>
                <w:webHidden/>
              </w:rPr>
              <w:fldChar w:fldCharType="end"/>
            </w:r>
          </w:hyperlink>
        </w:p>
        <w:p w14:paraId="2C47B09D" w14:textId="6E3F7944" w:rsidR="00EE71F8" w:rsidRPr="001B509A" w:rsidRDefault="00EE71F8">
          <w:pPr>
            <w:pStyle w:val="TOC1"/>
            <w:tabs>
              <w:tab w:val="left" w:pos="440"/>
              <w:tab w:val="right" w:leader="dot" w:pos="9016"/>
            </w:tabs>
            <w:rPr>
              <w:rFonts w:eastAsiaTheme="minorEastAsia"/>
              <w:noProof/>
              <w:lang w:eastAsia="en-GB"/>
            </w:rPr>
          </w:pPr>
          <w:hyperlink w:anchor="_Toc117438549" w:history="1">
            <w:r w:rsidRPr="001B509A">
              <w:rPr>
                <w:rStyle w:val="Hyperlink"/>
                <w:noProof/>
              </w:rPr>
              <w:t>5.</w:t>
            </w:r>
            <w:r w:rsidRPr="001B509A">
              <w:rPr>
                <w:rFonts w:eastAsiaTheme="minorEastAsia"/>
                <w:noProof/>
                <w:lang w:eastAsia="en-GB"/>
              </w:rPr>
              <w:tab/>
            </w:r>
            <w:r w:rsidRPr="001B509A">
              <w:rPr>
                <w:rStyle w:val="Hyperlink"/>
                <w:noProof/>
              </w:rPr>
              <w:t>Deletion of recordings</w:t>
            </w:r>
            <w:r w:rsidRPr="001B509A">
              <w:rPr>
                <w:noProof/>
                <w:webHidden/>
              </w:rPr>
              <w:tab/>
            </w:r>
            <w:r w:rsidRPr="001B509A">
              <w:rPr>
                <w:noProof/>
                <w:webHidden/>
              </w:rPr>
              <w:fldChar w:fldCharType="begin"/>
            </w:r>
            <w:r w:rsidRPr="001B509A">
              <w:rPr>
                <w:noProof/>
                <w:webHidden/>
              </w:rPr>
              <w:instrText xml:space="preserve"> PAGEREF _Toc117438549 \h </w:instrText>
            </w:r>
            <w:r w:rsidRPr="001B509A">
              <w:rPr>
                <w:noProof/>
                <w:webHidden/>
              </w:rPr>
            </w:r>
            <w:r w:rsidRPr="001B509A">
              <w:rPr>
                <w:noProof/>
                <w:webHidden/>
              </w:rPr>
              <w:fldChar w:fldCharType="separate"/>
            </w:r>
            <w:r w:rsidRPr="001B509A">
              <w:rPr>
                <w:noProof/>
                <w:webHidden/>
              </w:rPr>
              <w:t>7</w:t>
            </w:r>
            <w:r w:rsidRPr="001B509A">
              <w:rPr>
                <w:noProof/>
                <w:webHidden/>
              </w:rPr>
              <w:fldChar w:fldCharType="end"/>
            </w:r>
          </w:hyperlink>
        </w:p>
        <w:p w14:paraId="554F4509" w14:textId="3BDE0249" w:rsidR="00EE71F8" w:rsidRPr="001B509A" w:rsidRDefault="00EE71F8">
          <w:pPr>
            <w:pStyle w:val="TOC1"/>
            <w:tabs>
              <w:tab w:val="right" w:leader="dot" w:pos="9016"/>
            </w:tabs>
            <w:rPr>
              <w:rFonts w:eastAsiaTheme="minorEastAsia"/>
              <w:noProof/>
              <w:lang w:eastAsia="en-GB"/>
            </w:rPr>
          </w:pPr>
          <w:hyperlink w:anchor="_Toc117438550" w:history="1">
            <w:r w:rsidRPr="001B509A">
              <w:rPr>
                <w:rStyle w:val="Hyperlink"/>
                <w:noProof/>
              </w:rPr>
              <w:t>Appendices</w:t>
            </w:r>
            <w:r w:rsidRPr="001B509A">
              <w:rPr>
                <w:noProof/>
                <w:webHidden/>
              </w:rPr>
              <w:tab/>
            </w:r>
            <w:r w:rsidRPr="001B509A">
              <w:rPr>
                <w:noProof/>
                <w:webHidden/>
              </w:rPr>
              <w:fldChar w:fldCharType="begin"/>
            </w:r>
            <w:r w:rsidRPr="001B509A">
              <w:rPr>
                <w:noProof/>
                <w:webHidden/>
              </w:rPr>
              <w:instrText xml:space="preserve"> PAGEREF _Toc117438550 \h </w:instrText>
            </w:r>
            <w:r w:rsidRPr="001B509A">
              <w:rPr>
                <w:noProof/>
                <w:webHidden/>
              </w:rPr>
            </w:r>
            <w:r w:rsidRPr="001B509A">
              <w:rPr>
                <w:noProof/>
                <w:webHidden/>
              </w:rPr>
              <w:fldChar w:fldCharType="separate"/>
            </w:r>
            <w:r w:rsidRPr="001B509A">
              <w:rPr>
                <w:noProof/>
                <w:webHidden/>
              </w:rPr>
              <w:t>7</w:t>
            </w:r>
            <w:r w:rsidRPr="001B509A">
              <w:rPr>
                <w:noProof/>
                <w:webHidden/>
              </w:rPr>
              <w:fldChar w:fldCharType="end"/>
            </w:r>
          </w:hyperlink>
        </w:p>
        <w:p w14:paraId="70813923" w14:textId="5D18477B" w:rsidR="00473087" w:rsidRPr="001B509A" w:rsidRDefault="00473087">
          <w:r w:rsidRPr="001B509A">
            <w:rPr>
              <w:b/>
              <w:bCs/>
            </w:rPr>
            <w:fldChar w:fldCharType="end"/>
          </w:r>
        </w:p>
      </w:sdtContent>
    </w:sdt>
    <w:p w14:paraId="4E3F70D1" w14:textId="4526F54D" w:rsidR="00326703" w:rsidRPr="001B509A" w:rsidRDefault="00326703"/>
    <w:p w14:paraId="2EF398AB" w14:textId="77777777" w:rsidR="00473087" w:rsidRPr="001B509A" w:rsidRDefault="00473087" w:rsidP="00B442DC">
      <w:pPr>
        <w:pStyle w:val="Heading1"/>
      </w:pPr>
      <w:bookmarkStart w:id="0" w:name="_Hlk117426449"/>
      <w:r w:rsidRPr="001B509A">
        <w:br w:type="page"/>
      </w:r>
    </w:p>
    <w:p w14:paraId="029D5D8C" w14:textId="76838789" w:rsidR="00326703" w:rsidRPr="001B509A" w:rsidRDefault="0050161F" w:rsidP="00B442DC">
      <w:pPr>
        <w:pStyle w:val="Heading1"/>
      </w:pPr>
      <w:bookmarkStart w:id="1" w:name="_Toc117438540"/>
      <w:r w:rsidRPr="001B509A">
        <w:lastRenderedPageBreak/>
        <w:t>Document overview</w:t>
      </w:r>
      <w:bookmarkEnd w:id="1"/>
    </w:p>
    <w:p w14:paraId="3161F2EE" w14:textId="447E9F47" w:rsidR="00B442DC" w:rsidRPr="001B509A" w:rsidRDefault="00B442DC" w:rsidP="00B442DC">
      <w:pPr>
        <w:rPr>
          <w:rFonts w:cs="Arial"/>
          <w:color w:val="808080"/>
        </w:rPr>
      </w:pPr>
      <w:r w:rsidRPr="001B509A">
        <w:rPr>
          <w:rFonts w:cs="Arial"/>
          <w:color w:val="808080"/>
        </w:rPr>
        <w:t>The object of this policy is to ensure the proper and safe use of consultation recordings</w:t>
      </w:r>
      <w:r w:rsidR="00867337">
        <w:rPr>
          <w:rFonts w:cs="Arial"/>
          <w:color w:val="808080"/>
        </w:rPr>
        <w:t xml:space="preserve"> and their processing</w:t>
      </w:r>
      <w:r w:rsidRPr="001B509A">
        <w:rPr>
          <w:rFonts w:cs="Arial"/>
          <w:color w:val="808080"/>
        </w:rPr>
        <w:t xml:space="preserve"> to protect the rights of patients and doctors. </w:t>
      </w:r>
    </w:p>
    <w:p w14:paraId="0EBF2FB8" w14:textId="77777777" w:rsidR="00796A98" w:rsidRPr="001B509A" w:rsidRDefault="00796A98" w:rsidP="00796A98">
      <w:pPr>
        <w:rPr>
          <w:rFonts w:cs="Arial"/>
          <w:color w:val="808080"/>
        </w:rPr>
      </w:pPr>
      <w:r w:rsidRPr="001B509A">
        <w:rPr>
          <w:rFonts w:cs="Arial"/>
          <w:color w:val="808080"/>
        </w:rPr>
        <w:t>This policy also provides examples of methods that may be employed by practices to inform users about consultation recording.</w:t>
      </w:r>
    </w:p>
    <w:p w14:paraId="70214C67" w14:textId="0DE5DDDC" w:rsidR="00796A98" w:rsidRPr="001B509A" w:rsidRDefault="00796A98" w:rsidP="00B442DC">
      <w:pPr>
        <w:rPr>
          <w:rFonts w:cs="Arial"/>
          <w:color w:val="808080"/>
        </w:rPr>
      </w:pPr>
      <w:r w:rsidRPr="001B509A">
        <w:rPr>
          <w:rFonts w:cs="Arial"/>
          <w:color w:val="808080"/>
        </w:rPr>
        <w:br w:type="page"/>
      </w:r>
    </w:p>
    <w:p w14:paraId="03B5DC81" w14:textId="09FDFEB6" w:rsidR="00796A98" w:rsidRPr="001B509A" w:rsidRDefault="00796A98" w:rsidP="00796A98">
      <w:pPr>
        <w:pStyle w:val="Heading1"/>
      </w:pPr>
      <w:bookmarkStart w:id="2" w:name="_Toc117438541"/>
      <w:r w:rsidRPr="001B509A">
        <w:t>Intended purpose</w:t>
      </w:r>
      <w:bookmarkEnd w:id="2"/>
    </w:p>
    <w:p w14:paraId="2A58061D" w14:textId="77777777" w:rsidR="00796A98" w:rsidRPr="001B509A" w:rsidRDefault="00796A98" w:rsidP="00B442DC">
      <w:pPr>
        <w:rPr>
          <w:rFonts w:cs="Arial"/>
          <w:color w:val="808080"/>
        </w:rPr>
      </w:pPr>
    </w:p>
    <w:p w14:paraId="601E4F58" w14:textId="14BD185F" w:rsidR="00B442DC" w:rsidRPr="001B509A" w:rsidRDefault="00B442DC" w:rsidP="00B442DC">
      <w:pPr>
        <w:rPr>
          <w:rFonts w:cs="Arial"/>
          <w:color w:val="808080"/>
        </w:rPr>
      </w:pPr>
      <w:r w:rsidRPr="001B509A">
        <w:rPr>
          <w:rFonts w:cs="Arial"/>
          <w:color w:val="808080"/>
        </w:rPr>
        <w:t xml:space="preserve">The intended purpose of consultation recording </w:t>
      </w:r>
      <w:r w:rsidR="006334C1" w:rsidRPr="001B509A">
        <w:rPr>
          <w:rFonts w:cs="Arial"/>
          <w:color w:val="808080"/>
        </w:rPr>
        <w:t xml:space="preserve">via the CLINITALK application </w:t>
      </w:r>
      <w:r w:rsidRPr="001B509A">
        <w:rPr>
          <w:rFonts w:cs="Arial"/>
          <w:color w:val="808080"/>
        </w:rPr>
        <w:t>is the improvement of the quality of patient care</w:t>
      </w:r>
      <w:r w:rsidR="006334C1" w:rsidRPr="001B509A">
        <w:rPr>
          <w:rFonts w:cs="Arial"/>
          <w:color w:val="808080"/>
        </w:rPr>
        <w:t xml:space="preserve"> through the enhancement of </w:t>
      </w:r>
      <w:r w:rsidR="00A47F83">
        <w:rPr>
          <w:rFonts w:cs="Arial"/>
          <w:color w:val="808080"/>
        </w:rPr>
        <w:t>educational support</w:t>
      </w:r>
      <w:r w:rsidRPr="001B509A">
        <w:rPr>
          <w:rFonts w:cs="Arial"/>
          <w:color w:val="808080"/>
        </w:rPr>
        <w:t>. We</w:t>
      </w:r>
      <w:r w:rsidR="00BA747C" w:rsidRPr="001B509A">
        <w:rPr>
          <w:rFonts w:cs="Arial"/>
          <w:color w:val="808080"/>
        </w:rPr>
        <w:t xml:space="preserve"> facilitate the</w:t>
      </w:r>
      <w:r w:rsidRPr="001B509A">
        <w:rPr>
          <w:rFonts w:cs="Arial"/>
          <w:color w:val="808080"/>
        </w:rPr>
        <w:t xml:space="preserve"> </w:t>
      </w:r>
      <w:r w:rsidR="000B2018" w:rsidRPr="001B509A">
        <w:rPr>
          <w:rFonts w:cs="Arial"/>
          <w:color w:val="808080"/>
        </w:rPr>
        <w:t>enhance</w:t>
      </w:r>
      <w:r w:rsidR="00BA747C" w:rsidRPr="001B509A">
        <w:rPr>
          <w:rFonts w:cs="Arial"/>
          <w:color w:val="808080"/>
        </w:rPr>
        <w:t>ment of</w:t>
      </w:r>
      <w:r w:rsidR="000B2018" w:rsidRPr="001B509A">
        <w:rPr>
          <w:rFonts w:cs="Arial"/>
          <w:color w:val="808080"/>
        </w:rPr>
        <w:t xml:space="preserve"> training by</w:t>
      </w:r>
      <w:r w:rsidRPr="001B509A">
        <w:rPr>
          <w:rFonts w:cs="Arial"/>
          <w:color w:val="808080"/>
        </w:rPr>
        <w:t xml:space="preserve"> improving the quality and volume of feedback received by the training doctor, and by </w:t>
      </w:r>
      <w:r w:rsidR="000B2018" w:rsidRPr="001B509A">
        <w:rPr>
          <w:rFonts w:cs="Arial"/>
          <w:color w:val="808080"/>
        </w:rPr>
        <w:t>advancing</w:t>
      </w:r>
      <w:r w:rsidRPr="001B509A">
        <w:rPr>
          <w:rFonts w:cs="Arial"/>
          <w:color w:val="808080"/>
        </w:rPr>
        <w:t xml:space="preserve"> the ability of the supervising doctor to oversee the trainees consultations.</w:t>
      </w:r>
    </w:p>
    <w:p w14:paraId="53EE87D1" w14:textId="2492A2E0" w:rsidR="00D57F43" w:rsidRPr="001B509A" w:rsidRDefault="00D57F43" w:rsidP="00B442DC">
      <w:r w:rsidRPr="001B509A">
        <w:br w:type="page"/>
      </w:r>
    </w:p>
    <w:p w14:paraId="4E009D7D" w14:textId="06E24C3A" w:rsidR="0050161F" w:rsidRPr="001B509A" w:rsidRDefault="00B442DC" w:rsidP="001111A8">
      <w:pPr>
        <w:pStyle w:val="Heading1"/>
      </w:pPr>
      <w:bookmarkStart w:id="3" w:name="_Toc117438542"/>
      <w:r w:rsidRPr="001B509A">
        <w:t>Informing patients about recordings</w:t>
      </w:r>
      <w:bookmarkEnd w:id="3"/>
    </w:p>
    <w:p w14:paraId="05B2D4CF" w14:textId="77777777" w:rsidR="00D57F43" w:rsidRPr="001B509A" w:rsidRDefault="00D57F43" w:rsidP="00281B58">
      <w:pPr>
        <w:pStyle w:val="NoSpacing"/>
      </w:pPr>
    </w:p>
    <w:p w14:paraId="12966658" w14:textId="1DF9E02C" w:rsidR="00D60DFA" w:rsidRPr="001B509A" w:rsidRDefault="00D60DFA" w:rsidP="00350E5B">
      <w:pPr>
        <w:pStyle w:val="Heading2"/>
        <w:ind w:left="426"/>
      </w:pPr>
      <w:bookmarkStart w:id="4" w:name="_Toc117438543"/>
      <w:r w:rsidRPr="001B509A">
        <w:t>Putting consultation recording in context:</w:t>
      </w:r>
      <w:bookmarkEnd w:id="4"/>
    </w:p>
    <w:p w14:paraId="693DCB98" w14:textId="1743481C" w:rsidR="00BB54DD" w:rsidRPr="001B509A" w:rsidRDefault="00BB54DD" w:rsidP="00350E5B">
      <w:pPr>
        <w:pStyle w:val="Subtitle"/>
        <w:ind w:left="426"/>
      </w:pPr>
      <w:r w:rsidRPr="001B509A">
        <w:t>Consultation recording is established practice</w:t>
      </w:r>
    </w:p>
    <w:p w14:paraId="69E6A355" w14:textId="361E3E1B" w:rsidR="00E116BB" w:rsidRPr="001B509A" w:rsidRDefault="0091043B" w:rsidP="00350E5B">
      <w:pPr>
        <w:ind w:left="426"/>
      </w:pPr>
      <w:r w:rsidRPr="001B509A">
        <w:t xml:space="preserve">The recording </w:t>
      </w:r>
      <w:r w:rsidR="00A47F83">
        <w:t xml:space="preserve">and processing </w:t>
      </w:r>
      <w:r w:rsidRPr="001B509A">
        <w:t xml:space="preserve">of consultations is established practice in GP surgeries, </w:t>
      </w:r>
      <w:r w:rsidR="00D1186A" w:rsidRPr="001B509A">
        <w:t xml:space="preserve">and </w:t>
      </w:r>
      <w:r w:rsidRPr="001B509A">
        <w:t>m</w:t>
      </w:r>
      <w:r w:rsidR="0079083B" w:rsidRPr="001B509A">
        <w:t xml:space="preserve">embers of the public are familiar with </w:t>
      </w:r>
      <w:r w:rsidR="00041FA7" w:rsidRPr="001B509A">
        <w:t>the use of</w:t>
      </w:r>
      <w:r w:rsidR="0079083B" w:rsidRPr="001B509A">
        <w:t xml:space="preserve"> record</w:t>
      </w:r>
      <w:r w:rsidR="00041FA7" w:rsidRPr="001B509A">
        <w:t>ing</w:t>
      </w:r>
      <w:r w:rsidR="00D1186A" w:rsidRPr="001B509A">
        <w:t xml:space="preserve">. </w:t>
      </w:r>
      <w:r w:rsidR="00E116BB" w:rsidRPr="001B509A">
        <w:t xml:space="preserve">For </w:t>
      </w:r>
      <w:r w:rsidR="00ED7B41" w:rsidRPr="001B509A">
        <w:t>example,</w:t>
      </w:r>
      <w:r w:rsidR="00E116BB" w:rsidRPr="001B509A">
        <w:t xml:space="preserve"> t</w:t>
      </w:r>
      <w:r w:rsidR="00E9629B" w:rsidRPr="001B509A">
        <w:t xml:space="preserve">elephone consultation recording in General Practice is </w:t>
      </w:r>
      <w:r w:rsidR="00E116BB" w:rsidRPr="001B509A">
        <w:t xml:space="preserve">now </w:t>
      </w:r>
      <w:r w:rsidR="00ED7B41" w:rsidRPr="001B509A">
        <w:t>commonplace</w:t>
      </w:r>
      <w:r w:rsidR="00B95462" w:rsidRPr="001B509A">
        <w:t xml:space="preserve"> and p</w:t>
      </w:r>
      <w:r w:rsidR="00891D5F" w:rsidRPr="001B509A">
        <w:t xml:space="preserve">atients familiar with receiving a telephone message advising them </w:t>
      </w:r>
      <w:r w:rsidR="006C56D1" w:rsidRPr="001B509A">
        <w:t>that their</w:t>
      </w:r>
      <w:r w:rsidR="00891D5F" w:rsidRPr="001B509A">
        <w:t xml:space="preserve"> call </w:t>
      </w:r>
      <w:r w:rsidR="00B95462" w:rsidRPr="001B509A">
        <w:t>is being</w:t>
      </w:r>
      <w:r w:rsidR="006C56D1" w:rsidRPr="001B509A">
        <w:t xml:space="preserve"> </w:t>
      </w:r>
      <w:r w:rsidR="00891D5F" w:rsidRPr="001B509A">
        <w:t>record</w:t>
      </w:r>
      <w:r w:rsidR="006C56D1" w:rsidRPr="001B509A">
        <w:t xml:space="preserve">ed </w:t>
      </w:r>
      <w:r w:rsidR="00891D5F" w:rsidRPr="001B509A">
        <w:t>for the purposes of providing care. T</w:t>
      </w:r>
      <w:r w:rsidR="00ED7B41" w:rsidRPr="001B509A">
        <w:t>he</w:t>
      </w:r>
      <w:r w:rsidR="00C361C6" w:rsidRPr="001B509A">
        <w:t xml:space="preserve"> recording of </w:t>
      </w:r>
      <w:r w:rsidR="00622A12" w:rsidRPr="001B509A">
        <w:t>face-to-face</w:t>
      </w:r>
      <w:r w:rsidR="00C361C6" w:rsidRPr="001B509A">
        <w:t xml:space="preserve"> consultations is </w:t>
      </w:r>
      <w:r w:rsidR="002F671F" w:rsidRPr="001B509A">
        <w:t>an</w:t>
      </w:r>
      <w:r w:rsidR="00C361C6" w:rsidRPr="001B509A">
        <w:t xml:space="preserve"> established </w:t>
      </w:r>
      <w:r w:rsidR="00622A12" w:rsidRPr="001B509A">
        <w:t>requirement of GP training.</w:t>
      </w:r>
    </w:p>
    <w:p w14:paraId="6E5DB698" w14:textId="77777777" w:rsidR="00622A12" w:rsidRPr="001B509A" w:rsidRDefault="00622A12" w:rsidP="00350E5B">
      <w:pPr>
        <w:pStyle w:val="NoSpacing"/>
        <w:ind w:left="426"/>
      </w:pPr>
    </w:p>
    <w:p w14:paraId="5D3BFF01" w14:textId="416A1ECB" w:rsidR="00280710" w:rsidRPr="001B509A" w:rsidRDefault="00280710" w:rsidP="00350E5B">
      <w:pPr>
        <w:pStyle w:val="Heading2"/>
        <w:ind w:left="426"/>
      </w:pPr>
      <w:bookmarkStart w:id="5" w:name="_Toc117438544"/>
      <w:r w:rsidRPr="001B509A">
        <w:t>Respecting privacy and dignity</w:t>
      </w:r>
      <w:bookmarkEnd w:id="5"/>
    </w:p>
    <w:p w14:paraId="562C2832" w14:textId="565A3AA6" w:rsidR="00041FA7" w:rsidRPr="001B509A" w:rsidRDefault="00041FA7" w:rsidP="00350E5B">
      <w:pPr>
        <w:ind w:left="426"/>
      </w:pPr>
      <w:r w:rsidRPr="001B509A">
        <w:t xml:space="preserve">When making </w:t>
      </w:r>
      <w:r w:rsidR="00A47F83">
        <w:t xml:space="preserve">and processing </w:t>
      </w:r>
      <w:r w:rsidRPr="001B509A">
        <w:t>recordings users must respect the patient’s privacy and dignity, and their right to make or participate in decisions that affect them. Users must not make or participate in the making of recording</w:t>
      </w:r>
      <w:r w:rsidR="00A47F83">
        <w:t xml:space="preserve"> or processing</w:t>
      </w:r>
      <w:r w:rsidRPr="001B509A">
        <w:t xml:space="preserve"> against patient wishes or where a recording may cause the patient harm.</w:t>
      </w:r>
    </w:p>
    <w:p w14:paraId="40829E88" w14:textId="77777777" w:rsidR="00D75019" w:rsidRPr="001B509A" w:rsidRDefault="00D75019" w:rsidP="00350E5B">
      <w:pPr>
        <w:pStyle w:val="NoSpacing"/>
        <w:ind w:left="426"/>
      </w:pPr>
    </w:p>
    <w:p w14:paraId="7291FDA9" w14:textId="146EA474" w:rsidR="0069166B" w:rsidRPr="001B509A" w:rsidRDefault="008D2CAD" w:rsidP="00350E5B">
      <w:pPr>
        <w:pStyle w:val="Heading2"/>
        <w:ind w:left="426"/>
      </w:pPr>
      <w:bookmarkStart w:id="6" w:name="_Toc117438545"/>
      <w:r w:rsidRPr="001B509A">
        <w:t>Informing</w:t>
      </w:r>
      <w:r w:rsidR="0069166B" w:rsidRPr="001B509A">
        <w:t xml:space="preserve"> patients about consultation recording</w:t>
      </w:r>
      <w:bookmarkEnd w:id="6"/>
    </w:p>
    <w:p w14:paraId="101210AC" w14:textId="01D441F5" w:rsidR="0040354D" w:rsidRPr="001B509A" w:rsidRDefault="008D2CAD" w:rsidP="00350E5B">
      <w:pPr>
        <w:ind w:left="426"/>
      </w:pPr>
      <w:r w:rsidRPr="001B509A">
        <w:t xml:space="preserve">Users </w:t>
      </w:r>
      <w:r w:rsidR="0040354D" w:rsidRPr="001B509A">
        <w:t xml:space="preserve">are responsible for </w:t>
      </w:r>
      <w:r w:rsidRPr="001B509A">
        <w:t>inform</w:t>
      </w:r>
      <w:r w:rsidR="0040354D" w:rsidRPr="001B509A">
        <w:t>ing</w:t>
      </w:r>
      <w:r w:rsidRPr="001B509A">
        <w:t xml:space="preserve"> patients about </w:t>
      </w:r>
      <w:r w:rsidR="00B9038A" w:rsidRPr="001B509A">
        <w:t xml:space="preserve">the </w:t>
      </w:r>
      <w:r w:rsidR="00195BBC" w:rsidRPr="001B509A">
        <w:t>use</w:t>
      </w:r>
      <w:r w:rsidR="00B9038A" w:rsidRPr="001B509A">
        <w:t xml:space="preserve"> of </w:t>
      </w:r>
      <w:r w:rsidR="00195BBC" w:rsidRPr="001B509A">
        <w:t xml:space="preserve">consultation </w:t>
      </w:r>
      <w:r w:rsidR="008F1E88" w:rsidRPr="001B509A">
        <w:t>recording and</w:t>
      </w:r>
      <w:r w:rsidR="00A47F83">
        <w:t xml:space="preserve"> processing and </w:t>
      </w:r>
      <w:r w:rsidR="0040354D" w:rsidRPr="001B509A">
        <w:t>must</w:t>
      </w:r>
      <w:r w:rsidR="00F11A62" w:rsidRPr="001B509A">
        <w:t xml:space="preserve"> offer</w:t>
      </w:r>
      <w:r w:rsidR="00195BBC" w:rsidRPr="001B509A">
        <w:t xml:space="preserve"> and</w:t>
      </w:r>
      <w:r w:rsidR="00B9038A" w:rsidRPr="001B509A">
        <w:t xml:space="preserve"> respect patient choice</w:t>
      </w:r>
      <w:r w:rsidR="00195BBC" w:rsidRPr="001B509A">
        <w:t>.</w:t>
      </w:r>
      <w:r w:rsidR="00A701EE" w:rsidRPr="001B509A">
        <w:t xml:space="preserve"> </w:t>
      </w:r>
    </w:p>
    <w:p w14:paraId="397129EF" w14:textId="0EB19EEE" w:rsidR="00F11A62" w:rsidRPr="001B509A" w:rsidRDefault="00512DD2" w:rsidP="00350E5B">
      <w:pPr>
        <w:ind w:left="426"/>
      </w:pPr>
      <w:r w:rsidRPr="001B509A">
        <w:t>T</w:t>
      </w:r>
      <w:r w:rsidR="00F11A62" w:rsidRPr="001B509A">
        <w:t xml:space="preserve">he surgery has </w:t>
      </w:r>
      <w:r w:rsidR="00EC1432" w:rsidRPr="001B509A">
        <w:t>various</w:t>
      </w:r>
      <w:r w:rsidR="00F11A62" w:rsidRPr="001B509A">
        <w:t xml:space="preserve"> opportunities for highlighting the use of recording to the patient population. </w:t>
      </w:r>
    </w:p>
    <w:p w14:paraId="5B6229A8" w14:textId="6FB7C8FF" w:rsidR="0069166B" w:rsidRPr="001B509A" w:rsidRDefault="00837497" w:rsidP="00350E5B">
      <w:pPr>
        <w:pStyle w:val="ListParagraph"/>
        <w:numPr>
          <w:ilvl w:val="0"/>
          <w:numId w:val="3"/>
        </w:numPr>
        <w:spacing w:after="0"/>
        <w:ind w:left="1146"/>
        <w:rPr>
          <w:color w:val="7030A0"/>
          <w:sz w:val="20"/>
          <w:szCs w:val="20"/>
        </w:rPr>
      </w:pPr>
      <w:r w:rsidRPr="001B509A">
        <w:rPr>
          <w:color w:val="7030A0"/>
          <w:sz w:val="20"/>
          <w:szCs w:val="20"/>
        </w:rPr>
        <w:t>Telephone systems</w:t>
      </w:r>
    </w:p>
    <w:p w14:paraId="5A5D8722" w14:textId="77777777" w:rsidR="00281B58" w:rsidRPr="001B509A" w:rsidRDefault="00D60B52" w:rsidP="00350E5B">
      <w:pPr>
        <w:pStyle w:val="ListParagraph"/>
        <w:numPr>
          <w:ilvl w:val="1"/>
          <w:numId w:val="3"/>
        </w:numPr>
        <w:spacing w:after="0"/>
        <w:ind w:left="1866"/>
        <w:rPr>
          <w:sz w:val="16"/>
          <w:szCs w:val="16"/>
        </w:rPr>
      </w:pPr>
      <w:r w:rsidRPr="001B509A">
        <w:rPr>
          <w:sz w:val="20"/>
          <w:szCs w:val="20"/>
        </w:rPr>
        <w:t xml:space="preserve">Many surgeries </w:t>
      </w:r>
      <w:r w:rsidR="008B5B40" w:rsidRPr="001B509A">
        <w:rPr>
          <w:sz w:val="20"/>
          <w:szCs w:val="20"/>
        </w:rPr>
        <w:t>inform patients about recording using an automated message</w:t>
      </w:r>
    </w:p>
    <w:p w14:paraId="2F04565D" w14:textId="48E982F1" w:rsidR="00D60B52" w:rsidRPr="001B509A" w:rsidRDefault="008B5B40" w:rsidP="00350E5B">
      <w:pPr>
        <w:pStyle w:val="ListParagraph"/>
        <w:numPr>
          <w:ilvl w:val="2"/>
          <w:numId w:val="3"/>
        </w:numPr>
        <w:spacing w:after="0"/>
        <w:ind w:left="2586"/>
        <w:rPr>
          <w:rStyle w:val="SubtitleChar"/>
          <w:rFonts w:eastAsiaTheme="minorHAnsi"/>
          <w:color w:val="auto"/>
          <w:spacing w:val="0"/>
          <w:sz w:val="16"/>
          <w:szCs w:val="16"/>
        </w:rPr>
      </w:pPr>
      <w:r w:rsidRPr="001B509A">
        <w:rPr>
          <w:sz w:val="20"/>
          <w:szCs w:val="20"/>
        </w:rPr>
        <w:t xml:space="preserve"> </w:t>
      </w:r>
      <w:r w:rsidRPr="001B509A">
        <w:rPr>
          <w:rStyle w:val="SubtitleChar"/>
          <w:sz w:val="16"/>
          <w:szCs w:val="16"/>
        </w:rPr>
        <w:t xml:space="preserve">‘Please be aware that consultations </w:t>
      </w:r>
      <w:r w:rsidR="004E5545" w:rsidRPr="001B509A">
        <w:rPr>
          <w:rStyle w:val="SubtitleChar"/>
          <w:sz w:val="16"/>
          <w:szCs w:val="16"/>
        </w:rPr>
        <w:t>may be</w:t>
      </w:r>
      <w:r w:rsidRPr="001B509A">
        <w:rPr>
          <w:rStyle w:val="SubtitleChar"/>
          <w:sz w:val="16"/>
          <w:szCs w:val="16"/>
        </w:rPr>
        <w:t xml:space="preserve"> recorded</w:t>
      </w:r>
      <w:r w:rsidR="00A47F83">
        <w:rPr>
          <w:rStyle w:val="SubtitleChar"/>
          <w:sz w:val="16"/>
          <w:szCs w:val="16"/>
        </w:rPr>
        <w:t xml:space="preserve"> and processed</w:t>
      </w:r>
      <w:r w:rsidRPr="001B509A">
        <w:rPr>
          <w:rStyle w:val="SubtitleChar"/>
          <w:sz w:val="16"/>
          <w:szCs w:val="16"/>
        </w:rPr>
        <w:t xml:space="preserve"> for </w:t>
      </w:r>
      <w:r w:rsidR="007D4006" w:rsidRPr="001B509A">
        <w:rPr>
          <w:rStyle w:val="SubtitleChar"/>
          <w:sz w:val="16"/>
          <w:szCs w:val="16"/>
        </w:rPr>
        <w:t xml:space="preserve">training and quality purposes, </w:t>
      </w:r>
      <w:r w:rsidR="004E5545" w:rsidRPr="001B509A">
        <w:rPr>
          <w:rStyle w:val="SubtitleChar"/>
          <w:sz w:val="16"/>
          <w:szCs w:val="16"/>
        </w:rPr>
        <w:t>please</w:t>
      </w:r>
      <w:r w:rsidR="008464E9" w:rsidRPr="001B509A">
        <w:rPr>
          <w:rStyle w:val="SubtitleChar"/>
          <w:sz w:val="16"/>
          <w:szCs w:val="16"/>
        </w:rPr>
        <w:t xml:space="preserve"> inform the surgery before, during or after an appointment if you do not wish to be</w:t>
      </w:r>
      <w:r w:rsidR="007D4006" w:rsidRPr="001B509A">
        <w:rPr>
          <w:rStyle w:val="SubtitleChar"/>
          <w:sz w:val="16"/>
          <w:szCs w:val="16"/>
        </w:rPr>
        <w:t xml:space="preserve"> recorded</w:t>
      </w:r>
      <w:r w:rsidR="00281B58" w:rsidRPr="001B509A">
        <w:rPr>
          <w:rStyle w:val="SubtitleChar"/>
          <w:sz w:val="16"/>
          <w:szCs w:val="16"/>
        </w:rPr>
        <w:t>’</w:t>
      </w:r>
    </w:p>
    <w:p w14:paraId="3EC82019" w14:textId="77777777" w:rsidR="00281B58" w:rsidRPr="001B509A" w:rsidRDefault="00281B58" w:rsidP="00350E5B">
      <w:pPr>
        <w:pStyle w:val="NoSpacing"/>
        <w:ind w:left="426"/>
        <w:rPr>
          <w:sz w:val="20"/>
          <w:szCs w:val="20"/>
        </w:rPr>
      </w:pPr>
    </w:p>
    <w:p w14:paraId="7AD2FDF5" w14:textId="238EEC58" w:rsidR="00837497" w:rsidRPr="001B509A" w:rsidRDefault="00837497" w:rsidP="00350E5B">
      <w:pPr>
        <w:pStyle w:val="ListParagraph"/>
        <w:numPr>
          <w:ilvl w:val="0"/>
          <w:numId w:val="3"/>
        </w:numPr>
        <w:spacing w:after="0"/>
        <w:ind w:left="1146"/>
        <w:rPr>
          <w:color w:val="7030A0"/>
          <w:sz w:val="20"/>
          <w:szCs w:val="20"/>
        </w:rPr>
      </w:pPr>
      <w:r w:rsidRPr="001B509A">
        <w:rPr>
          <w:color w:val="7030A0"/>
          <w:sz w:val="20"/>
          <w:szCs w:val="20"/>
        </w:rPr>
        <w:t xml:space="preserve">Reception </w:t>
      </w:r>
      <w:r w:rsidR="00745938" w:rsidRPr="001B509A">
        <w:rPr>
          <w:color w:val="7030A0"/>
          <w:sz w:val="20"/>
          <w:szCs w:val="20"/>
        </w:rPr>
        <w:t>team</w:t>
      </w:r>
    </w:p>
    <w:p w14:paraId="2BADA86E" w14:textId="32B66BF3" w:rsidR="005C760C" w:rsidRPr="001B509A" w:rsidRDefault="003F1E36" w:rsidP="00350E5B">
      <w:pPr>
        <w:pStyle w:val="ListParagraph"/>
        <w:numPr>
          <w:ilvl w:val="1"/>
          <w:numId w:val="3"/>
        </w:numPr>
        <w:spacing w:after="0"/>
        <w:ind w:left="1866"/>
        <w:rPr>
          <w:sz w:val="20"/>
          <w:szCs w:val="20"/>
        </w:rPr>
      </w:pPr>
      <w:r>
        <w:rPr>
          <w:sz w:val="20"/>
          <w:szCs w:val="20"/>
        </w:rPr>
        <w:t xml:space="preserve">Receptionists </w:t>
      </w:r>
      <w:r w:rsidR="005C0B82" w:rsidRPr="001B509A">
        <w:rPr>
          <w:sz w:val="20"/>
          <w:szCs w:val="20"/>
        </w:rPr>
        <w:t xml:space="preserve">may be used to inform </w:t>
      </w:r>
      <w:r w:rsidR="005C760C" w:rsidRPr="001B509A">
        <w:rPr>
          <w:sz w:val="20"/>
          <w:szCs w:val="20"/>
        </w:rPr>
        <w:t xml:space="preserve">patients </w:t>
      </w:r>
      <w:r w:rsidR="005C0B82" w:rsidRPr="001B509A">
        <w:rPr>
          <w:sz w:val="20"/>
          <w:szCs w:val="20"/>
        </w:rPr>
        <w:t>about recording where appointment booking is completed face to face.</w:t>
      </w:r>
    </w:p>
    <w:p w14:paraId="501B77D4" w14:textId="77777777" w:rsidR="00281B58" w:rsidRPr="001B509A" w:rsidRDefault="00281B58" w:rsidP="00350E5B">
      <w:pPr>
        <w:pStyle w:val="ListParagraph"/>
        <w:spacing w:after="0"/>
        <w:ind w:left="1866"/>
        <w:rPr>
          <w:sz w:val="20"/>
          <w:szCs w:val="20"/>
        </w:rPr>
      </w:pPr>
    </w:p>
    <w:p w14:paraId="512BAD3F" w14:textId="258B1292" w:rsidR="00745938" w:rsidRPr="001B509A" w:rsidRDefault="00745938" w:rsidP="00350E5B">
      <w:pPr>
        <w:pStyle w:val="ListParagraph"/>
        <w:numPr>
          <w:ilvl w:val="0"/>
          <w:numId w:val="3"/>
        </w:numPr>
        <w:spacing w:after="0"/>
        <w:ind w:left="1146"/>
        <w:rPr>
          <w:color w:val="7030A0"/>
          <w:sz w:val="20"/>
          <w:szCs w:val="20"/>
        </w:rPr>
      </w:pPr>
      <w:r w:rsidRPr="001B509A">
        <w:rPr>
          <w:color w:val="7030A0"/>
          <w:sz w:val="20"/>
          <w:szCs w:val="20"/>
        </w:rPr>
        <w:t>Reception slides / posters</w:t>
      </w:r>
    </w:p>
    <w:p w14:paraId="63F8028B" w14:textId="082B67F4" w:rsidR="005C0B82" w:rsidRPr="001B509A" w:rsidRDefault="005C0B82" w:rsidP="00350E5B">
      <w:pPr>
        <w:pStyle w:val="ListParagraph"/>
        <w:numPr>
          <w:ilvl w:val="1"/>
          <w:numId w:val="3"/>
        </w:numPr>
        <w:spacing w:after="0"/>
        <w:ind w:left="1866"/>
        <w:rPr>
          <w:sz w:val="20"/>
          <w:szCs w:val="20"/>
        </w:rPr>
      </w:pPr>
      <w:r w:rsidRPr="001B509A">
        <w:rPr>
          <w:sz w:val="20"/>
          <w:szCs w:val="20"/>
        </w:rPr>
        <w:t xml:space="preserve">Posters </w:t>
      </w:r>
      <w:r w:rsidR="004A0E43" w:rsidRPr="001B509A">
        <w:rPr>
          <w:sz w:val="20"/>
          <w:szCs w:val="20"/>
        </w:rPr>
        <w:t>or slides may be used to inform patients in the waiting room about recording.</w:t>
      </w:r>
    </w:p>
    <w:p w14:paraId="12E2EE76" w14:textId="77777777" w:rsidR="00281B58" w:rsidRPr="001B509A" w:rsidRDefault="00281B58" w:rsidP="00350E5B">
      <w:pPr>
        <w:pStyle w:val="ListParagraph"/>
        <w:spacing w:after="0"/>
        <w:ind w:left="1866"/>
        <w:rPr>
          <w:sz w:val="20"/>
          <w:szCs w:val="20"/>
        </w:rPr>
      </w:pPr>
    </w:p>
    <w:p w14:paraId="6B99B4E8" w14:textId="7D6B698F" w:rsidR="00837497" w:rsidRPr="001B509A" w:rsidRDefault="00837497" w:rsidP="00350E5B">
      <w:pPr>
        <w:pStyle w:val="ListParagraph"/>
        <w:numPr>
          <w:ilvl w:val="0"/>
          <w:numId w:val="3"/>
        </w:numPr>
        <w:spacing w:after="0"/>
        <w:ind w:left="1146"/>
        <w:rPr>
          <w:color w:val="7030A0"/>
          <w:sz w:val="20"/>
          <w:szCs w:val="20"/>
        </w:rPr>
      </w:pPr>
      <w:r w:rsidRPr="001B509A">
        <w:rPr>
          <w:color w:val="7030A0"/>
          <w:sz w:val="20"/>
          <w:szCs w:val="20"/>
        </w:rPr>
        <w:t xml:space="preserve">Website </w:t>
      </w:r>
    </w:p>
    <w:p w14:paraId="1AA69E24" w14:textId="77B5834E" w:rsidR="004A0E43" w:rsidRPr="001B509A" w:rsidRDefault="004A0E43" w:rsidP="00350E5B">
      <w:pPr>
        <w:pStyle w:val="ListParagraph"/>
        <w:numPr>
          <w:ilvl w:val="1"/>
          <w:numId w:val="3"/>
        </w:numPr>
        <w:spacing w:after="0"/>
        <w:ind w:left="1866"/>
        <w:rPr>
          <w:sz w:val="20"/>
          <w:szCs w:val="20"/>
        </w:rPr>
      </w:pPr>
      <w:r w:rsidRPr="001B509A">
        <w:rPr>
          <w:sz w:val="20"/>
          <w:szCs w:val="20"/>
        </w:rPr>
        <w:t>The practice website is a good place to provide</w:t>
      </w:r>
      <w:r w:rsidR="00F10211" w:rsidRPr="001B509A">
        <w:rPr>
          <w:sz w:val="20"/>
          <w:szCs w:val="20"/>
        </w:rPr>
        <w:t xml:space="preserve"> additional</w:t>
      </w:r>
      <w:r w:rsidRPr="001B509A">
        <w:rPr>
          <w:sz w:val="20"/>
          <w:szCs w:val="20"/>
        </w:rPr>
        <w:t xml:space="preserve"> information about recording</w:t>
      </w:r>
      <w:r w:rsidR="00F10211" w:rsidRPr="001B509A">
        <w:rPr>
          <w:sz w:val="20"/>
          <w:szCs w:val="20"/>
        </w:rPr>
        <w:t>.</w:t>
      </w:r>
    </w:p>
    <w:p w14:paraId="693EC65E" w14:textId="77777777" w:rsidR="00281B58" w:rsidRPr="001B509A" w:rsidRDefault="00281B58" w:rsidP="00350E5B">
      <w:pPr>
        <w:pStyle w:val="ListParagraph"/>
        <w:spacing w:after="0"/>
        <w:ind w:left="1866"/>
        <w:rPr>
          <w:sz w:val="20"/>
          <w:szCs w:val="20"/>
        </w:rPr>
      </w:pPr>
    </w:p>
    <w:p w14:paraId="31A03B73" w14:textId="5978EE70" w:rsidR="00745938" w:rsidRPr="001B509A" w:rsidRDefault="00745938" w:rsidP="00350E5B">
      <w:pPr>
        <w:pStyle w:val="ListParagraph"/>
        <w:numPr>
          <w:ilvl w:val="0"/>
          <w:numId w:val="3"/>
        </w:numPr>
        <w:spacing w:after="0"/>
        <w:ind w:left="1146"/>
        <w:rPr>
          <w:color w:val="7030A0"/>
          <w:sz w:val="20"/>
          <w:szCs w:val="20"/>
        </w:rPr>
      </w:pPr>
      <w:r w:rsidRPr="001B509A">
        <w:rPr>
          <w:color w:val="7030A0"/>
          <w:sz w:val="20"/>
          <w:szCs w:val="20"/>
        </w:rPr>
        <w:t>Practice leaflets</w:t>
      </w:r>
    </w:p>
    <w:p w14:paraId="59DBC639" w14:textId="4CDB057A" w:rsidR="00F10211" w:rsidRPr="001B509A" w:rsidRDefault="00F10211" w:rsidP="00350E5B">
      <w:pPr>
        <w:pStyle w:val="ListParagraph"/>
        <w:numPr>
          <w:ilvl w:val="1"/>
          <w:numId w:val="3"/>
        </w:numPr>
        <w:spacing w:after="0"/>
        <w:ind w:left="1866"/>
        <w:rPr>
          <w:sz w:val="20"/>
          <w:szCs w:val="20"/>
        </w:rPr>
      </w:pPr>
      <w:r w:rsidRPr="001B509A">
        <w:rPr>
          <w:sz w:val="20"/>
          <w:szCs w:val="20"/>
        </w:rPr>
        <w:t>The practice leaflet may be also used to provide additional information about recording.</w:t>
      </w:r>
    </w:p>
    <w:p w14:paraId="2D92E388" w14:textId="77777777" w:rsidR="00281B58" w:rsidRPr="001B509A" w:rsidRDefault="00281B58" w:rsidP="00350E5B">
      <w:pPr>
        <w:pStyle w:val="ListParagraph"/>
        <w:spacing w:after="0"/>
        <w:ind w:left="1866"/>
        <w:rPr>
          <w:sz w:val="20"/>
          <w:szCs w:val="20"/>
        </w:rPr>
      </w:pPr>
    </w:p>
    <w:p w14:paraId="2F99034E" w14:textId="2CAFCF7D" w:rsidR="00745938" w:rsidRPr="001B509A" w:rsidRDefault="00CB22A1" w:rsidP="00350E5B">
      <w:pPr>
        <w:pStyle w:val="ListParagraph"/>
        <w:numPr>
          <w:ilvl w:val="0"/>
          <w:numId w:val="3"/>
        </w:numPr>
        <w:spacing w:after="0"/>
        <w:ind w:left="1146"/>
        <w:rPr>
          <w:color w:val="7030A0"/>
          <w:sz w:val="20"/>
          <w:szCs w:val="20"/>
        </w:rPr>
      </w:pPr>
      <w:r w:rsidRPr="001B509A">
        <w:rPr>
          <w:color w:val="7030A0"/>
          <w:sz w:val="20"/>
          <w:szCs w:val="20"/>
        </w:rPr>
        <w:t>Doctor’s room</w:t>
      </w:r>
    </w:p>
    <w:p w14:paraId="5C9A2099" w14:textId="676090C5" w:rsidR="00F10211" w:rsidRPr="001B509A" w:rsidRDefault="00F10211" w:rsidP="00350E5B">
      <w:pPr>
        <w:pStyle w:val="ListParagraph"/>
        <w:numPr>
          <w:ilvl w:val="1"/>
          <w:numId w:val="3"/>
        </w:numPr>
        <w:spacing w:after="0"/>
        <w:ind w:left="1866"/>
        <w:rPr>
          <w:sz w:val="20"/>
          <w:szCs w:val="20"/>
        </w:rPr>
      </w:pPr>
      <w:r w:rsidRPr="001B509A">
        <w:rPr>
          <w:sz w:val="20"/>
          <w:szCs w:val="20"/>
        </w:rPr>
        <w:t xml:space="preserve">A notice on the </w:t>
      </w:r>
      <w:r w:rsidR="00281B58" w:rsidRPr="001B509A">
        <w:rPr>
          <w:sz w:val="20"/>
          <w:szCs w:val="20"/>
        </w:rPr>
        <w:t>doctor’s</w:t>
      </w:r>
      <w:r w:rsidRPr="001B509A">
        <w:rPr>
          <w:sz w:val="20"/>
          <w:szCs w:val="20"/>
        </w:rPr>
        <w:t xml:space="preserve"> door when recording is a useful reminder to the patient about </w:t>
      </w:r>
      <w:r w:rsidR="00960A48" w:rsidRPr="001B509A">
        <w:rPr>
          <w:sz w:val="20"/>
          <w:szCs w:val="20"/>
        </w:rPr>
        <w:t>recording and their choices.</w:t>
      </w:r>
    </w:p>
    <w:p w14:paraId="74CD8262" w14:textId="77777777" w:rsidR="00745938" w:rsidRPr="001B509A" w:rsidRDefault="00745938" w:rsidP="0069166B"/>
    <w:p w14:paraId="31A45848" w14:textId="77777777" w:rsidR="00837497" w:rsidRPr="001B509A" w:rsidRDefault="00837497" w:rsidP="0069166B"/>
    <w:p w14:paraId="495D0ED4" w14:textId="77777777" w:rsidR="0034577B" w:rsidRPr="001B509A" w:rsidRDefault="00B442DC" w:rsidP="001111A8">
      <w:pPr>
        <w:pStyle w:val="Heading1"/>
      </w:pPr>
      <w:bookmarkStart w:id="7" w:name="_Toc117438546"/>
      <w:r w:rsidRPr="001B509A">
        <w:t>The right to decline recordings</w:t>
      </w:r>
      <w:bookmarkEnd w:id="7"/>
    </w:p>
    <w:p w14:paraId="46A3A4AE" w14:textId="1503A5E5" w:rsidR="003716E6" w:rsidRPr="001B509A" w:rsidRDefault="0034577B" w:rsidP="00350E5B">
      <w:pPr>
        <w:ind w:left="426"/>
      </w:pPr>
      <w:r w:rsidRPr="001B509A">
        <w:t>Patients have a right to decline recordings</w:t>
      </w:r>
      <w:r w:rsidR="00A47F83">
        <w:t xml:space="preserve"> and processing</w:t>
      </w:r>
      <w:r w:rsidR="003716E6" w:rsidRPr="001B509A">
        <w:t>. They</w:t>
      </w:r>
      <w:r w:rsidR="00190E11" w:rsidRPr="001B509A">
        <w:t xml:space="preserve"> also</w:t>
      </w:r>
      <w:r w:rsidR="003716E6" w:rsidRPr="001B509A">
        <w:t xml:space="preserve"> have a right to withdraw consent to recording during and at any time after a consultation </w:t>
      </w:r>
      <w:r w:rsidRPr="001B509A">
        <w:t xml:space="preserve"> </w:t>
      </w:r>
    </w:p>
    <w:p w14:paraId="5BFA794E" w14:textId="77777777" w:rsidR="00540A4B" w:rsidRPr="001B509A" w:rsidRDefault="0034577B" w:rsidP="00350E5B">
      <w:pPr>
        <w:ind w:left="426"/>
      </w:pPr>
      <w:r w:rsidRPr="001B509A">
        <w:t xml:space="preserve">Users should not </w:t>
      </w:r>
      <w:r w:rsidR="003716E6" w:rsidRPr="001B509A">
        <w:t>record consultations where a patient has declined consent to recordin</w:t>
      </w:r>
      <w:r w:rsidR="00540A4B" w:rsidRPr="001B509A">
        <w:t>g.</w:t>
      </w:r>
    </w:p>
    <w:p w14:paraId="17077BE3" w14:textId="2944DEB5" w:rsidR="00D57F43" w:rsidRPr="001B509A" w:rsidRDefault="00540A4B" w:rsidP="00350E5B">
      <w:pPr>
        <w:ind w:left="426"/>
      </w:pPr>
      <w:r w:rsidRPr="001B509A">
        <w:t>U</w:t>
      </w:r>
      <w:r w:rsidR="003716E6" w:rsidRPr="001B509A">
        <w:t xml:space="preserve">sers </w:t>
      </w:r>
      <w:r w:rsidRPr="001B509A">
        <w:t>must delete recordings where</w:t>
      </w:r>
      <w:r w:rsidR="007747E7" w:rsidRPr="001B509A">
        <w:t xml:space="preserve"> a</w:t>
      </w:r>
      <w:r w:rsidRPr="001B509A">
        <w:t xml:space="preserve"> patient has withdrawn consent.</w:t>
      </w:r>
      <w:r w:rsidR="00D57F43" w:rsidRPr="001B509A">
        <w:br w:type="page"/>
      </w:r>
    </w:p>
    <w:p w14:paraId="6AE33570" w14:textId="77777777" w:rsidR="00302638" w:rsidRPr="001B509A" w:rsidRDefault="00B442DC" w:rsidP="001111A8">
      <w:pPr>
        <w:pStyle w:val="Heading1"/>
      </w:pPr>
      <w:bookmarkStart w:id="8" w:name="_Toc117438547"/>
      <w:r w:rsidRPr="001B509A">
        <w:t>Confidential storage of data</w:t>
      </w:r>
      <w:bookmarkEnd w:id="8"/>
    </w:p>
    <w:p w14:paraId="72C70379" w14:textId="02B28304" w:rsidR="00D02BBE" w:rsidRPr="001B509A" w:rsidRDefault="004573E4" w:rsidP="00350E5B">
      <w:pPr>
        <w:ind w:left="360"/>
      </w:pPr>
      <w:r w:rsidRPr="001B509A">
        <w:t>Consultation data is of a highly sensitive and personal nature</w:t>
      </w:r>
      <w:r w:rsidR="005A0A11" w:rsidRPr="001B509A">
        <w:t xml:space="preserve"> with a potentially severe impact on a patient’s rights and freedoms in the event of a breach.</w:t>
      </w:r>
      <w:r w:rsidR="00375156" w:rsidRPr="001B509A">
        <w:t xml:space="preserve"> We therefore encrypt </w:t>
      </w:r>
      <w:r w:rsidR="00BB0A50" w:rsidRPr="001B509A">
        <w:t>consultation</w:t>
      </w:r>
      <w:r w:rsidR="00375156" w:rsidRPr="001B509A">
        <w:t xml:space="preserve"> data</w:t>
      </w:r>
      <w:r w:rsidR="00CA67A9" w:rsidRPr="001B509A">
        <w:t xml:space="preserve"> </w:t>
      </w:r>
      <w:r w:rsidR="00BB0A50" w:rsidRPr="008B6585">
        <w:t xml:space="preserve">prior to transit </w:t>
      </w:r>
      <w:r w:rsidR="00CA67A9" w:rsidRPr="008B6585">
        <w:t>using</w:t>
      </w:r>
      <w:r w:rsidR="00E03DE1" w:rsidRPr="008B6585">
        <w:t xml:space="preserve"> </w:t>
      </w:r>
      <w:r w:rsidR="00375156" w:rsidRPr="008B6585">
        <w:t>AES-256 encryption</w:t>
      </w:r>
      <w:r w:rsidR="00A60035" w:rsidRPr="008B6585">
        <w:t>,</w:t>
      </w:r>
      <w:r w:rsidR="00A539F6" w:rsidRPr="008B6585">
        <w:t xml:space="preserve"> </w:t>
      </w:r>
      <w:r w:rsidR="00375156" w:rsidRPr="008B6585">
        <w:t xml:space="preserve">one of the strongest security technologies available. </w:t>
      </w:r>
      <w:r w:rsidR="00F2564E" w:rsidRPr="008B6585">
        <w:t xml:space="preserve">During transit </w:t>
      </w:r>
      <w:r w:rsidR="00814F4A" w:rsidRPr="008B6585">
        <w:t xml:space="preserve">the encrypted </w:t>
      </w:r>
      <w:r w:rsidR="00F2564E" w:rsidRPr="008B6585">
        <w:t>data is</w:t>
      </w:r>
      <w:r w:rsidR="0084109E" w:rsidRPr="008B6585">
        <w:t xml:space="preserve"> further</w:t>
      </w:r>
      <w:r w:rsidR="00F2564E" w:rsidRPr="008B6585">
        <w:t xml:space="preserve"> </w:t>
      </w:r>
      <w:r w:rsidR="00814F4A" w:rsidRPr="008B6585">
        <w:t xml:space="preserve">protected by </w:t>
      </w:r>
      <w:r w:rsidR="00F2564E" w:rsidRPr="008B6585">
        <w:t xml:space="preserve"> ‘TLS1.2’</w:t>
      </w:r>
      <w:r w:rsidR="00F2564E" w:rsidRPr="001B509A">
        <w:t xml:space="preserve"> which prevents </w:t>
      </w:r>
      <w:r w:rsidR="0084109E" w:rsidRPr="001B509A">
        <w:t>data interception and tampering.</w:t>
      </w:r>
      <w:r w:rsidR="00BC4AAC" w:rsidRPr="001B509A">
        <w:t xml:space="preserve"> </w:t>
      </w:r>
    </w:p>
    <w:p w14:paraId="6E10C745" w14:textId="77777777" w:rsidR="00D02BBE" w:rsidRPr="001B509A" w:rsidRDefault="00CE62C4" w:rsidP="00350E5B">
      <w:pPr>
        <w:ind w:left="360"/>
      </w:pPr>
      <w:r w:rsidRPr="001B509A">
        <w:t>At all times d</w:t>
      </w:r>
      <w:r w:rsidR="00BC4AAC" w:rsidRPr="001B509A">
        <w:t>uring storage</w:t>
      </w:r>
      <w:r w:rsidR="00D02BBE" w:rsidRPr="001B509A">
        <w:t xml:space="preserve"> and transit</w:t>
      </w:r>
      <w:r w:rsidR="00BC4AAC" w:rsidRPr="001B509A">
        <w:t xml:space="preserve"> </w:t>
      </w:r>
      <w:r w:rsidRPr="001B509A">
        <w:t>recording</w:t>
      </w:r>
      <w:r w:rsidR="00BC4AAC" w:rsidRPr="001B509A">
        <w:t xml:space="preserve"> data remains encrypted. </w:t>
      </w:r>
    </w:p>
    <w:p w14:paraId="2CEFACB7" w14:textId="3EC7C79B" w:rsidR="00D02BBE" w:rsidRDefault="006A386F" w:rsidP="00350E5B">
      <w:pPr>
        <w:ind w:left="360"/>
      </w:pPr>
      <w:r>
        <w:t xml:space="preserve">Data is securely stored in the </w:t>
      </w:r>
      <w:r w:rsidR="00BC4AAC" w:rsidRPr="008B6585">
        <w:t>UK.</w:t>
      </w:r>
      <w:r w:rsidR="00EA6ECC" w:rsidRPr="001B509A">
        <w:t xml:space="preserve"> </w:t>
      </w:r>
    </w:p>
    <w:p w14:paraId="12E0B282" w14:textId="1079E9AB" w:rsidR="006A386F" w:rsidRPr="001B509A" w:rsidRDefault="006A386F" w:rsidP="00350E5B">
      <w:pPr>
        <w:ind w:left="360"/>
      </w:pPr>
      <w:r>
        <w:t>Data is processed in alignment with UK GDPR regulation.</w:t>
      </w:r>
    </w:p>
    <w:p w14:paraId="4763EA7D" w14:textId="0C2A4D65" w:rsidR="00ED09C3" w:rsidRPr="001B509A" w:rsidRDefault="00D02BBE" w:rsidP="00350E5B">
      <w:pPr>
        <w:ind w:left="360"/>
      </w:pPr>
      <w:r w:rsidRPr="001B509A">
        <w:t>Please note t</w:t>
      </w:r>
      <w:r w:rsidR="00B67BBB" w:rsidRPr="001B509A">
        <w:t>he security standards</w:t>
      </w:r>
      <w:r w:rsidR="00866310" w:rsidRPr="001B509A">
        <w:t xml:space="preserve"> we have</w:t>
      </w:r>
      <w:r w:rsidR="00B67BBB" w:rsidRPr="001B509A">
        <w:t xml:space="preserve"> applied </w:t>
      </w:r>
      <w:r w:rsidR="00866310" w:rsidRPr="001B509A">
        <w:t xml:space="preserve">to consultation data </w:t>
      </w:r>
      <w:r w:rsidRPr="001B509A">
        <w:t xml:space="preserve">transit and storage </w:t>
      </w:r>
      <w:r w:rsidR="008367EC" w:rsidRPr="001B509A">
        <w:t>mirror</w:t>
      </w:r>
      <w:r w:rsidR="00866310" w:rsidRPr="001B509A">
        <w:t>s</w:t>
      </w:r>
      <w:r w:rsidR="008367EC" w:rsidRPr="001B509A">
        <w:t xml:space="preserve"> that used by other providers. </w:t>
      </w:r>
    </w:p>
    <w:p w14:paraId="0F8E6525" w14:textId="453902B0" w:rsidR="007747E7" w:rsidRPr="001B509A" w:rsidRDefault="007747E7" w:rsidP="00302638">
      <w:r w:rsidRPr="001B509A">
        <w:br w:type="page"/>
      </w:r>
    </w:p>
    <w:p w14:paraId="5ACFC01B" w14:textId="0699C580" w:rsidR="00ED09C3" w:rsidRPr="001B509A" w:rsidRDefault="00ED09C3" w:rsidP="001111A8">
      <w:pPr>
        <w:pStyle w:val="Heading1"/>
      </w:pPr>
      <w:bookmarkStart w:id="9" w:name="_Toc117438548"/>
      <w:r w:rsidRPr="001B509A">
        <w:t>Accessing recordings</w:t>
      </w:r>
      <w:bookmarkEnd w:id="9"/>
    </w:p>
    <w:p w14:paraId="4910B1A5" w14:textId="2E8526A4" w:rsidR="00350E5B" w:rsidRPr="001B509A" w:rsidRDefault="004C56F1" w:rsidP="00350E5B">
      <w:pPr>
        <w:ind w:left="426"/>
      </w:pPr>
      <w:r w:rsidRPr="001B509A">
        <w:t>Recordings</w:t>
      </w:r>
      <w:r w:rsidR="00EA6ECC" w:rsidRPr="001B509A">
        <w:t xml:space="preserve"> </w:t>
      </w:r>
      <w:r w:rsidR="003F1E36">
        <w:t>are</w:t>
      </w:r>
      <w:r w:rsidR="00EA6ECC" w:rsidRPr="001B509A">
        <w:t xml:space="preserve"> </w:t>
      </w:r>
      <w:r w:rsidR="00073BCD" w:rsidRPr="001B509A">
        <w:t>accessi</w:t>
      </w:r>
      <w:r w:rsidR="00073BCD">
        <w:t>ble</w:t>
      </w:r>
      <w:r w:rsidR="00863E4E">
        <w:t xml:space="preserve"> to </w:t>
      </w:r>
      <w:r w:rsidR="00EA6ECC" w:rsidRPr="001B509A">
        <w:t xml:space="preserve">the </w:t>
      </w:r>
      <w:r w:rsidR="00416866" w:rsidRPr="001B509A">
        <w:t>training doctor</w:t>
      </w:r>
      <w:r w:rsidR="009855AD" w:rsidRPr="001B509A">
        <w:t xml:space="preserve"> who made the recording</w:t>
      </w:r>
      <w:r w:rsidR="00416866" w:rsidRPr="001B509A">
        <w:t xml:space="preserve"> </w:t>
      </w:r>
      <w:r w:rsidR="00350E5B" w:rsidRPr="001B509A">
        <w:t xml:space="preserve">and </w:t>
      </w:r>
      <w:r w:rsidR="00863E4E">
        <w:t xml:space="preserve">in certain circumstances </w:t>
      </w:r>
      <w:r w:rsidR="00350E5B" w:rsidRPr="001B509A">
        <w:t>the</w:t>
      </w:r>
      <w:r w:rsidR="009855AD" w:rsidRPr="001B509A">
        <w:t xml:space="preserve"> </w:t>
      </w:r>
      <w:r w:rsidR="00237B03" w:rsidRPr="001B509A">
        <w:t>doctor they have identified as their supervisor.</w:t>
      </w:r>
      <w:r w:rsidR="009855AD" w:rsidRPr="001B509A">
        <w:t xml:space="preserve"> </w:t>
      </w:r>
    </w:p>
    <w:p w14:paraId="4912655B" w14:textId="577DA64E" w:rsidR="00350E5B" w:rsidRPr="001B509A" w:rsidRDefault="00147513" w:rsidP="00350E5B">
      <w:pPr>
        <w:ind w:left="426"/>
      </w:pPr>
      <w:r>
        <w:t xml:space="preserve">To access </w:t>
      </w:r>
      <w:r w:rsidR="00350E5B" w:rsidRPr="001B509A">
        <w:t>Recordings</w:t>
      </w:r>
      <w:r w:rsidR="00237B03" w:rsidRPr="001B509A">
        <w:t xml:space="preserve"> users </w:t>
      </w:r>
      <w:r>
        <w:t>must log in to</w:t>
      </w:r>
      <w:r w:rsidR="006A1C69" w:rsidRPr="001B509A">
        <w:t xml:space="preserve"> their CLINITALK </w:t>
      </w:r>
      <w:r>
        <w:t>account.</w:t>
      </w:r>
    </w:p>
    <w:p w14:paraId="1ECE80FC" w14:textId="5130462F" w:rsidR="006A1C69" w:rsidRPr="001B509A" w:rsidRDefault="000F32AF" w:rsidP="00350E5B">
      <w:pPr>
        <w:ind w:left="426"/>
      </w:pPr>
      <w:r w:rsidRPr="008B6585">
        <w:t xml:space="preserve">As a security measure </w:t>
      </w:r>
      <w:r w:rsidR="006A1C69" w:rsidRPr="008B6585">
        <w:t>CLINITALK accounts require users to implement a strong password</w:t>
      </w:r>
      <w:r w:rsidR="00567E7D">
        <w:t xml:space="preserve"> alongside multi factor authentication</w:t>
      </w:r>
      <w:r w:rsidR="006A1C69" w:rsidRPr="008B6585">
        <w:t>.</w:t>
      </w:r>
      <w:r w:rsidR="006A1C69" w:rsidRPr="001B509A">
        <w:t xml:space="preserve"> </w:t>
      </w:r>
    </w:p>
    <w:p w14:paraId="12FADBD6" w14:textId="6A93E37C" w:rsidR="006A1C69" w:rsidRPr="001B509A" w:rsidRDefault="006A1C69" w:rsidP="00350E5B">
      <w:pPr>
        <w:ind w:left="426"/>
      </w:pPr>
      <w:r w:rsidRPr="001B509A">
        <w:t xml:space="preserve">Users </w:t>
      </w:r>
      <w:r w:rsidR="000F32AF" w:rsidRPr="001B509A">
        <w:t>remain</w:t>
      </w:r>
      <w:r w:rsidRPr="001B509A">
        <w:t xml:space="preserve"> responsible for </w:t>
      </w:r>
      <w:r w:rsidR="00F16370" w:rsidRPr="001B509A">
        <w:t xml:space="preserve">ensuring the confidentiality of their </w:t>
      </w:r>
      <w:r w:rsidR="000F32AF" w:rsidRPr="001B509A">
        <w:t>log in credentials.</w:t>
      </w:r>
    </w:p>
    <w:p w14:paraId="2B328938" w14:textId="53C2EAC7" w:rsidR="0011302C" w:rsidRPr="001B509A" w:rsidRDefault="006F348A" w:rsidP="00350E5B">
      <w:pPr>
        <w:ind w:left="426"/>
      </w:pPr>
      <w:r w:rsidRPr="001B509A">
        <w:t>Prior to sharing recordings with their supervising doctor users mu</w:t>
      </w:r>
      <w:r w:rsidR="00A36D69" w:rsidRPr="001B509A">
        <w:t>st</w:t>
      </w:r>
      <w:r w:rsidR="00111FBF" w:rsidRPr="001B509A">
        <w:t xml:space="preserve"> provide consent </w:t>
      </w:r>
      <w:r w:rsidR="0011302C" w:rsidRPr="001B509A">
        <w:t>for their supervising doctor to access the recording</w:t>
      </w:r>
      <w:r w:rsidR="008A359E" w:rsidRPr="001B509A">
        <w:t>s. Once consent has been granted accounts are linked and the supervising doctor can access</w:t>
      </w:r>
      <w:r w:rsidR="00E30F22" w:rsidRPr="001B509A">
        <w:t xml:space="preserve"> recordings for the purpose of trainee supervision and development.</w:t>
      </w:r>
    </w:p>
    <w:p w14:paraId="061A7E8F" w14:textId="77777777" w:rsidR="0011302C" w:rsidRPr="001B509A" w:rsidRDefault="0011302C" w:rsidP="00350E5B">
      <w:pPr>
        <w:ind w:left="426"/>
      </w:pPr>
    </w:p>
    <w:p w14:paraId="47E40052" w14:textId="77777777" w:rsidR="00111FBF" w:rsidRPr="001B509A" w:rsidRDefault="00111FBF" w:rsidP="00302638"/>
    <w:p w14:paraId="0F4C46A1" w14:textId="77777777" w:rsidR="004C56F1" w:rsidRPr="001B509A" w:rsidRDefault="004C56F1" w:rsidP="00302638"/>
    <w:p w14:paraId="264EECF6" w14:textId="77777777" w:rsidR="0084109E" w:rsidRPr="001B509A" w:rsidRDefault="0084109E" w:rsidP="00302638"/>
    <w:p w14:paraId="3C0931D4" w14:textId="77777777" w:rsidR="00814F4A" w:rsidRPr="001B509A" w:rsidRDefault="00814F4A" w:rsidP="00302638"/>
    <w:p w14:paraId="1E5FD272" w14:textId="6EC06AA6" w:rsidR="00D57F43" w:rsidRPr="001B509A" w:rsidRDefault="00D57F43" w:rsidP="00302638">
      <w:r w:rsidRPr="001B509A">
        <w:br w:type="page"/>
      </w:r>
    </w:p>
    <w:p w14:paraId="3D0F7330" w14:textId="61B07A3E" w:rsidR="00B442DC" w:rsidRPr="001B509A" w:rsidRDefault="00B442DC" w:rsidP="001111A8">
      <w:pPr>
        <w:pStyle w:val="Heading1"/>
      </w:pPr>
      <w:bookmarkStart w:id="10" w:name="_Toc117438549"/>
      <w:r w:rsidRPr="001B509A">
        <w:t>Deletion of recordings</w:t>
      </w:r>
      <w:bookmarkEnd w:id="10"/>
    </w:p>
    <w:p w14:paraId="2DFC5541" w14:textId="421B6DB6" w:rsidR="00B442DC" w:rsidRPr="001B509A" w:rsidRDefault="00E30F22" w:rsidP="00E30F22">
      <w:pPr>
        <w:ind w:left="426"/>
      </w:pPr>
      <w:r w:rsidRPr="001B509A">
        <w:t>At the request of a patient recordings must be deleted.</w:t>
      </w:r>
    </w:p>
    <w:p w14:paraId="65B6F3D0" w14:textId="0120D969" w:rsidR="00E30F22" w:rsidRPr="001B509A" w:rsidRDefault="00B83D79" w:rsidP="00E30F22">
      <w:pPr>
        <w:ind w:left="426"/>
      </w:pPr>
      <w:r w:rsidRPr="001B509A">
        <w:t>Users should identify</w:t>
      </w:r>
      <w:r w:rsidR="00227514" w:rsidRPr="001B509A">
        <w:t xml:space="preserve"> the relevant recording</w:t>
      </w:r>
      <w:r w:rsidRPr="001B509A">
        <w:t xml:space="preserve"> </w:t>
      </w:r>
      <w:r w:rsidR="006831D1">
        <w:t>by comparing the recording time to</w:t>
      </w:r>
      <w:r w:rsidRPr="001B509A">
        <w:t xml:space="preserve"> the </w:t>
      </w:r>
      <w:r w:rsidR="000A3622" w:rsidRPr="001B509A">
        <w:t>consultation tim</w:t>
      </w:r>
      <w:r w:rsidR="006831D1">
        <w:t xml:space="preserve">e </w:t>
      </w:r>
      <w:r w:rsidR="007C0BB8" w:rsidRPr="001B509A">
        <w:t>documented</w:t>
      </w:r>
      <w:r w:rsidR="000A3622" w:rsidRPr="001B509A">
        <w:t xml:space="preserve"> in the clinical record</w:t>
      </w:r>
      <w:r w:rsidR="007C0BB8" w:rsidRPr="001B509A">
        <w:t>.</w:t>
      </w:r>
      <w:r w:rsidR="000A3622" w:rsidRPr="001B509A">
        <w:t xml:space="preserve"> </w:t>
      </w:r>
      <w:r w:rsidR="00687AC9">
        <w:t>Once the consultation has been identified, s</w:t>
      </w:r>
      <w:r w:rsidR="007C0BB8" w:rsidRPr="001B509A">
        <w:t xml:space="preserve">elect the </w:t>
      </w:r>
      <w:r w:rsidR="006102D0" w:rsidRPr="001B509A">
        <w:t>consultation</w:t>
      </w:r>
      <w:r w:rsidR="00687AC9">
        <w:t xml:space="preserve"> </w:t>
      </w:r>
      <w:r w:rsidR="00E34BAD">
        <w:t>from the consultation history (</w:t>
      </w:r>
      <w:r w:rsidR="00770EC0">
        <w:t>main menu</w:t>
      </w:r>
      <w:r w:rsidR="00E34BAD">
        <w:t xml:space="preserve"> -&gt;</w:t>
      </w:r>
      <w:r w:rsidR="00770EC0">
        <w:t xml:space="preserve"> ‘My case notes’</w:t>
      </w:r>
      <w:r w:rsidR="00E34BAD">
        <w:t xml:space="preserve">). </w:t>
      </w:r>
      <w:r w:rsidR="004C0234" w:rsidRPr="004350B5">
        <w:t>P</w:t>
      </w:r>
      <w:r w:rsidR="00227514" w:rsidRPr="004350B5">
        <w:t>ress the delete button.</w:t>
      </w:r>
    </w:p>
    <w:p w14:paraId="2EC681E8" w14:textId="570C9028" w:rsidR="004C0234" w:rsidRPr="00124DB6" w:rsidRDefault="004C0234" w:rsidP="009C2696">
      <w:pPr>
        <w:ind w:left="426"/>
        <w:rPr>
          <w:b/>
          <w:bCs/>
        </w:rPr>
      </w:pPr>
      <w:r w:rsidRPr="00124DB6">
        <w:rPr>
          <w:b/>
          <w:bCs/>
        </w:rPr>
        <w:t>Length of storage</w:t>
      </w:r>
    </w:p>
    <w:p w14:paraId="5A0A20B5" w14:textId="3899F94F" w:rsidR="00A814F4" w:rsidRPr="001B509A" w:rsidRDefault="4426BDC7" w:rsidP="4426BDC7">
      <w:pPr>
        <w:ind w:left="426"/>
      </w:pPr>
      <w:r>
        <w:t xml:space="preserve">Recordings will be stored  until user deletion or for up to 21 days. Consultation recordings over 21 days old will be automatically deleted. </w:t>
      </w:r>
    </w:p>
    <w:p w14:paraId="273FA4F7" w14:textId="34B7C763" w:rsidR="00D82B20" w:rsidRPr="001B509A" w:rsidRDefault="009F7377" w:rsidP="00E30F22">
      <w:pPr>
        <w:ind w:left="426"/>
      </w:pPr>
      <w:r>
        <w:t xml:space="preserve">The anonymised consultation analysis data is retained. For </w:t>
      </w:r>
      <w:proofErr w:type="gramStart"/>
      <w:r>
        <w:t>example</w:t>
      </w:r>
      <w:proofErr w:type="gramEnd"/>
      <w:r>
        <w:t xml:space="preserve"> the traffic light ratings, the </w:t>
      </w:r>
      <w:r w:rsidR="00124DB6">
        <w:t>conversational balance metrics, the feedback suggestions for improvement.</w:t>
      </w:r>
    </w:p>
    <w:p w14:paraId="3A6C750C" w14:textId="77777777" w:rsidR="004078F6" w:rsidRPr="001B509A" w:rsidRDefault="004078F6" w:rsidP="00E30F22">
      <w:pPr>
        <w:ind w:left="426"/>
      </w:pPr>
    </w:p>
    <w:p w14:paraId="66F1DB64" w14:textId="585E2523" w:rsidR="00A06929" w:rsidRDefault="00A06929" w:rsidP="00A06929">
      <w:r>
        <w:br w:type="page"/>
      </w:r>
    </w:p>
    <w:p w14:paraId="3BFD8061" w14:textId="1EC20A02" w:rsidR="0050161F" w:rsidRDefault="0050161F" w:rsidP="00B442DC">
      <w:pPr>
        <w:pStyle w:val="Heading1"/>
      </w:pPr>
      <w:bookmarkStart w:id="11" w:name="_Toc117438550"/>
      <w:r w:rsidRPr="001B509A">
        <w:t>Appendices</w:t>
      </w:r>
      <w:bookmarkEnd w:id="11"/>
    </w:p>
    <w:p w14:paraId="4F77426A" w14:textId="77777777" w:rsidR="00A06929" w:rsidRDefault="00A06929" w:rsidP="00A06929"/>
    <w:p w14:paraId="7DCA11F8" w14:textId="7448638C" w:rsidR="00A06929" w:rsidRDefault="00DA516F" w:rsidP="002730DA">
      <w:pPr>
        <w:pStyle w:val="Heading2"/>
      </w:pPr>
      <w:r>
        <w:t>Messages for your</w:t>
      </w:r>
      <w:r w:rsidR="00E45E39">
        <w:t xml:space="preserve"> </w:t>
      </w:r>
      <w:r w:rsidR="006421DE">
        <w:t xml:space="preserve">Telephone </w:t>
      </w:r>
      <w:r>
        <w:t>S</w:t>
      </w:r>
      <w:r w:rsidR="006421DE">
        <w:t xml:space="preserve">ystem </w:t>
      </w:r>
    </w:p>
    <w:p w14:paraId="7102B01E" w14:textId="780A0D08" w:rsidR="006421DE" w:rsidRDefault="006421DE" w:rsidP="00A06929">
      <w:r>
        <w:t xml:space="preserve">The following message is an example of </w:t>
      </w:r>
      <w:r w:rsidR="00E45E39">
        <w:t>an automated message added to a practice telephone system to inform patients about telephone recording</w:t>
      </w:r>
    </w:p>
    <w:p w14:paraId="4E28E3A3" w14:textId="77777777" w:rsidR="00402CB0" w:rsidRDefault="00402CB0" w:rsidP="00A06929">
      <w:pPr>
        <w:rPr>
          <w:rStyle w:val="SubtitleChar"/>
          <w:i/>
          <w:iCs/>
        </w:rPr>
      </w:pPr>
      <w:r>
        <w:rPr>
          <w:rStyle w:val="SubtitleChar"/>
          <w:i/>
          <w:iCs/>
        </w:rPr>
        <w:t>“</w:t>
      </w:r>
      <w:r w:rsidR="002730DA" w:rsidRPr="00402CB0">
        <w:rPr>
          <w:rStyle w:val="SubtitleChar"/>
          <w:i/>
          <w:iCs/>
        </w:rPr>
        <w:t xml:space="preserve">Welcome to </w:t>
      </w:r>
      <w:r w:rsidRPr="00402CB0">
        <w:rPr>
          <w:rStyle w:val="SubtitleChar"/>
          <w:i/>
          <w:iCs/>
        </w:rPr>
        <w:t xml:space="preserve">xx surgery. </w:t>
      </w:r>
    </w:p>
    <w:p w14:paraId="7B2875E3" w14:textId="77777777" w:rsidR="00CA5DC0" w:rsidRDefault="003E1ACD" w:rsidP="00A06929">
      <w:pPr>
        <w:rPr>
          <w:rStyle w:val="SubtitleChar"/>
          <w:i/>
          <w:iCs/>
        </w:rPr>
      </w:pPr>
      <w:r w:rsidRPr="00402CB0">
        <w:rPr>
          <w:rStyle w:val="SubtitleChar"/>
          <w:i/>
          <w:iCs/>
        </w:rPr>
        <w:t>Please be aware that consultations may be recorded for training and quality purposes</w:t>
      </w:r>
      <w:r w:rsidR="00CA5DC0">
        <w:rPr>
          <w:rStyle w:val="SubtitleChar"/>
          <w:i/>
          <w:iCs/>
        </w:rPr>
        <w:t>.</w:t>
      </w:r>
    </w:p>
    <w:p w14:paraId="4F7B2D22" w14:textId="76F6B758" w:rsidR="003E1ACD" w:rsidRPr="00402CB0" w:rsidRDefault="0051140D" w:rsidP="00A06929">
      <w:pPr>
        <w:rPr>
          <w:i/>
          <w:iCs/>
          <w:sz w:val="32"/>
          <w:szCs w:val="32"/>
        </w:rPr>
      </w:pPr>
      <w:r>
        <w:rPr>
          <w:rStyle w:val="SubtitleChar"/>
          <w:i/>
          <w:iCs/>
        </w:rPr>
        <w:t>You can</w:t>
      </w:r>
      <w:r w:rsidR="003E1ACD" w:rsidRPr="00402CB0">
        <w:rPr>
          <w:rStyle w:val="SubtitleChar"/>
          <w:i/>
          <w:iCs/>
        </w:rPr>
        <w:t xml:space="preserve"> inform the surgery before, during or after an appointment if you do not wish to be recorded</w:t>
      </w:r>
      <w:r>
        <w:rPr>
          <w:rStyle w:val="SubtitleChar"/>
          <w:i/>
          <w:iCs/>
        </w:rPr>
        <w:t>”</w:t>
      </w:r>
    </w:p>
    <w:bookmarkEnd w:id="0"/>
    <w:p w14:paraId="5A1DC772" w14:textId="361ADCCF" w:rsidR="0051140D" w:rsidRDefault="0051140D"/>
    <w:p w14:paraId="6E8A2819" w14:textId="52E487A0" w:rsidR="00DA516F" w:rsidRDefault="00DA516F" w:rsidP="000A4AFE">
      <w:pPr>
        <w:pStyle w:val="Heading2"/>
      </w:pPr>
      <w:r>
        <w:t>Messages for your Reception Team</w:t>
      </w:r>
    </w:p>
    <w:p w14:paraId="52716D30" w14:textId="10F8FFA4" w:rsidR="00A8797F" w:rsidRDefault="00A8797F" w:rsidP="00A8797F">
      <w:pPr>
        <w:rPr>
          <w:rStyle w:val="SubtitleChar"/>
          <w:i/>
          <w:iCs/>
        </w:rPr>
      </w:pPr>
      <w:r>
        <w:rPr>
          <w:rStyle w:val="SubtitleChar"/>
          <w:i/>
          <w:iCs/>
        </w:rPr>
        <w:t xml:space="preserve">Your appointment is at xx pm. </w:t>
      </w:r>
      <w:r w:rsidRPr="00402CB0">
        <w:rPr>
          <w:rStyle w:val="SubtitleChar"/>
          <w:i/>
          <w:iCs/>
        </w:rPr>
        <w:t>Please be aware that consultations may be recorded for training and quality purposes</w:t>
      </w:r>
      <w:r>
        <w:rPr>
          <w:rStyle w:val="SubtitleChar"/>
          <w:i/>
          <w:iCs/>
        </w:rPr>
        <w:t>.</w:t>
      </w:r>
    </w:p>
    <w:p w14:paraId="64769FDB" w14:textId="02870571" w:rsidR="00A8797F" w:rsidRPr="00402CB0" w:rsidRDefault="00A8797F" w:rsidP="00A8797F">
      <w:pPr>
        <w:rPr>
          <w:i/>
          <w:iCs/>
          <w:sz w:val="32"/>
          <w:szCs w:val="32"/>
        </w:rPr>
      </w:pPr>
      <w:r>
        <w:rPr>
          <w:rStyle w:val="SubtitleChar"/>
          <w:i/>
          <w:iCs/>
        </w:rPr>
        <w:t>You can</w:t>
      </w:r>
      <w:r w:rsidRPr="00402CB0">
        <w:rPr>
          <w:rStyle w:val="SubtitleChar"/>
          <w:i/>
          <w:iCs/>
        </w:rPr>
        <w:t xml:space="preserve"> inform </w:t>
      </w:r>
      <w:r w:rsidR="00273549">
        <w:rPr>
          <w:rStyle w:val="SubtitleChar"/>
          <w:i/>
          <w:iCs/>
        </w:rPr>
        <w:t>us</w:t>
      </w:r>
      <w:r w:rsidRPr="00402CB0">
        <w:rPr>
          <w:rStyle w:val="SubtitleChar"/>
          <w:i/>
          <w:iCs/>
        </w:rPr>
        <w:t xml:space="preserve"> before, during or after an appointment if you do not wish to be recorded</w:t>
      </w:r>
      <w:r>
        <w:rPr>
          <w:rStyle w:val="SubtitleChar"/>
          <w:i/>
          <w:iCs/>
        </w:rPr>
        <w:t>”</w:t>
      </w:r>
    </w:p>
    <w:p w14:paraId="1B2ED1CD" w14:textId="10DEE7DB" w:rsidR="00DA516F" w:rsidRDefault="00DA516F"/>
    <w:p w14:paraId="0D1E5D91" w14:textId="538E833D" w:rsidR="00DA516F" w:rsidRDefault="000A4AFE" w:rsidP="000A0AB2">
      <w:pPr>
        <w:pStyle w:val="Heading2"/>
      </w:pPr>
      <w:r>
        <w:t>Posters for Reception</w:t>
      </w:r>
    </w:p>
    <w:p w14:paraId="430C98AD" w14:textId="71542338" w:rsidR="000A4AFE" w:rsidRDefault="000A0AB2">
      <w:r>
        <w:rPr>
          <w:noProof/>
        </w:rPr>
        <w:drawing>
          <wp:inline distT="0" distB="0" distL="0" distR="0" wp14:anchorId="43D81567" wp14:editId="4F53638D">
            <wp:extent cx="342496" cy="342496"/>
            <wp:effectExtent l="0" t="0" r="635" b="635"/>
            <wp:docPr id="11" name="Picture 11" descr="Download from cloud with solid fi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Download from cloud with solid fill">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4599" cy="344599"/>
                    </a:xfrm>
                    <a:prstGeom prst="rect">
                      <a:avLst/>
                    </a:prstGeom>
                  </pic:spPr>
                </pic:pic>
              </a:graphicData>
            </a:graphic>
          </wp:inline>
        </w:drawing>
      </w:r>
    </w:p>
    <w:p w14:paraId="35032BC2" w14:textId="77777777" w:rsidR="00812F91" w:rsidRDefault="00812F91"/>
    <w:p w14:paraId="631283B3" w14:textId="77777777" w:rsidR="00812F91" w:rsidRDefault="00812F91"/>
    <w:p w14:paraId="111292C0" w14:textId="7CD612A4" w:rsidR="00812F91" w:rsidRDefault="00812F91" w:rsidP="008A4922">
      <w:pPr>
        <w:pStyle w:val="Heading2"/>
      </w:pPr>
      <w:r>
        <w:t xml:space="preserve">Notices for the Doctor’s </w:t>
      </w:r>
      <w:r w:rsidR="00986328">
        <w:t>door</w:t>
      </w:r>
    </w:p>
    <w:p w14:paraId="24436C81" w14:textId="08D060A1" w:rsidR="008A4922" w:rsidRDefault="008B6585">
      <w:r>
        <w:rPr>
          <w:noProof/>
        </w:rPr>
        <w:drawing>
          <wp:inline distT="0" distB="0" distL="0" distR="0" wp14:anchorId="3D17BC95" wp14:editId="52AA6D87">
            <wp:extent cx="342496" cy="342496"/>
            <wp:effectExtent l="0" t="0" r="635" b="635"/>
            <wp:docPr id="4" name="Picture 4" descr="Download from cloud with solid fi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Download from cloud with solid fill">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4599" cy="344599"/>
                    </a:xfrm>
                    <a:prstGeom prst="rect">
                      <a:avLst/>
                    </a:prstGeom>
                  </pic:spPr>
                </pic:pic>
              </a:graphicData>
            </a:graphic>
          </wp:inline>
        </w:drawing>
      </w:r>
    </w:p>
    <w:p w14:paraId="2BB6985F" w14:textId="77777777" w:rsidR="00DA516F" w:rsidRDefault="00DA516F"/>
    <w:p w14:paraId="45FC783E" w14:textId="77777777" w:rsidR="0050161F" w:rsidRPr="001B509A" w:rsidRDefault="0050161F"/>
    <w:sectPr w:rsidR="0050161F" w:rsidRPr="001B50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2E0A" w14:textId="77777777" w:rsidR="00680E33" w:rsidRDefault="00680E33" w:rsidP="003478AF">
      <w:pPr>
        <w:spacing w:after="0" w:line="240" w:lineRule="auto"/>
      </w:pPr>
      <w:r>
        <w:separator/>
      </w:r>
    </w:p>
  </w:endnote>
  <w:endnote w:type="continuationSeparator" w:id="0">
    <w:p w14:paraId="4106EC52" w14:textId="77777777" w:rsidR="00680E33" w:rsidRDefault="00680E33" w:rsidP="003478AF">
      <w:pPr>
        <w:spacing w:after="0" w:line="240" w:lineRule="auto"/>
      </w:pPr>
      <w:r>
        <w:continuationSeparator/>
      </w:r>
    </w:p>
  </w:endnote>
  <w:endnote w:type="continuationNotice" w:id="1">
    <w:p w14:paraId="6B80480A" w14:textId="77777777" w:rsidR="00680E33" w:rsidRDefault="0068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A72C" w14:textId="77777777" w:rsidR="00313250" w:rsidRDefault="0031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484B" w14:textId="77777777" w:rsidR="00313250" w:rsidRDefault="00313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BC3B" w14:textId="77777777" w:rsidR="00313250" w:rsidRDefault="0031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5D3E" w14:textId="77777777" w:rsidR="00680E33" w:rsidRDefault="00680E33" w:rsidP="003478AF">
      <w:pPr>
        <w:spacing w:after="0" w:line="240" w:lineRule="auto"/>
      </w:pPr>
      <w:r>
        <w:separator/>
      </w:r>
    </w:p>
  </w:footnote>
  <w:footnote w:type="continuationSeparator" w:id="0">
    <w:p w14:paraId="10D9230D" w14:textId="77777777" w:rsidR="00680E33" w:rsidRDefault="00680E33" w:rsidP="003478AF">
      <w:pPr>
        <w:spacing w:after="0" w:line="240" w:lineRule="auto"/>
      </w:pPr>
      <w:r>
        <w:continuationSeparator/>
      </w:r>
    </w:p>
  </w:footnote>
  <w:footnote w:type="continuationNotice" w:id="1">
    <w:p w14:paraId="45803B1E" w14:textId="77777777" w:rsidR="00680E33" w:rsidRDefault="00680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437A" w14:textId="77777777" w:rsidR="00313250" w:rsidRDefault="00313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0BEE" w14:textId="77777777" w:rsidR="003478AF" w:rsidRPr="009C3F9C" w:rsidRDefault="00162F2E">
    <w:pPr>
      <w:pStyle w:val="Header"/>
      <w:rPr>
        <w:sz w:val="28"/>
        <w:szCs w:val="28"/>
        <w:lang w:val="en-US"/>
      </w:rPr>
    </w:pPr>
    <w:r w:rsidRPr="009C3F9C">
      <w:rPr>
        <w:sz w:val="28"/>
        <w:szCs w:val="28"/>
        <w:lang w:val="en-US"/>
      </w:rPr>
      <w:t>CLINITALK LTD</w:t>
    </w:r>
  </w:p>
  <w:p w14:paraId="74786B3F" w14:textId="77777777" w:rsidR="00162F2E" w:rsidRPr="009C3F9C" w:rsidRDefault="00162F2E">
    <w:pPr>
      <w:pStyle w:val="Header"/>
      <w:rPr>
        <w:b/>
        <w:bCs/>
        <w:sz w:val="16"/>
        <w:szCs w:val="16"/>
        <w:lang w:val="en-US"/>
      </w:rPr>
    </w:pPr>
    <w:r w:rsidRPr="009C3F9C">
      <w:rPr>
        <w:sz w:val="16"/>
        <w:szCs w:val="16"/>
        <w:lang w:val="en-US"/>
      </w:rPr>
      <w:t>Company number</w:t>
    </w:r>
    <w:r w:rsidR="00A074A3">
      <w:rPr>
        <w:sz w:val="16"/>
        <w:szCs w:val="16"/>
        <w:lang w:val="en-US"/>
      </w:rPr>
      <w:t>:</w:t>
    </w:r>
    <w:r w:rsidRPr="009C3F9C">
      <w:rPr>
        <w:sz w:val="16"/>
        <w:szCs w:val="16"/>
        <w:lang w:val="en-US"/>
      </w:rPr>
      <w:t xml:space="preserve"> </w:t>
    </w:r>
    <w:r w:rsidRPr="009C3F9C">
      <w:rPr>
        <w:b/>
        <w:bCs/>
        <w:sz w:val="16"/>
        <w:szCs w:val="16"/>
        <w:lang w:val="en-US"/>
      </w:rPr>
      <w:t>14071371</w:t>
    </w:r>
  </w:p>
  <w:p w14:paraId="4AB73C28" w14:textId="44DB739A" w:rsidR="001525A8" w:rsidRPr="00A074A3" w:rsidRDefault="001525A8">
    <w:pPr>
      <w:pStyle w:val="Header"/>
      <w:rPr>
        <w:sz w:val="16"/>
        <w:szCs w:val="16"/>
        <w:lang w:val="en-US"/>
      </w:rPr>
    </w:pPr>
    <w:r w:rsidRPr="00A074A3">
      <w:rPr>
        <w:sz w:val="16"/>
        <w:szCs w:val="16"/>
        <w:lang w:val="en-US"/>
      </w:rPr>
      <w:t xml:space="preserve">Document </w:t>
    </w:r>
    <w:r w:rsidR="009C3F9C" w:rsidRPr="00A074A3">
      <w:rPr>
        <w:sz w:val="16"/>
        <w:szCs w:val="16"/>
        <w:lang w:val="en-US"/>
      </w:rPr>
      <w:t>creation date</w:t>
    </w:r>
    <w:r w:rsidR="00A074A3">
      <w:rPr>
        <w:sz w:val="16"/>
        <w:szCs w:val="16"/>
        <w:lang w:val="en-US"/>
      </w:rPr>
      <w:t xml:space="preserve">: </w:t>
    </w:r>
    <w:r w:rsidR="00EE1E72">
      <w:rPr>
        <w:sz w:val="16"/>
        <w:szCs w:val="16"/>
        <w:lang w:val="en-US"/>
      </w:rPr>
      <w:t>2</w:t>
    </w:r>
    <w:r w:rsidR="0050161F">
      <w:rPr>
        <w:sz w:val="16"/>
        <w:szCs w:val="16"/>
        <w:lang w:val="en-US"/>
      </w:rPr>
      <w:t>3</w:t>
    </w:r>
    <w:r w:rsidR="00EE1E72">
      <w:rPr>
        <w:sz w:val="16"/>
        <w:szCs w:val="16"/>
        <w:lang w:val="en-US"/>
      </w:rPr>
      <w:t>/</w:t>
    </w:r>
    <w:r w:rsidR="0050161F">
      <w:rPr>
        <w:sz w:val="16"/>
        <w:szCs w:val="16"/>
        <w:lang w:val="en-US"/>
      </w:rPr>
      <w:t>10</w:t>
    </w:r>
    <w:r w:rsidR="00EE1E72">
      <w:rPr>
        <w:sz w:val="16"/>
        <w:szCs w:val="16"/>
        <w:lang w:val="en-US"/>
      </w:rPr>
      <w:t>/2022</w:t>
    </w:r>
  </w:p>
  <w:p w14:paraId="74E542E2" w14:textId="77777777" w:rsidR="009C3F9C" w:rsidRDefault="009C3F9C">
    <w:pPr>
      <w:pStyle w:val="Header"/>
      <w:rPr>
        <w:sz w:val="16"/>
        <w:szCs w:val="16"/>
        <w:lang w:val="en-US"/>
      </w:rPr>
    </w:pPr>
    <w:r w:rsidRPr="00A074A3">
      <w:rPr>
        <w:sz w:val="16"/>
        <w:szCs w:val="16"/>
        <w:lang w:val="en-US"/>
      </w:rPr>
      <w:t>Authors</w:t>
    </w:r>
    <w:r w:rsidR="00EE1E72">
      <w:rPr>
        <w:sz w:val="16"/>
        <w:szCs w:val="16"/>
        <w:lang w:val="en-US"/>
      </w:rPr>
      <w:t>: N.Boeckx</w:t>
    </w:r>
  </w:p>
  <w:p w14:paraId="1A43D802" w14:textId="77777777" w:rsidR="00EE1E72" w:rsidRPr="00A074A3" w:rsidRDefault="00EE1E72">
    <w:pPr>
      <w:pStyle w:val="Header"/>
      <w:rPr>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1EC7" w14:textId="77777777" w:rsidR="00313250" w:rsidRDefault="00313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C3069"/>
    <w:multiLevelType w:val="hybridMultilevel"/>
    <w:tmpl w:val="D33EA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C62B8"/>
    <w:multiLevelType w:val="hybridMultilevel"/>
    <w:tmpl w:val="DCE25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62D9C"/>
    <w:multiLevelType w:val="hybridMultilevel"/>
    <w:tmpl w:val="C540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93947">
    <w:abstractNumId w:val="2"/>
  </w:num>
  <w:num w:numId="2" w16cid:durableId="1140683318">
    <w:abstractNumId w:val="0"/>
  </w:num>
  <w:num w:numId="3" w16cid:durableId="134266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03"/>
    <w:rsid w:val="0000228A"/>
    <w:rsid w:val="000165C1"/>
    <w:rsid w:val="00041FA7"/>
    <w:rsid w:val="00051997"/>
    <w:rsid w:val="00063E99"/>
    <w:rsid w:val="00073BCD"/>
    <w:rsid w:val="00084A00"/>
    <w:rsid w:val="0009401C"/>
    <w:rsid w:val="000A0AB2"/>
    <w:rsid w:val="000A3622"/>
    <w:rsid w:val="000A4AFE"/>
    <w:rsid w:val="000B2018"/>
    <w:rsid w:val="000D55E3"/>
    <w:rsid w:val="000E6DB1"/>
    <w:rsid w:val="000F32AF"/>
    <w:rsid w:val="001111A8"/>
    <w:rsid w:val="00111FBF"/>
    <w:rsid w:val="0011302C"/>
    <w:rsid w:val="00124DB6"/>
    <w:rsid w:val="001422CA"/>
    <w:rsid w:val="00143278"/>
    <w:rsid w:val="00147513"/>
    <w:rsid w:val="001525A8"/>
    <w:rsid w:val="00162F2E"/>
    <w:rsid w:val="001812E0"/>
    <w:rsid w:val="00187C5B"/>
    <w:rsid w:val="00190E11"/>
    <w:rsid w:val="00195BBC"/>
    <w:rsid w:val="001B1500"/>
    <w:rsid w:val="001B509A"/>
    <w:rsid w:val="002019C8"/>
    <w:rsid w:val="00205781"/>
    <w:rsid w:val="00205832"/>
    <w:rsid w:val="00227514"/>
    <w:rsid w:val="00237B03"/>
    <w:rsid w:val="002468B7"/>
    <w:rsid w:val="002602C6"/>
    <w:rsid w:val="002730DA"/>
    <w:rsid w:val="00273549"/>
    <w:rsid w:val="00280710"/>
    <w:rsid w:val="00281B58"/>
    <w:rsid w:val="002C4A14"/>
    <w:rsid w:val="002E053A"/>
    <w:rsid w:val="002E7B18"/>
    <w:rsid w:val="002F4F6A"/>
    <w:rsid w:val="002F671F"/>
    <w:rsid w:val="00302638"/>
    <w:rsid w:val="00313250"/>
    <w:rsid w:val="00326703"/>
    <w:rsid w:val="0034577B"/>
    <w:rsid w:val="003478AF"/>
    <w:rsid w:val="00350E5B"/>
    <w:rsid w:val="0036358A"/>
    <w:rsid w:val="00364A63"/>
    <w:rsid w:val="003716E6"/>
    <w:rsid w:val="00375156"/>
    <w:rsid w:val="003752C1"/>
    <w:rsid w:val="003A0484"/>
    <w:rsid w:val="003E1ACD"/>
    <w:rsid w:val="003E4FD7"/>
    <w:rsid w:val="003E6904"/>
    <w:rsid w:val="003F1E36"/>
    <w:rsid w:val="003F2C40"/>
    <w:rsid w:val="003F554C"/>
    <w:rsid w:val="00402CB0"/>
    <w:rsid w:val="0040354D"/>
    <w:rsid w:val="004078F6"/>
    <w:rsid w:val="00413945"/>
    <w:rsid w:val="00416866"/>
    <w:rsid w:val="00433CE2"/>
    <w:rsid w:val="004350B5"/>
    <w:rsid w:val="004436D2"/>
    <w:rsid w:val="004573E4"/>
    <w:rsid w:val="00473087"/>
    <w:rsid w:val="0047636D"/>
    <w:rsid w:val="00480316"/>
    <w:rsid w:val="004948E0"/>
    <w:rsid w:val="004A0E43"/>
    <w:rsid w:val="004B66D3"/>
    <w:rsid w:val="004C0234"/>
    <w:rsid w:val="004C56F1"/>
    <w:rsid w:val="004E5545"/>
    <w:rsid w:val="0050161F"/>
    <w:rsid w:val="0050366B"/>
    <w:rsid w:val="0051140D"/>
    <w:rsid w:val="00512DD2"/>
    <w:rsid w:val="0052721C"/>
    <w:rsid w:val="00536A11"/>
    <w:rsid w:val="00540A4B"/>
    <w:rsid w:val="00547BB9"/>
    <w:rsid w:val="0056515B"/>
    <w:rsid w:val="00567E7D"/>
    <w:rsid w:val="00596B79"/>
    <w:rsid w:val="005A0A11"/>
    <w:rsid w:val="005C0B82"/>
    <w:rsid w:val="005C760C"/>
    <w:rsid w:val="005E56EB"/>
    <w:rsid w:val="006102D0"/>
    <w:rsid w:val="006161A0"/>
    <w:rsid w:val="00617B09"/>
    <w:rsid w:val="00622A12"/>
    <w:rsid w:val="006334C1"/>
    <w:rsid w:val="006421DE"/>
    <w:rsid w:val="0066606E"/>
    <w:rsid w:val="00672937"/>
    <w:rsid w:val="00680E33"/>
    <w:rsid w:val="006831D1"/>
    <w:rsid w:val="00687AC9"/>
    <w:rsid w:val="0069166B"/>
    <w:rsid w:val="006A1C69"/>
    <w:rsid w:val="006A386F"/>
    <w:rsid w:val="006C268D"/>
    <w:rsid w:val="006C56D1"/>
    <w:rsid w:val="006C7EFE"/>
    <w:rsid w:val="006E0F0B"/>
    <w:rsid w:val="006F348A"/>
    <w:rsid w:val="00733F1F"/>
    <w:rsid w:val="00745938"/>
    <w:rsid w:val="00770EC0"/>
    <w:rsid w:val="007747E7"/>
    <w:rsid w:val="007822F3"/>
    <w:rsid w:val="0079083B"/>
    <w:rsid w:val="00792FDB"/>
    <w:rsid w:val="00796A98"/>
    <w:rsid w:val="007A3F34"/>
    <w:rsid w:val="007C0BB8"/>
    <w:rsid w:val="007C19A1"/>
    <w:rsid w:val="007D4006"/>
    <w:rsid w:val="007F42A0"/>
    <w:rsid w:val="00812F91"/>
    <w:rsid w:val="00814F4A"/>
    <w:rsid w:val="00827DEA"/>
    <w:rsid w:val="00830FBC"/>
    <w:rsid w:val="008367EC"/>
    <w:rsid w:val="00837497"/>
    <w:rsid w:val="0084109E"/>
    <w:rsid w:val="008464E9"/>
    <w:rsid w:val="00846B3C"/>
    <w:rsid w:val="008617D8"/>
    <w:rsid w:val="00863E4E"/>
    <w:rsid w:val="008651E1"/>
    <w:rsid w:val="00866310"/>
    <w:rsid w:val="00867337"/>
    <w:rsid w:val="00891D5F"/>
    <w:rsid w:val="008A359E"/>
    <w:rsid w:val="008A4922"/>
    <w:rsid w:val="008B5B40"/>
    <w:rsid w:val="008B6585"/>
    <w:rsid w:val="008D2CAD"/>
    <w:rsid w:val="008F1E88"/>
    <w:rsid w:val="00910181"/>
    <w:rsid w:val="0091043B"/>
    <w:rsid w:val="00916726"/>
    <w:rsid w:val="0093002D"/>
    <w:rsid w:val="00934142"/>
    <w:rsid w:val="00941E5E"/>
    <w:rsid w:val="00941EEF"/>
    <w:rsid w:val="00960A48"/>
    <w:rsid w:val="009855AD"/>
    <w:rsid w:val="00986328"/>
    <w:rsid w:val="009C2696"/>
    <w:rsid w:val="009C3F9C"/>
    <w:rsid w:val="009F7377"/>
    <w:rsid w:val="00A06929"/>
    <w:rsid w:val="00A074A3"/>
    <w:rsid w:val="00A36D69"/>
    <w:rsid w:val="00A421A1"/>
    <w:rsid w:val="00A47F83"/>
    <w:rsid w:val="00A539F6"/>
    <w:rsid w:val="00A60035"/>
    <w:rsid w:val="00A701EE"/>
    <w:rsid w:val="00A814F4"/>
    <w:rsid w:val="00A8797F"/>
    <w:rsid w:val="00B221E8"/>
    <w:rsid w:val="00B42FDA"/>
    <w:rsid w:val="00B442DC"/>
    <w:rsid w:val="00B63C4A"/>
    <w:rsid w:val="00B67BBB"/>
    <w:rsid w:val="00B83D79"/>
    <w:rsid w:val="00B9038A"/>
    <w:rsid w:val="00B95462"/>
    <w:rsid w:val="00BA747C"/>
    <w:rsid w:val="00BB0A50"/>
    <w:rsid w:val="00BB1A71"/>
    <w:rsid w:val="00BB54DD"/>
    <w:rsid w:val="00BC4AAC"/>
    <w:rsid w:val="00C03169"/>
    <w:rsid w:val="00C361C6"/>
    <w:rsid w:val="00C431E6"/>
    <w:rsid w:val="00C92E6B"/>
    <w:rsid w:val="00CA5DC0"/>
    <w:rsid w:val="00CA67A9"/>
    <w:rsid w:val="00CB22A1"/>
    <w:rsid w:val="00CC577F"/>
    <w:rsid w:val="00CE62C4"/>
    <w:rsid w:val="00D02BBE"/>
    <w:rsid w:val="00D1186A"/>
    <w:rsid w:val="00D16F35"/>
    <w:rsid w:val="00D57F43"/>
    <w:rsid w:val="00D60B52"/>
    <w:rsid w:val="00D60DFA"/>
    <w:rsid w:val="00D63D6E"/>
    <w:rsid w:val="00D67AC9"/>
    <w:rsid w:val="00D75019"/>
    <w:rsid w:val="00D82B20"/>
    <w:rsid w:val="00D96AA0"/>
    <w:rsid w:val="00DA516F"/>
    <w:rsid w:val="00DA592D"/>
    <w:rsid w:val="00DB624A"/>
    <w:rsid w:val="00DD1669"/>
    <w:rsid w:val="00E00A97"/>
    <w:rsid w:val="00E03DE1"/>
    <w:rsid w:val="00E116BB"/>
    <w:rsid w:val="00E2061F"/>
    <w:rsid w:val="00E22F38"/>
    <w:rsid w:val="00E30F22"/>
    <w:rsid w:val="00E34BAD"/>
    <w:rsid w:val="00E45E39"/>
    <w:rsid w:val="00E66B96"/>
    <w:rsid w:val="00E85831"/>
    <w:rsid w:val="00E94142"/>
    <w:rsid w:val="00E9629B"/>
    <w:rsid w:val="00EA5B52"/>
    <w:rsid w:val="00EA6ECC"/>
    <w:rsid w:val="00EC1432"/>
    <w:rsid w:val="00ED09C3"/>
    <w:rsid w:val="00ED6859"/>
    <w:rsid w:val="00ED7B41"/>
    <w:rsid w:val="00EE1E72"/>
    <w:rsid w:val="00EE71F8"/>
    <w:rsid w:val="00EF13A5"/>
    <w:rsid w:val="00EF54B5"/>
    <w:rsid w:val="00F10211"/>
    <w:rsid w:val="00F11A62"/>
    <w:rsid w:val="00F16370"/>
    <w:rsid w:val="00F17D08"/>
    <w:rsid w:val="00F2564E"/>
    <w:rsid w:val="00F4355B"/>
    <w:rsid w:val="00F57CF0"/>
    <w:rsid w:val="00FA1426"/>
    <w:rsid w:val="00FB735E"/>
    <w:rsid w:val="00FC185F"/>
    <w:rsid w:val="00FF6CB7"/>
    <w:rsid w:val="4426BDC7"/>
    <w:rsid w:val="694BB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3B1B"/>
  <w15:chartTrackingRefBased/>
  <w15:docId w15:val="{61CE7FFD-81A9-40E3-A060-9DC0C24F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7F"/>
  </w:style>
  <w:style w:type="paragraph" w:styleId="Heading1">
    <w:name w:val="heading 1"/>
    <w:basedOn w:val="Normal"/>
    <w:next w:val="Normal"/>
    <w:link w:val="Heading1Char"/>
    <w:uiPriority w:val="9"/>
    <w:qFormat/>
    <w:rsid w:val="00B44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torialText">
    <w:name w:val="TutorialText"/>
    <w:basedOn w:val="Normal"/>
    <w:link w:val="TutorialTextChar"/>
    <w:qFormat/>
    <w:rsid w:val="00FF6CB7"/>
    <w:pPr>
      <w:spacing w:line="254" w:lineRule="auto"/>
    </w:pPr>
    <w:rPr>
      <w:rFonts w:ascii="Times New Roman" w:eastAsiaTheme="minorEastAsia" w:hAnsi="Times New Roman" w:cs="Times New Roman"/>
      <w:sz w:val="24"/>
      <w:szCs w:val="24"/>
    </w:rPr>
  </w:style>
  <w:style w:type="character" w:customStyle="1" w:styleId="TutorialTextChar">
    <w:name w:val="TutorialText Char"/>
    <w:basedOn w:val="DefaultParagraphFont"/>
    <w:link w:val="TutorialText"/>
    <w:locked/>
    <w:rsid w:val="00FF6CB7"/>
    <w:rPr>
      <w:rFonts w:ascii="Times New Roman" w:eastAsiaTheme="minorEastAsia" w:hAnsi="Times New Roman" w:cs="Times New Roman"/>
      <w:sz w:val="24"/>
      <w:szCs w:val="24"/>
    </w:rPr>
  </w:style>
  <w:style w:type="paragraph" w:customStyle="1" w:styleId="Tutorial-Body">
    <w:name w:val="Tutorial-Body"/>
    <w:basedOn w:val="Normal"/>
    <w:link w:val="Tutorial-BodyChar"/>
    <w:qFormat/>
    <w:rsid w:val="00536A11"/>
    <w:rPr>
      <w:sz w:val="28"/>
      <w:szCs w:val="28"/>
    </w:rPr>
  </w:style>
  <w:style w:type="character" w:customStyle="1" w:styleId="Tutorial-BodyChar">
    <w:name w:val="Tutorial-Body Char"/>
    <w:basedOn w:val="DefaultParagraphFont"/>
    <w:link w:val="Tutorial-Body"/>
    <w:rsid w:val="00536A11"/>
    <w:rPr>
      <w:sz w:val="28"/>
      <w:szCs w:val="28"/>
    </w:rPr>
  </w:style>
  <w:style w:type="paragraph" w:styleId="Header">
    <w:name w:val="header"/>
    <w:basedOn w:val="Normal"/>
    <w:link w:val="HeaderChar"/>
    <w:uiPriority w:val="99"/>
    <w:unhideWhenUsed/>
    <w:rsid w:val="00347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AF"/>
  </w:style>
  <w:style w:type="paragraph" w:styleId="Footer">
    <w:name w:val="footer"/>
    <w:basedOn w:val="Normal"/>
    <w:link w:val="FooterChar"/>
    <w:uiPriority w:val="99"/>
    <w:unhideWhenUsed/>
    <w:rsid w:val="00347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AF"/>
  </w:style>
  <w:style w:type="character" w:customStyle="1" w:styleId="Heading1Char">
    <w:name w:val="Heading 1 Char"/>
    <w:basedOn w:val="DefaultParagraphFont"/>
    <w:link w:val="Heading1"/>
    <w:uiPriority w:val="9"/>
    <w:rsid w:val="00B442D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42DC"/>
    <w:pPr>
      <w:ind w:left="720"/>
      <w:contextualSpacing/>
    </w:pPr>
  </w:style>
  <w:style w:type="character" w:customStyle="1" w:styleId="Heading2Char">
    <w:name w:val="Heading 2 Char"/>
    <w:basedOn w:val="DefaultParagraphFont"/>
    <w:link w:val="Heading2"/>
    <w:uiPriority w:val="9"/>
    <w:rsid w:val="0069166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B54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54DD"/>
    <w:rPr>
      <w:rFonts w:eastAsiaTheme="minorEastAsia"/>
      <w:color w:val="5A5A5A" w:themeColor="text1" w:themeTint="A5"/>
      <w:spacing w:val="15"/>
    </w:rPr>
  </w:style>
  <w:style w:type="paragraph" w:styleId="TOCHeading">
    <w:name w:val="TOC Heading"/>
    <w:basedOn w:val="Heading1"/>
    <w:next w:val="Normal"/>
    <w:uiPriority w:val="39"/>
    <w:unhideWhenUsed/>
    <w:qFormat/>
    <w:rsid w:val="00473087"/>
    <w:pPr>
      <w:outlineLvl w:val="9"/>
    </w:pPr>
    <w:rPr>
      <w:lang w:eastAsia="en-GB"/>
    </w:rPr>
  </w:style>
  <w:style w:type="paragraph" w:styleId="TOC1">
    <w:name w:val="toc 1"/>
    <w:basedOn w:val="Normal"/>
    <w:next w:val="Normal"/>
    <w:autoRedefine/>
    <w:uiPriority w:val="39"/>
    <w:unhideWhenUsed/>
    <w:rsid w:val="00473087"/>
    <w:pPr>
      <w:spacing w:after="100"/>
    </w:pPr>
  </w:style>
  <w:style w:type="paragraph" w:styleId="TOC2">
    <w:name w:val="toc 2"/>
    <w:basedOn w:val="Normal"/>
    <w:next w:val="Normal"/>
    <w:autoRedefine/>
    <w:uiPriority w:val="39"/>
    <w:unhideWhenUsed/>
    <w:rsid w:val="00473087"/>
    <w:pPr>
      <w:spacing w:after="100"/>
      <w:ind w:left="220"/>
    </w:pPr>
  </w:style>
  <w:style w:type="character" w:styleId="Hyperlink">
    <w:name w:val="Hyperlink"/>
    <w:basedOn w:val="DefaultParagraphFont"/>
    <w:uiPriority w:val="99"/>
    <w:unhideWhenUsed/>
    <w:rsid w:val="00473087"/>
    <w:rPr>
      <w:color w:val="0563C1" w:themeColor="hyperlink"/>
      <w:u w:val="single"/>
    </w:rPr>
  </w:style>
  <w:style w:type="paragraph" w:styleId="NoSpacing">
    <w:name w:val="No Spacing"/>
    <w:uiPriority w:val="1"/>
    <w:qFormat/>
    <w:rsid w:val="00281B58"/>
    <w:pPr>
      <w:spacing w:after="0" w:line="240" w:lineRule="auto"/>
    </w:pPr>
  </w:style>
  <w:style w:type="table" w:styleId="GridTable4-Accent1">
    <w:name w:val="Grid Table 4 Accent 1"/>
    <w:basedOn w:val="TableNormal"/>
    <w:uiPriority w:val="49"/>
    <w:rsid w:val="0052721C"/>
    <w:pPr>
      <w:spacing w:after="0" w:line="240" w:lineRule="auto"/>
    </w:pPr>
    <w:rPr>
      <w:kern w:val="2"/>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7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italk.co.uk/Recording_Resources/Consultation-Recording-Poste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9974-BB0B-4FCD-B8ED-8B658E1E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217</cp:revision>
  <dcterms:created xsi:type="dcterms:W3CDTF">2022-10-23T13:34:00Z</dcterms:created>
  <dcterms:modified xsi:type="dcterms:W3CDTF">2025-07-11T11:25:00Z</dcterms:modified>
</cp:coreProperties>
</file>