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0B4F7"/>
          <w:sz w:val="26"/>
        </w:rPr>
        <w:t>Free Download</w:t>
      </w:r>
    </w:p>
    <w:p>
      <w:pPr>
        <w:spacing w:after="160"/>
      </w:pPr>
      <w:r>
        <w:rPr>
          <w:b/>
          <w:color w:val="0F1525"/>
          <w:sz w:val="76"/>
        </w:rPr>
        <w:t>GDPR Checklist for Social Recruiting</w:t>
      </w:r>
    </w:p>
    <w:p>
      <w:pPr>
        <w:spacing w:after="360"/>
      </w:pPr>
      <w:r>
        <w:rPr>
          <w:color w:val="6B7280"/>
          <w:sz w:val="26"/>
        </w:rPr>
        <w:t>Pixel, lead forms, WhatsApp, retention, talent pool and ad law - point by point before a campaign goes live</w:t>
      </w:r>
    </w:p>
    <w:p>
      <w:pPr>
        <w:spacing w:after="120"/>
      </w:pPr>
      <w:r>
        <w:rPr>
          <w:i w:val="0"/>
          <w:color w:val="6B7280"/>
          <w:sz w:val="22"/>
        </w:rPr>
        <w:t>Not legal advice. This checklist orders the usual checks for a social recruiting campaign and names the relevant legal bases. It does not replace a review of your case or advice from your data protection officer or counsel. As of October 2026, focused on Germany and the EU. Laws and supervisory practice change, especially around AI and Meta.</w:t>
        <w:br/>
      </w:r>
    </w:p>
    <w:p>
      <w:pPr>
        <w:spacing w:before="480" w:after="120"/>
      </w:pPr>
      <w:r>
        <w:rPr>
          <w:b/>
          <w:color w:val="00B4F7"/>
          <w:sz w:val="30"/>
        </w:rPr>
        <w:t>How to use the list</w:t>
      </w:r>
    </w:p>
    <w:tbl>
      <w:tblPr>
        <w:tblW w:type="auto" w:w="0"/>
        <w:tblLook w:firstColumn="1" w:firstRow="1" w:lastColumn="0" w:lastRow="0" w:noHBand="0" w:noVBand="1" w:val="04A0"/>
      </w:tblPr>
      <w:tblGrid>
        <w:gridCol w:w="3249"/>
        <w:gridCol w:w="3249"/>
        <w:gridCol w:w="3249"/>
      </w:tblGrid>
      <w:tr>
        <w:tc>
          <w:tcPr>
            <w:tcW w:type="dxa" w:w="3249"/>
            <w:shd w:fill="F0FAFE" w:val="clear"/>
          </w:tcPr>
          <w:p>
            <w:r/>
            <w:r>
              <w:rPr>
                <w:b/>
                <w:color w:val="00B4F7"/>
                <w:sz w:val="44"/>
              </w:rPr>
              <w:t>01</w:t>
            </w:r>
          </w:p>
          <w:p>
            <w:r>
              <w:rPr>
                <w:b/>
                <w:color w:val="0F1525"/>
                <w:sz w:val="24"/>
              </w:rPr>
              <w:t>Before launch</w:t>
            </w:r>
          </w:p>
          <w:p>
            <w:r>
              <w:rPr>
                <w:color w:val="6B7280"/>
                <w:sz w:val="20"/>
              </w:rPr>
              <w:t>Work through all eight blocks and tick what you can prove. Open points get a name and a date in the last column.</w:t>
            </w:r>
          </w:p>
        </w:tc>
        <w:tc>
          <w:tcPr>
            <w:tcW w:type="dxa" w:w="3249"/>
            <w:shd w:fill="F0FAFE" w:val="clear"/>
          </w:tcPr>
          <w:p>
            <w:r/>
            <w:r>
              <w:rPr>
                <w:b/>
                <w:color w:val="00B4F7"/>
                <w:sz w:val="44"/>
              </w:rPr>
              <w:t>02</w:t>
            </w:r>
          </w:p>
          <w:p>
            <w:r>
              <w:rPr>
                <w:b/>
                <w:color w:val="0F1525"/>
                <w:sz w:val="24"/>
              </w:rPr>
              <w:t>Clarify with privacy counsel</w:t>
            </w:r>
          </w:p>
          <w:p>
            <w:r>
              <w:rPr>
                <w:color w:val="6B7280"/>
                <w:sz w:val="20"/>
              </w:rPr>
              <w:t>Anything you cannot evidence yourself belongs with your data protection officer or counsel. The legal basis column tells you what to ask about.</w:t>
            </w:r>
          </w:p>
        </w:tc>
        <w:tc>
          <w:tcPr>
            <w:tcW w:type="dxa" w:w="3249"/>
            <w:shd w:fill="F0FAFE" w:val="clear"/>
          </w:tcPr>
          <w:p>
            <w:r/>
            <w:r>
              <w:rPr>
                <w:b/>
                <w:color w:val="00B4F7"/>
                <w:sz w:val="44"/>
              </w:rPr>
              <w:t>03</w:t>
            </w:r>
          </w:p>
          <w:p>
            <w:r>
              <w:rPr>
                <w:b/>
                <w:color w:val="0F1525"/>
                <w:sz w:val="24"/>
              </w:rPr>
              <w:t>Review every 6 months</w:t>
            </w:r>
          </w:p>
          <w:p>
            <w:r>
              <w:rPr>
                <w:color w:val="6B7280"/>
                <w:sz w:val="20"/>
              </w:rPr>
              <w:t>Meta, WhatsApp and AI law keep moving. Set a review date and run the list again.</w:t>
            </w:r>
          </w:p>
        </w:tc>
      </w:tr>
    </w:tbl>
    <w:p>
      <w:r>
        <w:br w:type="page"/>
      </w:r>
    </w:p>
    <w:p>
      <w:pPr>
        <w:spacing w:before="480" w:after="120"/>
      </w:pPr>
      <w:r>
        <w:rPr>
          <w:b/>
          <w:color w:val="00B4F7"/>
          <w:sz w:val="30"/>
        </w:rPr>
        <w:t>1. Pixel, Conversions API and consent</w:t>
      </w:r>
    </w:p>
    <w:p>
      <w:pPr>
        <w:spacing w:after="120"/>
      </w:pPr>
      <w:r>
        <w:rPr>
          <w:i w:val="0"/>
          <w:color w:val="0F1525"/>
          <w:sz w:val="22"/>
        </w:rPr>
        <w:t>If you track career-site visitors with the Meta Pixel to measure applications or build audiences, you need valid consent before the pixel loads. That applies to the browser pixel and to access to the device itself, not only to the processing that follows.</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Pixel and tracking scripts load only after opt-in (consent banner with an equally easy reject button, no pre-ticked boxes).</w:t>
            </w:r>
          </w:p>
        </w:tc>
        <w:tc>
          <w:tcPr>
            <w:tcW w:type="dxa" w:w="3061"/>
          </w:tcPr>
          <w:p>
            <w:r/>
            <w:r>
              <w:rPr>
                <w:color w:val="0F1525"/>
                <w:sz w:val="20"/>
              </w:rPr>
              <w:t>Sec. 25(1) TDDDG; Art. 6(1)(a), Art. 7 GDPR; CJEU C-673/17 (Planet49)</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Consent is documented and can be withdrawn as easily as it was given.</w:t>
            </w:r>
          </w:p>
        </w:tc>
        <w:tc>
          <w:tcPr>
            <w:tcW w:type="dxa" w:w="3061"/>
          </w:tcPr>
          <w:p>
            <w:r/>
            <w:r>
              <w:rPr>
                <w:color w:val="0F1525"/>
                <w:sz w:val="20"/>
              </w:rPr>
              <w:t>Art. 7(1) and (3)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Conversions API (server-side) uses the same consent. Without opt-in, no visitor data is sent to Meta.</w:t>
            </w:r>
          </w:p>
        </w:tc>
        <w:tc>
          <w:tcPr>
            <w:tcW w:type="dxa" w:w="3061"/>
          </w:tcPr>
          <w:p>
            <w:r/>
            <w:r>
              <w:rPr>
                <w:color w:val="0F1525"/>
                <w:sz w:val="20"/>
              </w:rPr>
              <w:t>Art. 6(1)(a)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Joint controllership with Meta for collection and transmission is assessed and Meta's arrangement (Controller Addendum) is on file.</w:t>
            </w:r>
          </w:p>
        </w:tc>
        <w:tc>
          <w:tcPr>
            <w:tcW w:type="dxa" w:w="3061"/>
          </w:tcPr>
          <w:p>
            <w:r/>
            <w:r>
              <w:rPr>
                <w:color w:val="0F1525"/>
                <w:sz w:val="20"/>
              </w:rPr>
              <w:t>Art. 26 GDPR; CJEU C-40/17 (Fashion ID)</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privacy notice describes the pixel, purpose, recipients (Meta), third-country transfer and withdrawal.</w:t>
            </w:r>
          </w:p>
        </w:tc>
        <w:tc>
          <w:tcPr>
            <w:tcW w:type="dxa" w:w="3061"/>
          </w:tcPr>
          <w:p>
            <w:r/>
            <w:r>
              <w:rPr>
                <w:color w:val="0F1525"/>
                <w:sz w:val="20"/>
              </w:rPr>
              <w:t>Art. 13(1)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Transfers to the US rely on a valid mechanism (adequacy decision under the EU-US Data Privacy Framework for a certified recipient, or standard contractual clauses).</w:t>
            </w:r>
          </w:p>
        </w:tc>
        <w:tc>
          <w:tcPr>
            <w:tcW w:type="dxa" w:w="3061"/>
          </w:tcPr>
          <w:p>
            <w:r/>
            <w:r>
              <w:rPr>
                <w:color w:val="0F1525"/>
                <w:sz w:val="20"/>
              </w:rPr>
              <w:t>Art. 44 ff. GDPR</w:t>
            </w:r>
          </w:p>
        </w:tc>
        <w:tc>
          <w:tcPr>
            <w:tcW w:type="dxa" w:w="1814"/>
          </w:tcPr>
          <w:p>
            <w:r/>
            <w:r>
              <w:rPr>
                <w:color w:val="0F1525"/>
                <w:sz w:val="20"/>
              </w:rPr>
            </w:r>
          </w:p>
        </w:tc>
      </w:tr>
    </w:tbl>
    <w:p>
      <w:pPr>
        <w:spacing w:after="40"/>
      </w:pPr>
    </w:p>
    <w:p>
      <w:pPr>
        <w:spacing w:before="480" w:after="120"/>
      </w:pPr>
      <w:r>
        <w:rPr>
          <w:b/>
          <w:color w:val="00B4F7"/>
          <w:sz w:val="30"/>
        </w:rPr>
        <w:t>2. Lead forms (instant forms)</w:t>
      </w:r>
    </w:p>
    <w:p>
      <w:pPr>
        <w:spacing w:after="120"/>
      </w:pPr>
      <w:r>
        <w:rPr>
          <w:i w:val="0"/>
          <w:color w:val="0F1525"/>
          <w:sz w:val="22"/>
        </w:rPr>
        <w:t>A lead form collects applicant data before the person has seen your website. Information and data minimisation therefore have to sit in the form itself.</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The form links your applicant privacy notice (not only the general one) and names the controller, purpose and retention period.</w:t>
            </w:r>
          </w:p>
        </w:tc>
        <w:tc>
          <w:tcPr>
            <w:tcW w:type="dxa" w:w="3061"/>
          </w:tcPr>
          <w:p>
            <w:r/>
            <w:r>
              <w:rPr>
                <w:color w:val="0F1525"/>
                <w:sz w:val="20"/>
              </w:rPr>
              <w:t>Art. 13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Only data needed for first qualification is requested (name, contact route, location or region, qualification). No photos, birth dates or questions on health, religion or origin.</w:t>
            </w:r>
          </w:p>
        </w:tc>
        <w:tc>
          <w:tcPr>
            <w:tcW w:type="dxa" w:w="3061"/>
          </w:tcPr>
          <w:p>
            <w:r/>
            <w:r>
              <w:rPr>
                <w:color w:val="0F1525"/>
                <w:sz w:val="20"/>
              </w:rPr>
              <w:t>Art. 5(1)(c), Art. 9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legal basis for the application process is fixed and recorded in the record of processing activities.</w:t>
            </w:r>
          </w:p>
        </w:tc>
        <w:tc>
          <w:tcPr>
            <w:tcW w:type="dxa" w:w="3061"/>
          </w:tcPr>
          <w:p>
            <w:r/>
            <w:r>
              <w:rPr>
                <w:color w:val="0F1525"/>
                <w:sz w:val="20"/>
              </w:rPr>
              <w:t>Art. 6(1)(b) GDPR; Sec. 26 BDSG (applicability disputed after CJEU C-34/21, cite Art. 6 in parallel); Art. 30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Additional purposes (newsletter, talent pool, sharing with third parties) are separate, unticked consents.</w:t>
            </w:r>
          </w:p>
        </w:tc>
        <w:tc>
          <w:tcPr>
            <w:tcW w:type="dxa" w:w="3061"/>
          </w:tcPr>
          <w:p>
            <w:r/>
            <w:r>
              <w:rPr>
                <w:color w:val="0F1525"/>
                <w:sz w:val="20"/>
              </w:rPr>
              <w:t>Art. 7(2)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Meta's role for lead data (processor or own controller) is checked against Meta's current terms and documented.</w:t>
            </w:r>
          </w:p>
        </w:tc>
        <w:tc>
          <w:tcPr>
            <w:tcW w:type="dxa" w:w="3061"/>
          </w:tcPr>
          <w:p>
            <w:r/>
            <w:r>
              <w:rPr>
                <w:color w:val="0F1525"/>
                <w:sz w:val="20"/>
              </w:rPr>
              <w:t>Art. 24, 26, 28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Retrieving leads from Meta into your system is secured (access rights, encryption, no forwarding through private mailboxes).</w:t>
            </w:r>
          </w:p>
        </w:tc>
        <w:tc>
          <w:tcPr>
            <w:tcW w:type="dxa" w:w="3061"/>
          </w:tcPr>
          <w:p>
            <w:r/>
            <w:r>
              <w:rPr>
                <w:color w:val="0F1525"/>
                <w:sz w:val="20"/>
              </w:rPr>
              <w:t>Art. 32 GDPR</w:t>
            </w:r>
          </w:p>
        </w:tc>
        <w:tc>
          <w:tcPr>
            <w:tcW w:type="dxa" w:w="1814"/>
          </w:tcPr>
          <w:p>
            <w:r/>
            <w:r>
              <w:rPr>
                <w:color w:val="0F1525"/>
                <w:sz w:val="20"/>
              </w:rPr>
            </w:r>
          </w:p>
        </w:tc>
      </w:tr>
    </w:tbl>
    <w:p>
      <w:pPr>
        <w:spacing w:after="40"/>
      </w:pPr>
    </w:p>
    <w:p>
      <w:r>
        <w:br w:type="page"/>
      </w:r>
    </w:p>
    <w:p>
      <w:pPr>
        <w:spacing w:before="480" w:after="120"/>
      </w:pPr>
      <w:r>
        <w:rPr>
          <w:b/>
          <w:color w:val="00B4F7"/>
          <w:sz w:val="30"/>
        </w:rPr>
        <w:t>3. WhatsApp: Business App or Business Platform (API)?</w:t>
      </w:r>
    </w:p>
    <w:p>
      <w:pPr>
        <w:spacing w:after="120"/>
      </w:pPr>
      <w:r>
        <w:rPr>
          <w:i w:val="0"/>
          <w:color w:val="0F1525"/>
          <w:sz w:val="22"/>
        </w:rPr>
        <w:t>The difference matters under data protection law. The Business App matches contacts from the device address book with WhatsApp. The Business Platform (API) runs through a provider and allows controlled use with a processing agreement.</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Applicant communication runs on the Business Platform (API) through a provider, not on a private or app account with address-book matching.</w:t>
            </w:r>
          </w:p>
        </w:tc>
        <w:tc>
          <w:tcPr>
            <w:tcW w:type="dxa" w:w="3061"/>
          </w:tcPr>
          <w:p>
            <w:r/>
            <w:r>
              <w:rPr>
                <w:color w:val="0F1525"/>
                <w:sz w:val="20"/>
              </w:rPr>
              <w:t>Art. 5(1)(c), Art. 25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 data processing agreement exists with the platform provider (Business Solution Provider); sub-processors and server locations are known.</w:t>
            </w:r>
          </w:p>
        </w:tc>
        <w:tc>
          <w:tcPr>
            <w:tcW w:type="dxa" w:w="3061"/>
          </w:tcPr>
          <w:p>
            <w:r/>
            <w:r>
              <w:rPr>
                <w:color w:val="0F1525"/>
                <w:sz w:val="20"/>
              </w:rPr>
              <w:t>Art. 28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First contact comes from the applicant (click on a WhatsApp button) or a documented opt-in exists. No promotional messages without consent.</w:t>
            </w:r>
          </w:p>
        </w:tc>
        <w:tc>
          <w:tcPr>
            <w:tcW w:type="dxa" w:w="3061"/>
          </w:tcPr>
          <w:p>
            <w:r/>
            <w:r>
              <w:rPr>
                <w:color w:val="0F1525"/>
                <w:sz w:val="20"/>
              </w:rPr>
              <w:t>Art. 6(1)(a), (b) GDPR; Sec. 7(2) no. 3 UWG; WhatsApp terms</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Applicants are informed before the conversation (controller, purpose, retention, privacy notice linked).</w:t>
            </w:r>
          </w:p>
        </w:tc>
        <w:tc>
          <w:tcPr>
            <w:tcW w:type="dxa" w:w="3061"/>
          </w:tcPr>
          <w:p>
            <w:r/>
            <w:r>
              <w:rPr>
                <w:color w:val="0F1525"/>
                <w:sz w:val="20"/>
              </w:rPr>
              <w:t>Art. 13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If an AI assistant continues the conversation, it is disclosed that the applicant is talking to an AI system.</w:t>
            </w:r>
          </w:p>
        </w:tc>
        <w:tc>
          <w:tcPr>
            <w:tcW w:type="dxa" w:w="3061"/>
          </w:tcPr>
          <w:p>
            <w:r/>
            <w:r>
              <w:rPr>
                <w:color w:val="0F1525"/>
                <w:sz w:val="20"/>
              </w:rPr>
              <w:t>Art. 50(1) EU AI Act (applies from 2 August 2026)</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Rejections and pre-selection are not decided by automation alone. A person reviews and owns the decision.</w:t>
            </w:r>
          </w:p>
        </w:tc>
        <w:tc>
          <w:tcPr>
            <w:tcW w:type="dxa" w:w="3061"/>
          </w:tcPr>
          <w:p>
            <w:r/>
            <w:r>
              <w:rPr>
                <w:color w:val="0F1525"/>
                <w:sz w:val="20"/>
              </w:rPr>
              <w:t>Art. 22 GDPR</w:t>
            </w:r>
          </w:p>
        </w:tc>
        <w:tc>
          <w:tcPr>
            <w:tcW w:type="dxa" w:w="1814"/>
          </w:tcPr>
          <w:p>
            <w:r/>
            <w:r>
              <w:rPr>
                <w:color w:val="0F1525"/>
                <w:sz w:val="20"/>
              </w:rPr>
            </w:r>
          </w:p>
        </w:tc>
      </w:tr>
    </w:tbl>
    <w:p>
      <w:pPr>
        <w:spacing w:after="40"/>
      </w:pPr>
    </w:p>
    <w:p>
      <w:pPr>
        <w:spacing w:before="480" w:after="120"/>
      </w:pPr>
      <w:r>
        <w:rPr>
          <w:b/>
          <w:color w:val="00B4F7"/>
          <w:sz w:val="30"/>
        </w:rPr>
        <w:t>4. Processing agreements and service providers</w:t>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Every provider that handles applicant data (agency, talent pool software, ATS, WhatsApp provider) has a signed processing agreement.</w:t>
            </w:r>
          </w:p>
        </w:tc>
        <w:tc>
          <w:tcPr>
            <w:tcW w:type="dxa" w:w="3061"/>
          </w:tcPr>
          <w:p>
            <w:r/>
            <w:r>
              <w:rPr>
                <w:color w:val="0F1525"/>
                <w:sz w:val="20"/>
              </w:rPr>
              <w:t>Art. 28(3)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agreement covers instructions, confidentiality, technical and organisational measures, sub-processors, deletion at contract end and audit rights.</w:t>
            </w:r>
          </w:p>
        </w:tc>
        <w:tc>
          <w:tcPr>
            <w:tcW w:type="dxa" w:w="3061"/>
          </w:tcPr>
          <w:p>
            <w:r/>
            <w:r>
              <w:rPr>
                <w:color w:val="0F1525"/>
                <w:sz w:val="20"/>
              </w:rPr>
              <w:t>Art. 28(3)(a)-(h)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An agency that runs the ads and retrieves leads acts as a processor and not as its own controller. The split of roles is in the contract.</w:t>
            </w:r>
          </w:p>
        </w:tc>
        <w:tc>
          <w:tcPr>
            <w:tcW w:type="dxa" w:w="3061"/>
          </w:tcPr>
          <w:p>
            <w:r/>
            <w:r>
              <w:rPr>
                <w:color w:val="0F1525"/>
                <w:sz w:val="20"/>
              </w:rPr>
              <w:t>Art. 4(7), (8), Art. 26, 28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Third-country transfers by providers are recorded and secured.</w:t>
            </w:r>
          </w:p>
        </w:tc>
        <w:tc>
          <w:tcPr>
            <w:tcW w:type="dxa" w:w="3061"/>
          </w:tcPr>
          <w:p>
            <w:r/>
            <w:r>
              <w:rPr>
                <w:color w:val="0F1525"/>
                <w:sz w:val="20"/>
              </w:rPr>
              <w:t>Art. 44 ff.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record of processing activities includes the social recruiting processing. For AI-supported pre-selection, a data protection impact assessment has been considered.</w:t>
            </w:r>
          </w:p>
        </w:tc>
        <w:tc>
          <w:tcPr>
            <w:tcW w:type="dxa" w:w="3061"/>
          </w:tcPr>
          <w:p>
            <w:r/>
            <w:r>
              <w:rPr>
                <w:color w:val="0F1525"/>
                <w:sz w:val="20"/>
              </w:rPr>
              <w:t>Art. 30, Art. 35 GDPR</w:t>
            </w:r>
          </w:p>
        </w:tc>
        <w:tc>
          <w:tcPr>
            <w:tcW w:type="dxa" w:w="1814"/>
          </w:tcPr>
          <w:p>
            <w:r/>
            <w:r>
              <w:rPr>
                <w:color w:val="0F1525"/>
                <w:sz w:val="20"/>
              </w:rPr>
            </w:r>
          </w:p>
        </w:tc>
      </w:tr>
    </w:tbl>
    <w:p>
      <w:pPr>
        <w:spacing w:after="40"/>
      </w:pPr>
    </w:p>
    <w:p>
      <w:r>
        <w:br w:type="page"/>
      </w:r>
    </w:p>
    <w:p>
      <w:pPr>
        <w:spacing w:before="480" w:after="120"/>
      </w:pPr>
      <w:r>
        <w:rPr>
          <w:b/>
          <w:color w:val="00B4F7"/>
          <w:sz w:val="30"/>
        </w:rPr>
        <w:t>5. Retention periods and deletion concept</w:t>
      </w:r>
    </w:p>
    <w:p>
      <w:pPr>
        <w:spacing w:after="120"/>
      </w:pPr>
      <w:r>
        <w:rPr>
          <w:i w:val="0"/>
          <w:color w:val="0F1525"/>
          <w:sz w:val="22"/>
        </w:rPr>
        <w:t>The law sets no fixed period for applicant data. Common practice is deletion six months after the process closes, aligned with the deadlines for claims under the German General Equal Treatment Act (AGG). That is a practice value, not statutory text.</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A documented period exists for rejected applications (six months after rejection is common) and a process that enforces it.</w:t>
            </w:r>
          </w:p>
        </w:tc>
        <w:tc>
          <w:tcPr>
            <w:tcW w:type="dxa" w:w="3061"/>
          </w:tcPr>
          <w:p>
            <w:r/>
            <w:r>
              <w:rPr>
                <w:color w:val="0F1525"/>
                <w:sz w:val="20"/>
              </w:rPr>
              <w:t>Art. 5(1)(e), Art. 17 GDPR; Sec. 15(4) AGG; Sec. 61b ArbGG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Raw data from lead forms and chat histories is deleted where no longer needed once imported into your system. Retention at Meta is checked (look up the current state at Meta).</w:t>
            </w:r>
          </w:p>
        </w:tc>
        <w:tc>
          <w:tcPr>
            <w:tcW w:type="dxa" w:w="3061"/>
          </w:tcPr>
          <w:p>
            <w:r/>
            <w:r>
              <w:rPr>
                <w:color w:val="0F1525"/>
                <w:sz w:val="20"/>
              </w:rPr>
              <w:t>Art. 5(1)(c), (e)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Hired applicants: documents move to the personnel file, the rest is deleted.</w:t>
            </w:r>
          </w:p>
        </w:tc>
        <w:tc>
          <w:tcPr>
            <w:tcW w:type="dxa" w:w="3061"/>
          </w:tcPr>
          <w:p>
            <w:r/>
            <w:r>
              <w:rPr>
                <w:color w:val="0F1525"/>
                <w:sz w:val="20"/>
              </w:rPr>
              <w:t>Art. 6(1)(b) GDPR; Sec. 26 BDSG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Deletions are provable (log or automatic deletion rule).</w:t>
            </w:r>
          </w:p>
        </w:tc>
        <w:tc>
          <w:tcPr>
            <w:tcW w:type="dxa" w:w="3061"/>
          </w:tcPr>
          <w:p>
            <w:r/>
            <w:r>
              <w:rPr>
                <w:color w:val="0F1525"/>
                <w:sz w:val="20"/>
              </w:rPr>
              <w:t>Art. 5(2)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Access and deletion requests from applicants can be answered within one month, including data in chats and forms.</w:t>
            </w:r>
          </w:p>
        </w:tc>
        <w:tc>
          <w:tcPr>
            <w:tcW w:type="dxa" w:w="3061"/>
          </w:tcPr>
          <w:p>
            <w:r/>
            <w:r>
              <w:rPr>
                <w:color w:val="0F1525"/>
                <w:sz w:val="20"/>
              </w:rPr>
              <w:t>Art. 12(3), Art. 15, Art. 17 GDPR</w:t>
            </w:r>
          </w:p>
        </w:tc>
        <w:tc>
          <w:tcPr>
            <w:tcW w:type="dxa" w:w="1814"/>
          </w:tcPr>
          <w:p>
            <w:r/>
            <w:r>
              <w:rPr>
                <w:color w:val="0F1525"/>
                <w:sz w:val="20"/>
              </w:rPr>
            </w:r>
          </w:p>
        </w:tc>
      </w:tr>
    </w:tbl>
    <w:p>
      <w:pPr>
        <w:spacing w:after="40"/>
      </w:pPr>
    </w:p>
    <w:p>
      <w:pPr>
        <w:spacing w:before="480" w:after="120"/>
      </w:pPr>
      <w:r>
        <w:rPr>
          <w:b/>
          <w:color w:val="00B4F7"/>
          <w:sz w:val="30"/>
        </w:rPr>
        <w:t>6. Talent pool and consent</w:t>
      </w:r>
    </w:p>
    <w:p>
      <w:pPr>
        <w:spacing w:after="120"/>
      </w:pPr>
      <w:r>
        <w:rPr>
          <w:i w:val="0"/>
          <w:color w:val="0F1525"/>
          <w:sz w:val="22"/>
        </w:rPr>
        <w:t>Keeping applicant data beyond the current vacancy usually needs its own consent. It must be voluntary, informed and separate from the application.</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Joining the talent pool is a separate, voluntary step. Declining does not disadvantage the person in the application process.</w:t>
            </w:r>
          </w:p>
        </w:tc>
        <w:tc>
          <w:tcPr>
            <w:tcW w:type="dxa" w:w="3061"/>
          </w:tcPr>
          <w:p>
            <w:r/>
            <w:r>
              <w:rPr>
                <w:color w:val="0F1525"/>
                <w:sz w:val="20"/>
              </w:rPr>
              <w:t>Art. 6(1)(a), Art. 7(4)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consent text names purpose, duration, type of contact and how to withdraw.</w:t>
            </w:r>
          </w:p>
        </w:tc>
        <w:tc>
          <w:tcPr>
            <w:tcW w:type="dxa" w:w="3061"/>
          </w:tcPr>
          <w:p>
            <w:r/>
            <w:r>
              <w:rPr>
                <w:color w:val="0F1525"/>
                <w:sz w:val="20"/>
              </w:rPr>
              <w:t>Art. 7(2), Art. 13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Duration is limited (in practice mostly 12 to 24 months, no statutory value exists) and consent is renewed or the data deleted before it ends.</w:t>
            </w:r>
          </w:p>
        </w:tc>
        <w:tc>
          <w:tcPr>
            <w:tcW w:type="dxa" w:w="3061"/>
          </w:tcPr>
          <w:p>
            <w:r/>
            <w:r>
              <w:rPr>
                <w:color w:val="0F1525"/>
                <w:sz w:val="20"/>
              </w:rPr>
              <w:t>Art. 5(1)(e)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Consent and timestamp are stored per person and provable.</w:t>
            </w:r>
          </w:p>
        </w:tc>
        <w:tc>
          <w:tcPr>
            <w:tcW w:type="dxa" w:w="3061"/>
          </w:tcPr>
          <w:p>
            <w:r/>
            <w:r>
              <w:rPr>
                <w:color w:val="0F1525"/>
                <w:sz w:val="20"/>
              </w:rPr>
              <w:t>Art. 7(1)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 withdrawal provably removes the person from the pool and from all outreach lists.</w:t>
            </w:r>
          </w:p>
        </w:tc>
        <w:tc>
          <w:tcPr>
            <w:tcW w:type="dxa" w:w="3061"/>
          </w:tcPr>
          <w:p>
            <w:r/>
            <w:r>
              <w:rPr>
                <w:color w:val="0F1525"/>
                <w:sz w:val="20"/>
              </w:rPr>
              <w:t>Art. 7(3), Art. 17(1)(b) GDPR</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Outreach from the pool by email or messenger uses a channel for which consent exists.</w:t>
            </w:r>
          </w:p>
        </w:tc>
        <w:tc>
          <w:tcPr>
            <w:tcW w:type="dxa" w:w="3061"/>
          </w:tcPr>
          <w:p>
            <w:r/>
            <w:r>
              <w:rPr>
                <w:color w:val="0F1525"/>
                <w:sz w:val="20"/>
              </w:rPr>
              <w:t>Sec. 7 UWG; Sec. 25 TDDDG</w:t>
            </w:r>
          </w:p>
        </w:tc>
        <w:tc>
          <w:tcPr>
            <w:tcW w:type="dxa" w:w="1814"/>
          </w:tcPr>
          <w:p>
            <w:r/>
            <w:r>
              <w:rPr>
                <w:color w:val="0F1525"/>
                <w:sz w:val="20"/>
              </w:rPr>
            </w:r>
          </w:p>
        </w:tc>
      </w:tr>
    </w:tbl>
    <w:p>
      <w:pPr>
        <w:spacing w:after="40"/>
      </w:pPr>
    </w:p>
    <w:p>
      <w:r>
        <w:br w:type="page"/>
      </w:r>
    </w:p>
    <w:p>
      <w:pPr>
        <w:spacing w:before="480" w:after="120"/>
      </w:pPr>
      <w:r>
        <w:rPr>
          <w:b/>
          <w:color w:val="00B4F7"/>
          <w:sz w:val="30"/>
        </w:rPr>
        <w:t>7. AGG-compliant ads and targeting</w:t>
      </w:r>
    </w:p>
    <w:p>
      <w:pPr>
        <w:spacing w:after="120"/>
      </w:pPr>
      <w:r>
        <w:rPr>
          <w:i w:val="0"/>
          <w:color w:val="0F1525"/>
          <w:sz w:val="22"/>
        </w:rPr>
        <w:t>A job ad must not disadvantage anyone because of a protected characteristic. That applies to text, image and audience selection. A breach is an indication of discrimination and can lead to compensation.</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Ad copy is neutral and the role is advertised gender-neutrally (m/f/d).</w:t>
            </w:r>
          </w:p>
        </w:tc>
        <w:tc>
          <w:tcPr>
            <w:tcW w:type="dxa" w:w="3061"/>
          </w:tcPr>
          <w:p>
            <w:r/>
            <w:r>
              <w:rPr>
                <w:color w:val="0F1525"/>
                <w:sz w:val="20"/>
              </w:rPr>
              <w:t>Sec. 11, 1, 7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No wording that hints at age, origin or disability ("young team", "native speaker", "resilient, in your prime"). Language requirements are stated as a level.</w:t>
            </w:r>
          </w:p>
        </w:tc>
        <w:tc>
          <w:tcPr>
            <w:tcW w:type="dxa" w:w="3061"/>
          </w:tcPr>
          <w:p>
            <w:r/>
            <w:r>
              <w:rPr>
                <w:color w:val="0F1525"/>
                <w:sz w:val="20"/>
              </w:rPr>
              <w:t>Sec. 1, 3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Images and video show different people and no role stereotypes.</w:t>
            </w:r>
          </w:p>
        </w:tc>
        <w:tc>
          <w:tcPr>
            <w:tcW w:type="dxa" w:w="3061"/>
          </w:tcPr>
          <w:p>
            <w:r/>
            <w:r>
              <w:rPr>
                <w:color w:val="0F1525"/>
                <w:sz w:val="20"/>
              </w:rPr>
              <w:t>Sec. 1, 7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audience is not narrowed by age or gender unless the role exceptionally justifies it. Legally contested, but an indication under Sec. 22 AGG is possible.</w:t>
            </w:r>
          </w:p>
        </w:tc>
        <w:tc>
          <w:tcPr>
            <w:tcW w:type="dxa" w:w="3061"/>
          </w:tcPr>
          <w:p>
            <w:r/>
            <w:r>
              <w:rPr>
                <w:color w:val="0F1525"/>
                <w:sz w:val="20"/>
              </w:rPr>
              <w:t>Sec. 22, 8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 person can show which criteria applicants were selected on. That lowers the risk of a compensation claim of up to three monthly salaries.</w:t>
            </w:r>
          </w:p>
        </w:tc>
        <w:tc>
          <w:tcPr>
            <w:tcW w:type="dxa" w:w="3061"/>
          </w:tcPr>
          <w:p>
            <w:r/>
            <w:r>
              <w:rPr>
                <w:color w:val="0F1525"/>
                <w:sz w:val="20"/>
              </w:rPr>
              <w:t>Sec. 15(2)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Claim deadlines (two months after receipt of the rejection) are reflected in the deletion concept.</w:t>
            </w:r>
          </w:p>
        </w:tc>
        <w:tc>
          <w:tcPr>
            <w:tcW w:type="dxa" w:w="3061"/>
          </w:tcPr>
          <w:p>
            <w:r/>
            <w:r>
              <w:rPr>
                <w:color w:val="0F1525"/>
                <w:sz w:val="20"/>
              </w:rPr>
              <w:t>Sec. 15(4)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Pay information or a range is checked: the EU Pay Transparency Directive requires information before the interview. The transposition deadline passed on 7 June 2026, so check the current German status.</w:t>
            </w:r>
          </w:p>
        </w:tc>
        <w:tc>
          <w:tcPr>
            <w:tcW w:type="dxa" w:w="3061"/>
          </w:tcPr>
          <w:p>
            <w:r/>
            <w:r>
              <w:rPr>
                <w:color w:val="0F1525"/>
                <w:sz w:val="20"/>
              </w:rPr>
              <w:t>Directive (EU) 2023/970, Art. 5</w:t>
            </w:r>
          </w:p>
        </w:tc>
        <w:tc>
          <w:tcPr>
            <w:tcW w:type="dxa" w:w="1814"/>
          </w:tcPr>
          <w:p>
            <w:r/>
            <w:r>
              <w:rPr>
                <w:color w:val="0F1525"/>
                <w:sz w:val="20"/>
              </w:rPr>
            </w:r>
          </w:p>
        </w:tc>
      </w:tr>
    </w:tbl>
    <w:p>
      <w:pPr>
        <w:spacing w:after="40"/>
      </w:pPr>
    </w:p>
    <w:p>
      <w:pPr>
        <w:spacing w:before="480" w:after="120"/>
      </w:pPr>
      <w:r>
        <w:rPr>
          <w:b/>
          <w:color w:val="00B4F7"/>
          <w:sz w:val="30"/>
        </w:rPr>
        <w:t>8. Meta ad category Employment</w:t>
      </w:r>
    </w:p>
    <w:p>
      <w:pPr>
        <w:spacing w:after="120"/>
      </w:pPr>
      <w:r>
        <w:rPr>
          <w:i w:val="0"/>
          <w:color w:val="0F1525"/>
          <w:sz w:val="22"/>
        </w:rPr>
        <w:t>Meta requires the Employment special ad category for job ads. Depending on region, narrowing by age, gender and postcode, as well as lookalike audiences, is then unavailable. Which rules apply in your target area is set by Meta and changes now and then. Check the current state in Meta's advertising policies before you plan a campaign.</w:t>
        <w:br/>
      </w:r>
    </w:p>
    <w:tbl>
      <w:tblPr>
        <w:tblStyle w:val="LightGrid-Accent1"/>
        <w:tblW w:type="auto" w:w="0"/>
        <w:tblLook w:firstColumn="1" w:firstRow="1" w:lastColumn="0" w:lastRow="0" w:noHBand="0" w:noVBand="1" w:val="04A0"/>
      </w:tblPr>
      <w:tblGrid>
        <w:gridCol w:w="2436"/>
        <w:gridCol w:w="2436"/>
        <w:gridCol w:w="2436"/>
        <w:gridCol w:w="2436"/>
      </w:tblGrid>
      <w:tr>
        <w:tc>
          <w:tcPr>
            <w:tcW w:type="dxa" w:w="567"/>
            <w:shd w:fill="00B4F7" w:val="clear"/>
          </w:tcPr>
          <w:p>
            <w:r/>
            <w:r>
              <w:rPr>
                <w:b/>
                <w:color w:val="FFFFFF"/>
                <w:sz w:val="20"/>
              </w:rPr>
            </w:r>
          </w:p>
        </w:tc>
        <w:tc>
          <w:tcPr>
            <w:tcW w:type="dxa" w:w="4195"/>
            <w:shd w:fill="00B4F7" w:val="clear"/>
          </w:tcPr>
          <w:p>
            <w:r/>
            <w:r>
              <w:rPr>
                <w:b/>
                <w:color w:val="FFFFFF"/>
                <w:sz w:val="20"/>
              </w:rPr>
              <w:t>Check</w:t>
            </w:r>
          </w:p>
        </w:tc>
        <w:tc>
          <w:tcPr>
            <w:tcW w:type="dxa" w:w="3061"/>
            <w:shd w:fill="00B4F7" w:val="clear"/>
          </w:tcPr>
          <w:p>
            <w:r/>
            <w:r>
              <w:rPr>
                <w:b/>
                <w:color w:val="FFFFFF"/>
                <w:sz w:val="20"/>
              </w:rPr>
              <w:t>Legal basis</w:t>
            </w:r>
          </w:p>
        </w:tc>
        <w:tc>
          <w:tcPr>
            <w:tcW w:type="dxa" w:w="1814"/>
            <w:shd w:fill="00B4F7" w:val="clear"/>
          </w:tcPr>
          <w:p>
            <w:r/>
            <w:r>
              <w:rPr>
                <w:b/>
                <w:color w:val="FFFFFF"/>
                <w:sz w:val="20"/>
              </w:rPr>
              <w:t>Done by / on</w:t>
            </w:r>
          </w:p>
        </w:tc>
      </w:tr>
      <w:tr>
        <w:tc>
          <w:tcPr>
            <w:tcW w:type="dxa" w:w="567"/>
          </w:tcPr>
          <w:p>
            <w:r/>
            <w:r>
              <w:rPr>
                <w:color w:val="0F1525"/>
                <w:sz w:val="28"/>
              </w:rPr>
              <w:t>☐</w:t>
            </w:r>
          </w:p>
        </w:tc>
        <w:tc>
          <w:tcPr>
            <w:tcW w:type="dxa" w:w="4195"/>
          </w:tcPr>
          <w:p>
            <w:r/>
            <w:r>
              <w:rPr>
                <w:b/>
                <w:color w:val="0F1525"/>
                <w:sz w:val="20"/>
              </w:rPr>
              <w:t>Every job campaign is created with the Employment special ad category, not as a normal ad.</w:t>
            </w:r>
          </w:p>
        </w:tc>
        <w:tc>
          <w:tcPr>
            <w:tcW w:type="dxa" w:w="3061"/>
          </w:tcPr>
          <w:p>
            <w:r/>
            <w:r>
              <w:rPr>
                <w:color w:val="0F1525"/>
                <w:sz w:val="20"/>
              </w:rPr>
              <w:t>Meta advertising policies</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Planning accounts for the restricted audience options and does not rely on age, gender or postcode targeting.</w:t>
            </w:r>
          </w:p>
        </w:tc>
        <w:tc>
          <w:tcPr>
            <w:tcW w:type="dxa" w:w="3061"/>
          </w:tcPr>
          <w:p>
            <w:r/>
            <w:r>
              <w:rPr>
                <w:color w:val="0F1525"/>
                <w:sz w:val="20"/>
              </w:rPr>
              <w:t>Meta advertising policies; Sec. 22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Reach is steered through region, radius, role and ad content, not through protected characteristics.</w:t>
            </w:r>
          </w:p>
        </w:tc>
        <w:tc>
          <w:tcPr>
            <w:tcW w:type="dxa" w:w="3061"/>
          </w:tcPr>
          <w:p>
            <w:r/>
            <w:r>
              <w:rPr>
                <w:color w:val="0F1525"/>
                <w:sz w:val="20"/>
              </w:rPr>
              <w:t>Sec. 1, 7 AGG</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Ad rejections from Meta are logged and the cause is fixed, not worked around.</w:t>
            </w:r>
          </w:p>
        </w:tc>
        <w:tc>
          <w:tcPr>
            <w:tcW w:type="dxa" w:w="3061"/>
          </w:tcPr>
          <w:p>
            <w:r/>
            <w:r>
              <w:rPr>
                <w:color w:val="0F1525"/>
                <w:sz w:val="20"/>
              </w:rPr>
              <w:t>Meta advertising policies</w:t>
            </w:r>
          </w:p>
        </w:tc>
        <w:tc>
          <w:tcPr>
            <w:tcW w:type="dxa" w:w="1814"/>
          </w:tcPr>
          <w:p>
            <w:r/>
            <w:r>
              <w:rPr>
                <w:color w:val="0F1525"/>
                <w:sz w:val="20"/>
              </w:rPr>
            </w:r>
          </w:p>
        </w:tc>
      </w:tr>
      <w:tr>
        <w:tc>
          <w:tcPr>
            <w:tcW w:type="dxa" w:w="567"/>
          </w:tcPr>
          <w:p>
            <w:r/>
            <w:r>
              <w:rPr>
                <w:color w:val="0F1525"/>
                <w:sz w:val="28"/>
              </w:rPr>
              <w:t>☐</w:t>
            </w:r>
          </w:p>
        </w:tc>
        <w:tc>
          <w:tcPr>
            <w:tcW w:type="dxa" w:w="4195"/>
          </w:tcPr>
          <w:p>
            <w:r/>
            <w:r>
              <w:rPr>
                <w:b/>
                <w:color w:val="0F1525"/>
                <w:sz w:val="20"/>
              </w:rPr>
              <w:t>The state of Meta's rules is noted with a date and reviewed every six months.</w:t>
            </w:r>
          </w:p>
        </w:tc>
        <w:tc>
          <w:tcPr>
            <w:tcW w:type="dxa" w:w="3061"/>
          </w:tcPr>
          <w:p>
            <w:r/>
            <w:r>
              <w:rPr>
                <w:color w:val="0F1525"/>
                <w:sz w:val="20"/>
              </w:rPr>
            </w:r>
          </w:p>
        </w:tc>
        <w:tc>
          <w:tcPr>
            <w:tcW w:type="dxa" w:w="1814"/>
          </w:tcPr>
          <w:p>
            <w:r/>
            <w:r>
              <w:rPr>
                <w:color w:val="0F1525"/>
                <w:sz w:val="20"/>
              </w:rPr>
            </w:r>
          </w:p>
        </w:tc>
      </w:tr>
    </w:tbl>
    <w:p>
      <w:pPr>
        <w:spacing w:after="40"/>
      </w:pPr>
    </w:p>
    <w:p>
      <w:pPr>
        <w:spacing w:before="480" w:after="120"/>
      </w:pPr>
      <w:r>
        <w:rPr>
          <w:b/>
          <w:color w:val="00B4F7"/>
          <w:sz w:val="30"/>
        </w:rPr>
        <w:t>Open points</w:t>
      </w:r>
    </w:p>
    <w:tbl>
      <w:tblPr>
        <w:tblStyle w:val="LightGrid-Accent1"/>
        <w:tblW w:type="auto" w:w="0"/>
        <w:tblLook w:firstColumn="1" w:firstRow="1" w:lastColumn="0" w:lastRow="0" w:noHBand="0" w:noVBand="1" w:val="04A0"/>
      </w:tblPr>
      <w:tblGrid>
        <w:gridCol w:w="2436"/>
        <w:gridCol w:w="2436"/>
        <w:gridCol w:w="2436"/>
        <w:gridCol w:w="2436"/>
      </w:tblGrid>
      <w:tr>
        <w:tc>
          <w:tcPr>
            <w:tcW w:type="dxa" w:w="2436"/>
            <w:shd w:fill="00B4F7" w:val="clear"/>
          </w:tcPr>
          <w:p>
            <w:r/>
            <w:r>
              <w:rPr>
                <w:b/>
                <w:color w:val="FFFFFF"/>
                <w:sz w:val="20"/>
              </w:rPr>
              <w:t>Point</w:t>
            </w:r>
          </w:p>
        </w:tc>
        <w:tc>
          <w:tcPr>
            <w:tcW w:type="dxa" w:w="2436"/>
            <w:shd w:fill="00B4F7" w:val="clear"/>
          </w:tcPr>
          <w:p>
            <w:r/>
            <w:r>
              <w:rPr>
                <w:b/>
                <w:color w:val="FFFFFF"/>
                <w:sz w:val="20"/>
              </w:rPr>
              <w:t>Who</w:t>
            </w:r>
          </w:p>
        </w:tc>
        <w:tc>
          <w:tcPr>
            <w:tcW w:type="dxa" w:w="2436"/>
            <w:shd w:fill="00B4F7" w:val="clear"/>
          </w:tcPr>
          <w:p>
            <w:r/>
            <w:r>
              <w:rPr>
                <w:b/>
                <w:color w:val="FFFFFF"/>
                <w:sz w:val="20"/>
              </w:rPr>
              <w:t>By when</w:t>
            </w:r>
          </w:p>
        </w:tc>
        <w:tc>
          <w:tcPr>
            <w:tcW w:type="dxa" w:w="2436"/>
            <w:shd w:fill="00B4F7" w:val="clear"/>
          </w:tcPr>
          <w:p>
            <w:r/>
            <w:r>
              <w:rPr>
                <w:b/>
                <w:color w:val="FFFFFF"/>
                <w:sz w:val="20"/>
              </w:rPr>
              <w:t>Status</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bl>
    <w:p>
      <w:pPr>
        <w:spacing w:after="120"/>
      </w:pPr>
      <w:r>
        <w:rPr>
          <w:i w:val="0"/>
          <w:color w:val="6B7280"/>
          <w:sz w:val="22"/>
        </w:rPr>
        <w:t>This checklist is orientation and not legal advice. Hand open points to your data protection officer or counsel before the campaign starts.</w:t>
        <w:br/>
      </w:r>
    </w:p>
    <w:p>
      <w:pPr>
        <w:spacing w:before="480" w:after="120"/>
      </w:pPr>
      <w:r>
        <w:rPr>
          <w:b/>
          <w:color w:val="00B4F7"/>
          <w:sz w:val="32"/>
        </w:rPr>
        <w:t>If applications should land in your own pool</w:t>
      </w:r>
    </w:p>
    <w:p>
      <w:pPr>
        <w:spacing w:after="120"/>
      </w:pPr>
      <w:r>
        <w:rPr>
          <w:i w:val="0"/>
          <w:color w:val="0F1525"/>
          <w:sz w:val="22"/>
        </w:rPr>
        <w:t>Sprad Social Recruiting runs job ads on Instagram and Facebook. An AI talent agent pre-screens every applicant via WhatsApp, phone or web. Every applicant lands in your own talent pool, so the relationships stay with you instead of a platform. Pricing is ad spend plus 10 %, from a €1,000 budget.</w:t>
        <w:br/>
      </w:r>
    </w:p>
    <w:p>
      <w:r>
        <w:rPr>
          <w:b/>
          <w:color w:val="00B4F7"/>
          <w:sz w:val="22"/>
        </w:rPr>
        <w:t>See Sprad Social Recruiting → https://www.sprad.io/product/social-recruiting</w:t>
      </w:r>
    </w:p>
    <w:sectPr w:rsidR="00FC693F" w:rsidRPr="0006063C" w:rsidSect="00034616">
      <w:headerReference w:type="default" r:id="rId9"/>
      <w:footerReference w:type="default" r:id="rId10"/>
      <w:pgSz w:w="12240" w:h="15840"/>
      <w:pgMar w:top="1247"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left"/>
      </w:tabs>
    </w:pPr>
    <w:r>
      <w:rPr>
        <w:i/>
        <w:color w:val="6B7280"/>
        <w:sz w:val="18"/>
      </w:rPr>
      <w:t>Powered by Sprad — AI-powered HR Platform</w:t>
    </w:r>
    <w:r>
      <w:tab/>
      <w:t xml:space="preserve">Page </w:t>
    </w:r>
    <w:r>
      <w:rPr>
        <w:color w:val="6B7280"/>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left"/>
      </w:tabs>
    </w:pPr>
    <w:r>
      <w:rPr>
        <w:b/>
        <w:color w:val="00B4F7"/>
        <w:sz w:val="20"/>
      </w:rPr>
      <w:t>Sprad</w:t>
    </w:r>
    <w:r>
      <w:rPr>
        <w:color w:val="6B7280"/>
        <w:sz w:val="18"/>
      </w:rPr>
      <w:t xml:space="preserve">  ·  GDPR Checklist for Social Recruiting</w:t>
    </w:r>
    <w:r>
      <w:tab/>
    </w:r>
    <w:r>
      <w:rPr>
        <w:color w:val="6B7280"/>
        <w:sz w:val="18"/>
      </w:rPr>
      <w:t>sprad.io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