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hkmb0xyelgc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Luke Foster - Short Bio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Mental Health: Less Noise. More Action.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Luke Foster believes mental health isn’t just about avoiding illness - it’s about living a life that feels meaningful. Being less miserable, more often.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psychologist with nearly two decades of experience across military, clinical, and organisational settings, Luke delivers raw, no-nonsense talks that strip away the fluff and focus on what actually works.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He’s worked with frontline soldiers, high-risk industries, corporate teams, and everyday Australians - helping people stay sharp under pressure, navigate challenges with resilience, and support those around them without burning out.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an Army psychologist deployed to Afghanistan and East Timor, Luke saw firsthand what real resilience looks like. He later co-founded one of Australia’s first thriving online psychology practices, breaking down barriers to mental health care long before it became the norm.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Luke’s talks aren’t filled with academic jargon, psychobabble, or hollow motivation. They’re practical, relatable, and grounded in real-world experience - delivering sharp insights and actionable strategies that make tough conversations less awkward and far more useful.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because mental health doesn’t have to be all doom and gloom, Luke brings his trademark dry humour - helping audiences engage, reflect, and walk away with something that sticks.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