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120" w:after="200"/>
        <w:jc w:val="center"/>
      </w:pPr>
      <w:r>
        <w:rPr>
          <w:rFonts w:ascii="Garamond" w:hAnsi="Garamond"/>
          <w:b/>
          <w:color w:val="2C3E5A"/>
          <w:sz w:val="32"/>
        </w:rPr>
        <w:t>STATUTS DE LA SOCIETE PAR ACTIONS SIMPLIFIEE</w:t>
      </w:r>
    </w:p>
    <w:p/>
    <w:p>
      <w:pPr>
        <w:jc w:val="center"/>
      </w:pPr>
      <w:r>
        <w:rPr>
          <w:rFonts w:ascii="Garamond" w:hAnsi="Garamond"/>
          <w:b/>
        </w:rPr>
        <w:t>[DENOMINATION SOCIALE]</w:t>
      </w:r>
    </w:p>
    <w:p/>
    <w:p/>
    <w:p/>
    <w:p>
      <w:r>
        <w:rPr>
          <w:rFonts w:ascii="Garamond" w:hAnsi="Garamond"/>
        </w:rPr>
        <w:t xml:space="preserve">Société par actions simplifiée au capital de </w:t>
      </w:r>
      <w:r>
        <w:rPr>
          <w:rFonts w:ascii="Garamond" w:hAnsi="Garamond"/>
          <w:b/>
        </w:rPr>
        <w:t>[MONTANT]</w:t>
      </w:r>
      <w:r>
        <w:rPr>
          <w:rFonts w:ascii="Garamond" w:hAnsi="Garamond"/>
        </w:rPr>
        <w:t xml:space="preserve"> euros.</w:t>
      </w:r>
    </w:p>
    <w:p/>
    <w:p/>
    <w:p/>
    <w:p>
      <w:pPr>
        <w:keepNext/>
        <w:spacing w:before="200" w:after="120"/>
        <w:jc w:val="left"/>
      </w:pPr>
      <w:r>
        <w:rPr>
          <w:rFonts w:ascii="Garamond" w:hAnsi="Garamond"/>
          <w:b/>
          <w:color w:val="2C3E5A"/>
          <w:sz w:val="26"/>
        </w:rPr>
        <w:t>Préambule</w:t>
      </w:r>
    </w:p>
    <w:p/>
    <w:p>
      <w:r>
        <w:rPr>
          <w:rFonts w:ascii="Garamond" w:hAnsi="Garamond"/>
        </w:rPr>
        <w:t>Les soussignés :</w:t>
      </w:r>
    </w:p>
    <w:p/>
    <w:p>
      <w:pPr>
        <w:pStyle w:val="ListBullet"/>
        <w:spacing w:after="60"/>
        <w:jc w:val="left"/>
      </w:pPr>
      <w:r>
        <w:rPr>
          <w:rFonts w:ascii="Garamond" w:hAnsi="Garamond"/>
          <w:b/>
        </w:rPr>
        <w:t>[NOM PRENOM ou DENOMINATION SOCIALE], [forme sociale si personne morale], domicilié(e) à [ADRESSE COMPLETE], [le cas échéant : représenté(e) par NOM PRENOM en qualité de QUALITE]</w:t>
      </w:r>
      <w:r>
        <w:rPr>
          <w:rFonts w:ascii="Garamond" w:hAnsi="Garamond"/>
        </w:rPr>
        <w:t>,</w:t>
      </w:r>
    </w:p>
    <w:p>
      <w:pPr>
        <w:pStyle w:val="ListBullet"/>
        <w:spacing w:after="60"/>
        <w:jc w:val="left"/>
      </w:pPr>
      <w:r>
        <w:rPr>
          <w:rFonts w:ascii="Garamond" w:hAnsi="Garamond"/>
          <w:b/>
        </w:rPr>
        <w:t>[NOM PRENOM ou DENOMINATION SOCIALE], domicilié(e) à [ADRESSE COMPLETE]</w:t>
      </w:r>
      <w:r>
        <w:rPr>
          <w:rFonts w:ascii="Garamond" w:hAnsi="Garamond"/>
        </w:rPr>
        <w:t>,</w:t>
      </w:r>
    </w:p>
    <w:p/>
    <w:p>
      <w:r>
        <w:rPr>
          <w:rFonts w:ascii="Garamond" w:hAnsi="Garamond"/>
        </w:rPr>
        <w:t>ont établi ainsi qu'il suit les statuts de la société par actions simplifiée qu'ils sont convenus de constituer entre eux et toute personne physique ou morale qui viendrait à acquérir la qualité d'associé.</w:t>
      </w:r>
    </w:p>
    <w:p/>
    <w:p>
      <w:pPr>
        <w:keepNext/>
        <w:spacing w:before="200" w:after="120"/>
        <w:jc w:val="left"/>
      </w:pPr>
      <w:r>
        <w:rPr>
          <w:rFonts w:ascii="Garamond" w:hAnsi="Garamond"/>
          <w:b/>
          <w:color w:val="2C3E5A"/>
          <w:sz w:val="26"/>
        </w:rPr>
        <w:t>Article 1 - Forme</w:t>
      </w:r>
    </w:p>
    <w:p/>
    <w:p>
      <w:r>
        <w:rPr>
          <w:rFonts w:ascii="Garamond" w:hAnsi="Garamond"/>
        </w:rPr>
        <w:t>Il est constitué entre les soussignés et toutes personnes qui deviendraient propriétaires d'actions une société par actions simplifiée régie par les articles L. 227-1 à L. 227-20-1 du Code de commerce, par les présents statuts et par toutes autres dispositions légales et réglementaires applicables.</w:t>
      </w:r>
    </w:p>
    <w:p/>
    <w:p>
      <w:r>
        <w:rPr>
          <w:rFonts w:ascii="Garamond" w:hAnsi="Garamond"/>
        </w:rPr>
        <w:t>La société peut comporter un ou plusieurs associés. Lorsqu'elle ne comporte qu'un associé unique, elle est soumise aux dispositions de l'article L. 227-1 alinéa 3 du Code de commerce relatives à la société par actions simplifiée unipersonnelle.</w:t>
      </w:r>
    </w:p>
    <w:p/>
    <w:p>
      <w:pPr>
        <w:keepNext/>
        <w:spacing w:before="200" w:after="120"/>
        <w:jc w:val="left"/>
      </w:pPr>
      <w:r>
        <w:rPr>
          <w:rFonts w:ascii="Garamond" w:hAnsi="Garamond"/>
          <w:b/>
          <w:color w:val="2C3E5A"/>
          <w:sz w:val="26"/>
        </w:rPr>
        <w:t>Article 2 - Dénomination</w:t>
      </w:r>
    </w:p>
    <w:p/>
    <w:p>
      <w:r>
        <w:rPr>
          <w:rFonts w:ascii="Garamond" w:hAnsi="Garamond"/>
        </w:rPr>
        <w:t xml:space="preserve">La société a pour dénomination sociale : </w:t>
      </w:r>
      <w:r>
        <w:rPr>
          <w:rFonts w:ascii="Garamond" w:hAnsi="Garamond"/>
          <w:b/>
        </w:rPr>
        <w:t>[DENOMINATION SOCIALE]</w:t>
      </w:r>
      <w:r>
        <w:rPr>
          <w:rFonts w:ascii="Garamond" w:hAnsi="Garamond"/>
        </w:rPr>
        <w:t>.</w:t>
      </w:r>
    </w:p>
    <w:p/>
    <w:p>
      <w:r>
        <w:rPr>
          <w:rFonts w:ascii="Garamond" w:hAnsi="Garamond"/>
        </w:rPr>
        <w:t>Cette dénomination doit, dans tous les actes, factures, annonces, publications et autres documents émanant de la société, être précédée ou suivie immédiatement des mots « société par actions simplifiée » ou des initiales « SAS » et de l'énonciation du montant du capital social, du numéro d'immatriculation au registre du commerce et des sociétés et de la mention du registre où elle est immatriculée.</w:t>
      </w:r>
    </w:p>
    <w:p/>
    <w:p>
      <w:pPr>
        <w:keepNext/>
        <w:spacing w:before="200" w:after="120"/>
        <w:jc w:val="left"/>
      </w:pPr>
      <w:r>
        <w:rPr>
          <w:rFonts w:ascii="Garamond" w:hAnsi="Garamond"/>
          <w:b/>
          <w:color w:val="2C3E5A"/>
          <w:sz w:val="26"/>
        </w:rPr>
        <w:t>Article 3 - Siège social</w:t>
      </w:r>
    </w:p>
    <w:p/>
    <w:p>
      <w:r>
        <w:rPr>
          <w:rFonts w:ascii="Garamond" w:hAnsi="Garamond"/>
        </w:rPr>
        <w:t xml:space="preserve">Le siège social est fixé à : </w:t>
      </w:r>
      <w:r>
        <w:rPr>
          <w:rFonts w:ascii="Garamond" w:hAnsi="Garamond"/>
          <w:b/>
        </w:rPr>
        <w:t>[ADRESSE COMPLETE DU SIEGE SOCIAL]</w:t>
      </w:r>
      <w:r>
        <w:rPr>
          <w:rFonts w:ascii="Garamond" w:hAnsi="Garamond"/>
        </w:rPr>
        <w:t>.</w:t>
      </w:r>
    </w:p>
    <w:p/>
    <w:p>
      <w:r>
        <w:rPr>
          <w:rFonts w:ascii="Garamond" w:hAnsi="Garamond"/>
        </w:rPr>
        <w:t>Il peut être transféré en tout autre lieu par décision du président, sous réserve de ratification par la collectivité des associés.</w:t>
      </w:r>
    </w:p>
    <w:p/>
    <w:p>
      <w:pPr>
        <w:keepNext/>
        <w:spacing w:before="200" w:after="120"/>
        <w:jc w:val="left"/>
      </w:pPr>
      <w:r>
        <w:rPr>
          <w:rFonts w:ascii="Garamond" w:hAnsi="Garamond"/>
          <w:b/>
          <w:color w:val="2C3E5A"/>
          <w:sz w:val="26"/>
        </w:rPr>
        <w:t>Article 4 - Objet</w:t>
      </w:r>
    </w:p>
    <w:p/>
    <w:p>
      <w:r>
        <w:rPr>
          <w:rFonts w:ascii="Garamond" w:hAnsi="Garamond"/>
        </w:rPr>
        <w:t>La société a pour objet, en France et à l'étranger :</w:t>
      </w:r>
    </w:p>
    <w:p/>
    <w:p>
      <w:pPr>
        <w:pStyle w:val="ListBullet"/>
        <w:spacing w:after="60"/>
        <w:jc w:val="left"/>
      </w:pPr>
      <w:r>
        <w:rPr>
          <w:rFonts w:ascii="Garamond" w:hAnsi="Garamond"/>
          <w:b/>
        </w:rPr>
        <w:t>[ACTIVITE PRINCIPALE - description précise]</w:t>
      </w:r>
      <w:r>
        <w:rPr>
          <w:rFonts w:ascii="Garamond" w:hAnsi="Garamond"/>
        </w:rPr>
        <w:t>,</w:t>
      </w:r>
    </w:p>
    <w:p>
      <w:pPr>
        <w:pStyle w:val="ListBullet"/>
        <w:spacing w:after="60"/>
        <w:jc w:val="left"/>
      </w:pPr>
      <w:r>
        <w:rPr>
          <w:rFonts w:ascii="Garamond" w:hAnsi="Garamond"/>
          <w:b/>
        </w:rPr>
        <w:t>[ACTIVITES SECONDAIRES - éventuelles]</w:t>
      </w:r>
      <w:r>
        <w:rPr>
          <w:rFonts w:ascii="Garamond" w:hAnsi="Garamond"/>
        </w:rPr>
        <w:t>,</w:t>
      </w:r>
    </w:p>
    <w:p>
      <w:pPr>
        <w:pStyle w:val="ListBullet"/>
        <w:spacing w:after="60"/>
        <w:jc w:val="left"/>
      </w:pPr>
      <w:r>
        <w:rPr>
          <w:rFonts w:ascii="Garamond" w:hAnsi="Garamond"/>
        </w:rPr>
        <w:t>la prise de participation directe ou indirecte dans toute société ou entreprise ayant un objet similaire ou connexe,</w:t>
      </w:r>
    </w:p>
    <w:p>
      <w:pPr>
        <w:pStyle w:val="ListBullet"/>
        <w:spacing w:after="60"/>
        <w:jc w:val="left"/>
      </w:pPr>
      <w:r>
        <w:rPr>
          <w:rFonts w:ascii="Garamond" w:hAnsi="Garamond"/>
        </w:rPr>
        <w:t>et plus généralement, toutes opérations industrielles, commerciales, financières, mobilières ou immobilières se rattachant directement ou indirectement à l'objet social ou susceptibles d'en favoriser le développement.</w:t>
      </w:r>
    </w:p>
    <w:p/>
    <w:p>
      <w:pPr>
        <w:keepNext/>
        <w:spacing w:before="200" w:after="120"/>
        <w:jc w:val="left"/>
      </w:pPr>
      <w:r>
        <w:rPr>
          <w:rFonts w:ascii="Garamond" w:hAnsi="Garamond"/>
          <w:b/>
          <w:color w:val="2C3E5A"/>
          <w:sz w:val="26"/>
        </w:rPr>
        <w:t>Article 5 - Durée</w:t>
      </w:r>
    </w:p>
    <w:p/>
    <w:p>
      <w:r>
        <w:rPr>
          <w:rFonts w:ascii="Garamond" w:hAnsi="Garamond"/>
        </w:rPr>
        <w:t xml:space="preserve">La durée de la société est fixée à </w:t>
      </w:r>
      <w:r>
        <w:rPr>
          <w:rFonts w:ascii="Garamond" w:hAnsi="Garamond"/>
          <w:b/>
        </w:rPr>
        <w:t>[DUREE - 99 ans maximum]</w:t>
      </w:r>
      <w:r>
        <w:rPr>
          <w:rFonts w:ascii="Garamond" w:hAnsi="Garamond"/>
        </w:rPr>
        <w:t xml:space="preserve"> années à compter de la date de son immatriculation au registre du commerce et des sociétés, sauf cas de dissolution anticipée ou de prorogation.</w:t>
      </w:r>
    </w:p>
    <w:p/>
    <w:p>
      <w:pPr>
        <w:keepNext/>
        <w:spacing w:before="200" w:after="120"/>
        <w:jc w:val="left"/>
      </w:pPr>
      <w:r>
        <w:rPr>
          <w:rFonts w:ascii="Garamond" w:hAnsi="Garamond"/>
          <w:b/>
          <w:color w:val="2C3E5A"/>
          <w:sz w:val="26"/>
        </w:rPr>
        <w:t>Article 6 - Apports</w:t>
      </w:r>
    </w:p>
    <w:p/>
    <w:p>
      <w:r>
        <w:rPr>
          <w:rFonts w:ascii="Garamond" w:hAnsi="Garamond"/>
        </w:rPr>
        <w:t>Les soussignés font apport à la société des sommes en numéraire et des biens en nature suivants :</w:t>
      </w:r>
    </w:p>
    <w:p/>
    <w:p>
      <w:r>
        <w:rPr>
          <w:rFonts w:ascii="Garamond" w:hAnsi="Garamond"/>
        </w:rPr>
        <w:t>| Associé | Nature de l'apport | Valeur (euros) | Nombre d'actions reçues |</w:t>
      </w:r>
    </w:p>
    <w:p>
      <w:r>
        <w:rPr>
          <w:rFonts w:ascii="Garamond" w:hAnsi="Garamond"/>
        </w:rPr>
        <w:t>|---|---|---|---|</w:t>
      </w:r>
    </w:p>
    <w:p>
      <w:r>
        <w:rPr>
          <w:rFonts w:ascii="Garamond" w:hAnsi="Garamond"/>
        </w:rPr>
        <w:t xml:space="preserve">| </w:t>
      </w:r>
      <w:r>
        <w:rPr>
          <w:rFonts w:ascii="Garamond" w:hAnsi="Garamond"/>
          <w:b/>
        </w:rPr>
        <w:t>[NOM PRENOM 1]</w:t>
      </w:r>
      <w:r>
        <w:rPr>
          <w:rFonts w:ascii="Garamond" w:hAnsi="Garamond"/>
        </w:rPr>
        <w:t xml:space="preserve"> | Numéraire | </w:t>
      </w:r>
      <w:r>
        <w:rPr>
          <w:rFonts w:ascii="Garamond" w:hAnsi="Garamond"/>
          <w:b/>
        </w:rPr>
        <w:t>[MONTANT]</w:t>
      </w:r>
      <w:r>
        <w:rPr>
          <w:rFonts w:ascii="Garamond" w:hAnsi="Garamond"/>
        </w:rPr>
        <w:t xml:space="preserve"> | </w:t>
      </w:r>
      <w:r>
        <w:rPr>
          <w:rFonts w:ascii="Garamond" w:hAnsi="Garamond"/>
          <w:b/>
        </w:rPr>
        <w:t>[NOMBRE]</w:t>
      </w:r>
      <w:r>
        <w:rPr>
          <w:rFonts w:ascii="Garamond" w:hAnsi="Garamond"/>
        </w:rPr>
        <w:t xml:space="preserve"> |</w:t>
      </w:r>
    </w:p>
    <w:p>
      <w:r>
        <w:rPr>
          <w:rFonts w:ascii="Garamond" w:hAnsi="Garamond"/>
        </w:rPr>
        <w:t xml:space="preserve">| </w:t>
      </w:r>
      <w:r>
        <w:rPr>
          <w:rFonts w:ascii="Garamond" w:hAnsi="Garamond"/>
          <w:b/>
        </w:rPr>
        <w:t>[NOM PRENOM 2]</w:t>
      </w:r>
      <w:r>
        <w:rPr>
          <w:rFonts w:ascii="Garamond" w:hAnsi="Garamond"/>
        </w:rPr>
        <w:t xml:space="preserve"> | Numéraire | </w:t>
      </w:r>
      <w:r>
        <w:rPr>
          <w:rFonts w:ascii="Garamond" w:hAnsi="Garamond"/>
          <w:b/>
        </w:rPr>
        <w:t>[MONTANT]</w:t>
      </w:r>
      <w:r>
        <w:rPr>
          <w:rFonts w:ascii="Garamond" w:hAnsi="Garamond"/>
        </w:rPr>
        <w:t xml:space="preserve"> | </w:t>
      </w:r>
      <w:r>
        <w:rPr>
          <w:rFonts w:ascii="Garamond" w:hAnsi="Garamond"/>
          <w:b/>
        </w:rPr>
        <w:t>[NOMBRE]</w:t>
      </w:r>
      <w:r>
        <w:rPr>
          <w:rFonts w:ascii="Garamond" w:hAnsi="Garamond"/>
        </w:rPr>
        <w:t xml:space="preserve"> |</w:t>
      </w:r>
    </w:p>
    <w:p>
      <w:r>
        <w:rPr>
          <w:rFonts w:ascii="Garamond" w:hAnsi="Garamond"/>
        </w:rPr>
        <w:t xml:space="preserve">| </w:t>
      </w:r>
      <w:r>
        <w:rPr>
          <w:rFonts w:ascii="Garamond" w:hAnsi="Garamond"/>
          <w:b/>
        </w:rPr>
        <w:t>[NOM PRENOM 3]</w:t>
      </w:r>
      <w:r>
        <w:rPr>
          <w:rFonts w:ascii="Garamond" w:hAnsi="Garamond"/>
        </w:rPr>
        <w:t xml:space="preserve"> | </w:t>
      </w:r>
      <w:r>
        <w:rPr>
          <w:rFonts w:ascii="Garamond" w:hAnsi="Garamond"/>
          <w:b/>
        </w:rPr>
        <w:t>[Nature - numéraire / nature / industrie]</w:t>
      </w:r>
      <w:r>
        <w:rPr>
          <w:rFonts w:ascii="Garamond" w:hAnsi="Garamond"/>
        </w:rPr>
        <w:t xml:space="preserve"> | </w:t>
      </w:r>
      <w:r>
        <w:rPr>
          <w:rFonts w:ascii="Garamond" w:hAnsi="Garamond"/>
          <w:b/>
        </w:rPr>
        <w:t>[MONTANT]</w:t>
      </w:r>
      <w:r>
        <w:rPr>
          <w:rFonts w:ascii="Garamond" w:hAnsi="Garamond"/>
        </w:rPr>
        <w:t xml:space="preserve"> | </w:t>
      </w:r>
      <w:r>
        <w:rPr>
          <w:rFonts w:ascii="Garamond" w:hAnsi="Garamond"/>
          <w:b/>
        </w:rPr>
        <w:t>[NOMBRE]</w:t>
      </w:r>
      <w:r>
        <w:rPr>
          <w:rFonts w:ascii="Garamond" w:hAnsi="Garamond"/>
        </w:rPr>
        <w:t xml:space="preserve"> |</w:t>
      </w:r>
    </w:p>
    <w:p/>
    <w:p>
      <w:r>
        <w:rPr>
          <w:rFonts w:ascii="Garamond" w:hAnsi="Garamond"/>
          <w:b/>
        </w:rPr>
        <w:t>Apports en numéraire</w:t>
      </w:r>
      <w:r>
        <w:rPr>
          <w:rFonts w:ascii="Garamond" w:hAnsi="Garamond"/>
        </w:rPr>
        <w:t xml:space="preserve"> : la totalité des apports en numéraire a été versée sur un compte ouvert au nom de la société en formation à </w:t>
      </w:r>
      <w:r>
        <w:rPr>
          <w:rFonts w:ascii="Garamond" w:hAnsi="Garamond"/>
          <w:b/>
        </w:rPr>
        <w:t>[ETABLISSEMENT BANCAIRE]</w:t>
      </w:r>
      <w:r>
        <w:rPr>
          <w:rFonts w:ascii="Garamond" w:hAnsi="Garamond"/>
        </w:rPr>
        <w:t>, ainsi qu'il résulte de l'attestation de dépôt délivrée par cet établissement.</w:t>
      </w:r>
    </w:p>
    <w:p/>
    <w:p>
      <w:r>
        <w:rPr>
          <w:rFonts w:ascii="Garamond" w:hAnsi="Garamond"/>
          <w:b/>
        </w:rPr>
        <w:t>Apports en nature</w:t>
      </w:r>
      <w:r>
        <w:rPr>
          <w:rFonts w:ascii="Garamond" w:hAnsi="Garamond"/>
        </w:rPr>
        <w:t xml:space="preserve"> (le cas échéant) : la valeur des apports en nature a été appréciée au vu d'un rapport établi par </w:t>
      </w:r>
      <w:r>
        <w:rPr>
          <w:rFonts w:ascii="Garamond" w:hAnsi="Garamond"/>
          <w:b/>
        </w:rPr>
        <w:t>[NOM ET QUALITE DU COMMISSAIRE AUX APPORTS]</w:t>
      </w:r>
      <w:r>
        <w:rPr>
          <w:rFonts w:ascii="Garamond" w:hAnsi="Garamond"/>
        </w:rPr>
        <w:t xml:space="preserve">, commissaire aux apports désigné à l'unanimité des fondateurs. Ledit rapport, annexé aux présents statuts, conclut à une valeur globale de </w:t>
      </w:r>
      <w:r>
        <w:rPr>
          <w:rFonts w:ascii="Garamond" w:hAnsi="Garamond"/>
          <w:b/>
        </w:rPr>
        <w:t>[MONTANT]</w:t>
      </w:r>
      <w:r>
        <w:rPr>
          <w:rFonts w:ascii="Garamond" w:hAnsi="Garamond"/>
        </w:rPr>
        <w:t xml:space="preserve"> euros.</w:t>
      </w:r>
    </w:p>
    <w:p/>
    <w:p>
      <w:pPr>
        <w:keepNext/>
        <w:spacing w:before="200" w:after="120"/>
        <w:jc w:val="left"/>
      </w:pPr>
      <w:r>
        <w:rPr>
          <w:rFonts w:ascii="Garamond" w:hAnsi="Garamond"/>
          <w:b/>
          <w:color w:val="2C3E5A"/>
          <w:sz w:val="26"/>
        </w:rPr>
        <w:t>Article 7 - Capital social</w:t>
      </w:r>
    </w:p>
    <w:p/>
    <w:p>
      <w:r>
        <w:rPr>
          <w:rFonts w:ascii="Garamond" w:hAnsi="Garamond"/>
        </w:rPr>
        <w:t xml:space="preserve">Le capital social est fixé à la somme de </w:t>
      </w:r>
      <w:r>
        <w:rPr>
          <w:rFonts w:ascii="Garamond" w:hAnsi="Garamond"/>
          <w:b/>
        </w:rPr>
        <w:t>[MONTANT]</w:t>
      </w:r>
      <w:r>
        <w:rPr>
          <w:rFonts w:ascii="Garamond" w:hAnsi="Garamond"/>
        </w:rPr>
        <w:t xml:space="preserve"> euros.</w:t>
      </w:r>
    </w:p>
    <w:p/>
    <w:p>
      <w:r>
        <w:rPr>
          <w:rFonts w:ascii="Garamond" w:hAnsi="Garamond"/>
        </w:rPr>
        <w:t xml:space="preserve">Il est divisé en </w:t>
      </w:r>
      <w:r>
        <w:rPr>
          <w:rFonts w:ascii="Garamond" w:hAnsi="Garamond"/>
          <w:b/>
        </w:rPr>
        <w:t>[NOMBRE]</w:t>
      </w:r>
      <w:r>
        <w:rPr>
          <w:rFonts w:ascii="Garamond" w:hAnsi="Garamond"/>
        </w:rPr>
        <w:t xml:space="preserve"> actions de </w:t>
      </w:r>
      <w:r>
        <w:rPr>
          <w:rFonts w:ascii="Garamond" w:hAnsi="Garamond"/>
          <w:b/>
        </w:rPr>
        <w:t>[VALEUR NOMINALE]</w:t>
      </w:r>
      <w:r>
        <w:rPr>
          <w:rFonts w:ascii="Garamond" w:hAnsi="Garamond"/>
        </w:rPr>
        <w:t xml:space="preserve"> euros chacune, intégralement souscrites et libérées (ou libérées à hauteur de </w:t>
      </w:r>
      <w:r>
        <w:rPr>
          <w:rFonts w:ascii="Garamond" w:hAnsi="Garamond"/>
          <w:b/>
        </w:rPr>
        <w:t>[POURCENTAGE - 50 % minimum pour apports en numéraire]</w:t>
      </w:r>
      <w:r>
        <w:rPr>
          <w:rFonts w:ascii="Garamond" w:hAnsi="Garamond"/>
        </w:rPr>
        <w:t xml:space="preserve"> lors de la souscription, le solde devant être libéré dans un délai maximum de cinq ans à compter de l'immatriculation, sur appels du président).</w:t>
      </w:r>
    </w:p>
    <w:p/>
    <w:p>
      <w:r>
        <w:rPr>
          <w:rFonts w:ascii="Garamond" w:hAnsi="Garamond"/>
        </w:rPr>
        <w:t>Le capital social peut être augmenté ou réduit par décision de la collectivité des associés statuant dans les conditions prévues à l'article 12 des présents statuts.</w:t>
      </w:r>
    </w:p>
    <w:p/>
    <w:p>
      <w:pPr>
        <w:keepNext/>
        <w:spacing w:before="200" w:after="120"/>
        <w:jc w:val="left"/>
      </w:pPr>
      <w:r>
        <w:rPr>
          <w:rFonts w:ascii="Garamond" w:hAnsi="Garamond"/>
          <w:b/>
          <w:color w:val="2C3E5A"/>
          <w:sz w:val="26"/>
        </w:rPr>
        <w:t>Article 8 - Forme des actions et droits attachés</w:t>
      </w:r>
    </w:p>
    <w:p/>
    <w:p>
      <w:r>
        <w:rPr>
          <w:rFonts w:ascii="Garamond" w:hAnsi="Garamond"/>
        </w:rPr>
        <w:t>Les actions sont obligatoirement nominatives. Elles sont inscrites en compte conformément à la réglementation en vigueur.</w:t>
      </w:r>
    </w:p>
    <w:p/>
    <w:p>
      <w:r>
        <w:rPr>
          <w:rFonts w:ascii="Garamond" w:hAnsi="Garamond"/>
        </w:rPr>
        <w:t>Chaque action donne droit, dans la propriété de l'actif social et dans le partage des bénéfices, à une part proportionnelle à la quotité du capital qu'elle représente.</w:t>
      </w:r>
    </w:p>
    <w:p/>
    <w:p>
      <w:pPr>
        <w:keepNext/>
        <w:spacing w:before="200" w:after="120"/>
        <w:jc w:val="left"/>
      </w:pPr>
      <w:r>
        <w:rPr>
          <w:rFonts w:ascii="Garamond" w:hAnsi="Garamond"/>
          <w:b/>
          <w:color w:val="2C3E5A"/>
          <w:sz w:val="26"/>
        </w:rPr>
        <w:t>Article 9 - Cession et transmission des actions</w:t>
      </w:r>
    </w:p>
    <w:p/>
    <w:p>
      <w:r>
        <w:rPr>
          <w:rFonts w:ascii="Garamond" w:hAnsi="Garamond"/>
        </w:rPr>
        <w:t>Les cessions d'actions s'effectuent par virement de compte à compte sur instruction signée du cédant ou de son représentant qualifié.</w:t>
      </w:r>
    </w:p>
    <w:p/>
    <w:p>
      <w:r>
        <w:rPr>
          <w:rFonts w:ascii="Garamond" w:hAnsi="Garamond"/>
          <w:b/>
        </w:rPr>
        <w:t>Inaliénabilité (clause optionnelle)</w:t>
      </w:r>
      <w:r>
        <w:rPr>
          <w:rFonts w:ascii="Garamond" w:hAnsi="Garamond"/>
        </w:rPr>
        <w:t xml:space="preserve"> : les actions sont inaliénables pendant une durée de </w:t>
      </w:r>
      <w:r>
        <w:rPr>
          <w:rFonts w:ascii="Garamond" w:hAnsi="Garamond"/>
          <w:b/>
        </w:rPr>
        <w:t>[DUREE - 10 ans maximum, art. L. 227-13 C. com.]</w:t>
      </w:r>
      <w:r>
        <w:rPr>
          <w:rFonts w:ascii="Garamond" w:hAnsi="Garamond"/>
        </w:rPr>
        <w:t xml:space="preserve"> à compter de l'immatriculation. Toute cession en violation de cette clause est nulle de plein droit.</w:t>
      </w:r>
    </w:p>
    <w:p/>
    <w:p>
      <w:r>
        <w:rPr>
          <w:rFonts w:ascii="Garamond" w:hAnsi="Garamond"/>
          <w:b/>
        </w:rPr>
        <w:t>Agrément</w:t>
      </w:r>
      <w:r>
        <w:rPr>
          <w:rFonts w:ascii="Garamond" w:hAnsi="Garamond"/>
        </w:rPr>
        <w:t xml:space="preserve"> : toute cession d'actions à un tiers non associé est soumise à l'agrément préalable de la collectivité des associés statuant dans les conditions de l'article 12. La décision n'a pas à être motivée. En cas de refus, la société dispose d'un délai de </w:t>
      </w:r>
      <w:r>
        <w:rPr>
          <w:rFonts w:ascii="Garamond" w:hAnsi="Garamond"/>
          <w:b/>
        </w:rPr>
        <w:t>[DELAI - généralement 3 mois]</w:t>
      </w:r>
      <w:r>
        <w:rPr>
          <w:rFonts w:ascii="Garamond" w:hAnsi="Garamond"/>
        </w:rPr>
        <w:t xml:space="preserve"> pour faire racheter les actions par un autre associé ou par la société elle-même en vue d'une réduction de capital.</w:t>
      </w:r>
    </w:p>
    <w:p/>
    <w:p>
      <w:r>
        <w:rPr>
          <w:rFonts w:ascii="Garamond" w:hAnsi="Garamond"/>
          <w:b/>
        </w:rPr>
        <w:t>Préemption</w:t>
      </w:r>
      <w:r>
        <w:rPr>
          <w:rFonts w:ascii="Garamond" w:hAnsi="Garamond"/>
        </w:rPr>
        <w:t xml:space="preserve"> : les associés bénéficient d'un droit de préemption proportionnel à leur participation au capital, dans les conditions définies au règlement intérieur ou au pacte d'associés annexé.</w:t>
      </w:r>
    </w:p>
    <w:p/>
    <w:p>
      <w:pPr>
        <w:keepNext/>
        <w:spacing w:before="200" w:after="120"/>
        <w:jc w:val="left"/>
      </w:pPr>
      <w:r>
        <w:rPr>
          <w:rFonts w:ascii="Garamond" w:hAnsi="Garamond"/>
          <w:b/>
          <w:color w:val="2C3E5A"/>
          <w:sz w:val="26"/>
        </w:rPr>
        <w:t>Article 10 - Président</w:t>
      </w:r>
    </w:p>
    <w:p/>
    <w:p>
      <w:r>
        <w:rPr>
          <w:rFonts w:ascii="Garamond" w:hAnsi="Garamond"/>
        </w:rPr>
        <w:t>La société est dirigée par un président, personne physique ou morale, associé ou non.</w:t>
      </w:r>
    </w:p>
    <w:p/>
    <w:p>
      <w:r>
        <w:rPr>
          <w:rFonts w:ascii="Garamond" w:hAnsi="Garamond"/>
        </w:rPr>
        <w:t xml:space="preserve">Le premier président est : </w:t>
      </w:r>
      <w:r>
        <w:rPr>
          <w:rFonts w:ascii="Garamond" w:hAnsi="Garamond"/>
          <w:b/>
        </w:rPr>
        <w:t>[NOM PRENOM ou DENOMINATION SOCIALE], domicilié(e) à [ADRESSE COMPLETE]</w:t>
      </w:r>
      <w:r>
        <w:rPr>
          <w:rFonts w:ascii="Garamond" w:hAnsi="Garamond"/>
        </w:rPr>
        <w:t>.</w:t>
      </w:r>
    </w:p>
    <w:p/>
    <w:p>
      <w:r>
        <w:rPr>
          <w:rFonts w:ascii="Garamond" w:hAnsi="Garamond"/>
        </w:rPr>
        <w:t xml:space="preserve">Le président est nommé pour une durée de </w:t>
      </w:r>
      <w:r>
        <w:rPr>
          <w:rFonts w:ascii="Garamond" w:hAnsi="Garamond"/>
          <w:b/>
        </w:rPr>
        <w:t>[DUREE - illimitée ou nombre d'années]</w:t>
      </w:r>
      <w:r>
        <w:rPr>
          <w:rFonts w:ascii="Garamond" w:hAnsi="Garamond"/>
        </w:rPr>
        <w:t>, renouvelable. Il peut être révoqué à tout moment par décision de la collectivité des associés, sans qu'aucun juste motif ne soit requis et sans indemnité (sauf stipulation contraire d'une convention de rémunération).</w:t>
      </w:r>
    </w:p>
    <w:p/>
    <w:p>
      <w:r>
        <w:rPr>
          <w:rFonts w:ascii="Garamond" w:hAnsi="Garamond"/>
        </w:rPr>
        <w:t>Le président représente la société à l'égard des tiers. Il est investi des pouvoirs les plus étendus pour agir en toute circonstance au nom de la société, dans la limite de l'objet social. Toutefois, les décisions suivantes requièrent l'autorisation préalable de la collectivité des associés :</w:t>
      </w:r>
    </w:p>
    <w:p/>
    <w:p>
      <w:pPr>
        <w:pStyle w:val="ListBullet"/>
        <w:spacing w:after="60"/>
        <w:jc w:val="left"/>
      </w:pPr>
      <w:r>
        <w:rPr>
          <w:rFonts w:ascii="Garamond" w:hAnsi="Garamond"/>
        </w:rPr>
        <w:t>toute opération hors objet social,</w:t>
      </w:r>
    </w:p>
    <w:p>
      <w:pPr>
        <w:pStyle w:val="ListBullet"/>
        <w:spacing w:after="60"/>
        <w:jc w:val="left"/>
      </w:pPr>
      <w:r>
        <w:rPr>
          <w:rFonts w:ascii="Garamond" w:hAnsi="Garamond"/>
        </w:rPr>
        <w:t xml:space="preserve">toute opération entraînant un engagement financier supérieur à </w:t>
      </w:r>
      <w:r>
        <w:rPr>
          <w:rFonts w:ascii="Garamond" w:hAnsi="Garamond"/>
          <w:b/>
        </w:rPr>
        <w:t>[MONTANT]</w:t>
      </w:r>
      <w:r>
        <w:rPr>
          <w:rFonts w:ascii="Garamond" w:hAnsi="Garamond"/>
        </w:rPr>
        <w:t xml:space="preserve"> euros,</w:t>
      </w:r>
    </w:p>
    <w:p>
      <w:pPr>
        <w:pStyle w:val="ListBullet"/>
        <w:spacing w:after="60"/>
        <w:jc w:val="left"/>
      </w:pPr>
      <w:r>
        <w:rPr>
          <w:rFonts w:ascii="Garamond" w:hAnsi="Garamond"/>
        </w:rPr>
        <w:t xml:space="preserve">toute cession ou acquisition d'éléments d'actif immobilisé pour un montant supérieur à </w:t>
      </w:r>
      <w:r>
        <w:rPr>
          <w:rFonts w:ascii="Garamond" w:hAnsi="Garamond"/>
          <w:b/>
        </w:rPr>
        <w:t>[MONTANT]</w:t>
      </w:r>
      <w:r>
        <w:rPr>
          <w:rFonts w:ascii="Garamond" w:hAnsi="Garamond"/>
        </w:rPr>
        <w:t xml:space="preserve"> euros,</w:t>
      </w:r>
    </w:p>
    <w:p>
      <w:pPr>
        <w:pStyle w:val="ListBullet"/>
        <w:spacing w:after="60"/>
        <w:jc w:val="left"/>
      </w:pPr>
      <w:r>
        <w:rPr>
          <w:rFonts w:ascii="Garamond" w:hAnsi="Garamond"/>
        </w:rPr>
        <w:t>toute prise de participation dans une autre société.</w:t>
      </w:r>
    </w:p>
    <w:p/>
    <w:p>
      <w:r>
        <w:rPr>
          <w:rFonts w:ascii="Garamond" w:hAnsi="Garamond"/>
        </w:rPr>
        <w:t>La rémunération du président est fixée par décision de la collectivité des associés.</w:t>
      </w:r>
    </w:p>
    <w:p/>
    <w:p>
      <w:pPr>
        <w:keepNext/>
        <w:spacing w:before="200" w:after="120"/>
        <w:jc w:val="left"/>
      </w:pPr>
      <w:r>
        <w:rPr>
          <w:rFonts w:ascii="Garamond" w:hAnsi="Garamond"/>
          <w:b/>
          <w:color w:val="2C3E5A"/>
          <w:sz w:val="26"/>
        </w:rPr>
        <w:t>Article 11 - Directeur général (clause optionnelle)</w:t>
      </w:r>
    </w:p>
    <w:p/>
    <w:p>
      <w:r>
        <w:rPr>
          <w:rFonts w:ascii="Garamond" w:hAnsi="Garamond"/>
        </w:rPr>
        <w:t>La collectivité des associés peut nommer un ou plusieurs directeurs généraux, personnes physiques ou morales, associés ou non, qui assistent le président. Le directeur général dispose des mêmes pouvoirs que le président à l'égard des tiers, sauf limitation statutaire qui demeure inopposable aux tiers.</w:t>
      </w:r>
    </w:p>
    <w:p/>
    <w:p>
      <w:pPr>
        <w:keepNext/>
        <w:spacing w:before="200" w:after="120"/>
        <w:jc w:val="left"/>
      </w:pPr>
      <w:r>
        <w:rPr>
          <w:rFonts w:ascii="Garamond" w:hAnsi="Garamond"/>
          <w:b/>
          <w:color w:val="2C3E5A"/>
          <w:sz w:val="26"/>
        </w:rPr>
        <w:t>Article 12 - Décisions collectives des associés</w:t>
      </w:r>
    </w:p>
    <w:p/>
    <w:p>
      <w:r>
        <w:rPr>
          <w:rFonts w:ascii="Garamond" w:hAnsi="Garamond"/>
        </w:rPr>
        <w:t>Sont prises collectivement par les associés les décisions suivantes :</w:t>
      </w:r>
    </w:p>
    <w:p/>
    <w:p>
      <w:pPr>
        <w:pStyle w:val="ListBullet"/>
        <w:spacing w:after="60"/>
        <w:jc w:val="left"/>
      </w:pPr>
      <w:r>
        <w:rPr>
          <w:rFonts w:ascii="Garamond" w:hAnsi="Garamond"/>
        </w:rPr>
        <w:t>approbation des comptes annuels et affectation du résultat,</w:t>
      </w:r>
    </w:p>
    <w:p>
      <w:pPr>
        <w:pStyle w:val="ListBullet"/>
        <w:spacing w:after="60"/>
        <w:jc w:val="left"/>
      </w:pPr>
      <w:r>
        <w:rPr>
          <w:rFonts w:ascii="Garamond" w:hAnsi="Garamond"/>
        </w:rPr>
        <w:t>nomination et révocation du président et, le cas échéant, du directeur général,</w:t>
      </w:r>
    </w:p>
    <w:p>
      <w:pPr>
        <w:pStyle w:val="ListBullet"/>
        <w:spacing w:after="60"/>
        <w:jc w:val="left"/>
      </w:pPr>
      <w:r>
        <w:rPr>
          <w:rFonts w:ascii="Garamond" w:hAnsi="Garamond"/>
        </w:rPr>
        <w:t>nomination du commissaire aux comptes lorsqu'elle est obligatoire,</w:t>
      </w:r>
    </w:p>
    <w:p>
      <w:pPr>
        <w:pStyle w:val="ListBullet"/>
        <w:spacing w:after="60"/>
        <w:jc w:val="left"/>
      </w:pPr>
      <w:r>
        <w:rPr>
          <w:rFonts w:ascii="Garamond" w:hAnsi="Garamond"/>
        </w:rPr>
        <w:t>modification des statuts,</w:t>
      </w:r>
    </w:p>
    <w:p>
      <w:pPr>
        <w:pStyle w:val="ListBullet"/>
        <w:spacing w:after="60"/>
        <w:jc w:val="left"/>
      </w:pPr>
      <w:r>
        <w:rPr>
          <w:rFonts w:ascii="Garamond" w:hAnsi="Garamond"/>
        </w:rPr>
        <w:t>augmentation, réduction ou amortissement du capital,</w:t>
      </w:r>
    </w:p>
    <w:p>
      <w:pPr>
        <w:pStyle w:val="ListBullet"/>
        <w:spacing w:after="60"/>
        <w:jc w:val="left"/>
      </w:pPr>
      <w:r>
        <w:rPr>
          <w:rFonts w:ascii="Garamond" w:hAnsi="Garamond"/>
        </w:rPr>
        <w:t>fusion, scission, apport partiel d'actif,</w:t>
      </w:r>
    </w:p>
    <w:p>
      <w:pPr>
        <w:pStyle w:val="ListBullet"/>
        <w:spacing w:after="60"/>
        <w:jc w:val="left"/>
      </w:pPr>
      <w:r>
        <w:rPr>
          <w:rFonts w:ascii="Garamond" w:hAnsi="Garamond"/>
        </w:rPr>
        <w:t>dissolution anticipée,</w:t>
      </w:r>
    </w:p>
    <w:p>
      <w:pPr>
        <w:pStyle w:val="ListBullet"/>
        <w:spacing w:after="60"/>
        <w:jc w:val="left"/>
      </w:pPr>
      <w:r>
        <w:rPr>
          <w:rFonts w:ascii="Garamond" w:hAnsi="Garamond"/>
        </w:rPr>
        <w:t>agrément des cessions d'actions,</w:t>
      </w:r>
    </w:p>
    <w:p>
      <w:pPr>
        <w:pStyle w:val="ListBullet"/>
        <w:spacing w:after="60"/>
        <w:jc w:val="left"/>
      </w:pPr>
      <w:r>
        <w:rPr>
          <w:rFonts w:ascii="Garamond" w:hAnsi="Garamond"/>
        </w:rPr>
        <w:t>toute autre décision prévue par la loi ou les présents statuts.</w:t>
      </w:r>
    </w:p>
    <w:p/>
    <w:p>
      <w:r>
        <w:rPr>
          <w:rFonts w:ascii="Garamond" w:hAnsi="Garamond"/>
        </w:rPr>
        <w:t>Les décisions collectives sont prises, au choix du président, en assemblée générale, par consultation écrite ou par acte signé de tous les associés.</w:t>
      </w:r>
    </w:p>
    <w:p/>
    <w:p>
      <w:r>
        <w:rPr>
          <w:rFonts w:ascii="Garamond" w:hAnsi="Garamond"/>
          <w:b/>
        </w:rPr>
        <w:t>Quorum</w:t>
      </w:r>
      <w:r>
        <w:rPr>
          <w:rFonts w:ascii="Garamond" w:hAnsi="Garamond"/>
        </w:rPr>
        <w:t xml:space="preserve"> : aucun quorum n'est exigé sauf disposition spécifique des statuts.</w:t>
      </w:r>
    </w:p>
    <w:p/>
    <w:p>
      <w:r>
        <w:rPr>
          <w:rFonts w:ascii="Garamond" w:hAnsi="Garamond"/>
          <w:b/>
        </w:rPr>
        <w:t>Majorité</w:t>
      </w:r>
      <w:r>
        <w:rPr>
          <w:rFonts w:ascii="Garamond" w:hAnsi="Garamond"/>
        </w:rPr>
        <w:t xml:space="preserve"> : les décisions sont prises à la majorité simple des associés présents ou représentés, à l'exception de la modification des statuts, de la transformation en société d'une autre forme, et de toute décision entraînant l'augmentation des engagements des associés, qui requièrent l'unanimité (ou la majorité qualifiée des deux tiers selon stipulation statutaire).</w:t>
      </w:r>
    </w:p>
    <w:p/>
    <w:p>
      <w:pPr>
        <w:keepNext/>
        <w:spacing w:before="200" w:after="120"/>
        <w:jc w:val="left"/>
      </w:pPr>
      <w:r>
        <w:rPr>
          <w:rFonts w:ascii="Garamond" w:hAnsi="Garamond"/>
          <w:b/>
          <w:color w:val="2C3E5A"/>
          <w:sz w:val="26"/>
        </w:rPr>
        <w:t>Article 13 - Comptes annuels et affectation du résultat</w:t>
      </w:r>
    </w:p>
    <w:p/>
    <w:p>
      <w:r>
        <w:rPr>
          <w:rFonts w:ascii="Garamond" w:hAnsi="Garamond"/>
        </w:rPr>
        <w:t xml:space="preserve">L'exercice social commence le 1er janvier et se termine le 31 décembre de chaque année. Par exception, le premier exercice commence à la date d'immatriculation et se termine le </w:t>
      </w:r>
      <w:r>
        <w:rPr>
          <w:rFonts w:ascii="Garamond" w:hAnsi="Garamond"/>
          <w:b/>
        </w:rPr>
        <w:t>[DATE DE CLOTURE DU PREMIER EXERCICE]</w:t>
      </w:r>
      <w:r>
        <w:rPr>
          <w:rFonts w:ascii="Garamond" w:hAnsi="Garamond"/>
        </w:rPr>
        <w:t>.</w:t>
      </w:r>
    </w:p>
    <w:p/>
    <w:p>
      <w:r>
        <w:rPr>
          <w:rFonts w:ascii="Garamond" w:hAnsi="Garamond"/>
        </w:rPr>
        <w:t>À la clôture de chaque exercice, le président établit l'inventaire, les comptes annuels et le rapport de gestion. Ces documents sont soumis à l'approbation de la collectivité des associés dans les six mois suivant la clôture.</w:t>
      </w:r>
    </w:p>
    <w:p/>
    <w:p>
      <w:r>
        <w:rPr>
          <w:rFonts w:ascii="Garamond" w:hAnsi="Garamond"/>
        </w:rPr>
        <w:t>Le bénéfice distribuable est constitué par le bénéfice de l'exercice diminué des pertes antérieures et des sommes portées en réserve en application de la loi ou des statuts, augmenté du report à nouveau bénéficiaire.</w:t>
      </w:r>
    </w:p>
    <w:p/>
    <w:p>
      <w:pPr>
        <w:keepNext/>
        <w:spacing w:before="200" w:after="120"/>
        <w:jc w:val="left"/>
      </w:pPr>
      <w:r>
        <w:rPr>
          <w:rFonts w:ascii="Garamond" w:hAnsi="Garamond"/>
          <w:b/>
          <w:color w:val="2C3E5A"/>
          <w:sz w:val="26"/>
        </w:rPr>
        <w:t>Article 14 - Commissaire aux comptes</w:t>
      </w:r>
    </w:p>
    <w:p/>
    <w:p>
      <w:r>
        <w:rPr>
          <w:rFonts w:ascii="Garamond" w:hAnsi="Garamond"/>
        </w:rPr>
        <w:t xml:space="preserve">La société désigne un ou plusieurs commissaires aux comptes lorsqu'elle dépasse, à la clôture d'un exercice social, deux des trois seuils suivants : </w:t>
      </w:r>
      <w:r>
        <w:rPr>
          <w:rFonts w:ascii="Garamond" w:hAnsi="Garamond"/>
          <w:b/>
        </w:rPr>
        <w:t>[seuils art. L. 227-9-1 C. com. à jour]</w:t>
      </w:r>
      <w:r>
        <w:rPr>
          <w:rFonts w:ascii="Garamond" w:hAnsi="Garamond"/>
        </w:rPr>
        <w:t xml:space="preserve"> : total du bilan, montant net du chiffre d'affaires, nombre moyen de salariés.</w:t>
      </w:r>
    </w:p>
    <w:p/>
    <w:p>
      <w:r>
        <w:rPr>
          <w:rFonts w:ascii="Garamond" w:hAnsi="Garamond"/>
        </w:rPr>
        <w:t>Une désignation volontaire reste possible à tout moment par décision des associés.</w:t>
      </w:r>
    </w:p>
    <w:p/>
    <w:p>
      <w:pPr>
        <w:keepNext/>
        <w:spacing w:before="200" w:after="120"/>
        <w:jc w:val="left"/>
      </w:pPr>
      <w:r>
        <w:rPr>
          <w:rFonts w:ascii="Garamond" w:hAnsi="Garamond"/>
          <w:b/>
          <w:color w:val="2C3E5A"/>
          <w:sz w:val="26"/>
        </w:rPr>
        <w:t>Article 15 - Dissolution et liquidation</w:t>
      </w:r>
    </w:p>
    <w:p/>
    <w:p>
      <w:r>
        <w:rPr>
          <w:rFonts w:ascii="Garamond" w:hAnsi="Garamond"/>
        </w:rPr>
        <w:t>La société est dissoute par l'arrivée du terme statutaire (sauf prorogation), par décision de la collectivité des associés statuant à l'unanimité ou par toute autre cause prévue par la loi.</w:t>
      </w:r>
    </w:p>
    <w:p/>
    <w:p>
      <w:r>
        <w:rPr>
          <w:rFonts w:ascii="Garamond" w:hAnsi="Garamond"/>
        </w:rPr>
        <w:t>À la dissolution, la liquidation est effectuée par un ou plusieurs liquidateurs nommés par la collectivité des associés. Le boni de liquidation est réparti entre les associés au prorata de leur participation au capital.</w:t>
      </w:r>
    </w:p>
    <w:p/>
    <w:p>
      <w:pPr>
        <w:keepNext/>
        <w:spacing w:before="200" w:after="120"/>
        <w:jc w:val="left"/>
      </w:pPr>
      <w:r>
        <w:rPr>
          <w:rFonts w:ascii="Garamond" w:hAnsi="Garamond"/>
          <w:b/>
          <w:color w:val="2C3E5A"/>
          <w:sz w:val="26"/>
        </w:rPr>
        <w:t>Article 16 - Contestations</w:t>
      </w:r>
    </w:p>
    <w:p/>
    <w:p>
      <w:r>
        <w:rPr>
          <w:rFonts w:ascii="Garamond" w:hAnsi="Garamond"/>
        </w:rPr>
        <w:t>Toutes contestations qui pourraient s'élever pendant la durée de la société ou lors de sa liquidation entre les associés ou entre la société et les associés relativement aux affaires sociales sont soumises aux tribunaux compétents du siège social, sauf clause d'arbitrage stipulée dans un pacte d'associés.</w:t>
      </w:r>
    </w:p>
    <w:p/>
    <w:p>
      <w:pPr>
        <w:keepNext/>
        <w:spacing w:before="200" w:after="120"/>
        <w:jc w:val="left"/>
      </w:pPr>
      <w:r>
        <w:rPr>
          <w:rFonts w:ascii="Garamond" w:hAnsi="Garamond"/>
          <w:b/>
          <w:color w:val="2C3E5A"/>
          <w:sz w:val="26"/>
        </w:rPr>
        <w:t>Article 17 - Frais et formalités</w:t>
      </w:r>
    </w:p>
    <w:p/>
    <w:p>
      <w:r>
        <w:rPr>
          <w:rFonts w:ascii="Garamond" w:hAnsi="Garamond"/>
        </w:rPr>
        <w:t>Les frais, droits et honoraires des présents statuts, ainsi que ceux qui en seront la suite ou la conséquence, sont à la charge de la société. Tous pouvoirs sont donnés au porteur d'un original des présents statuts pour effectuer les formalités de publicité et d'immatriculation au registre du commerce et des sociétés.</w:t>
      </w:r>
    </w:p>
    <w:p/>
    <w:p/>
    <w:p/>
    <w:p>
      <w:pPr>
        <w:jc w:val="left"/>
      </w:pPr>
      <w:r>
        <w:rPr>
          <w:rFonts w:ascii="Garamond" w:hAnsi="Garamond"/>
        </w:rPr>
        <w:t xml:space="preserve">Fait à </w:t>
      </w:r>
      <w:r>
        <w:rPr>
          <w:rFonts w:ascii="Garamond" w:hAnsi="Garamond"/>
          <w:b/>
        </w:rPr>
        <w:t>[VILLE]</w:t>
      </w:r>
      <w:r>
        <w:rPr>
          <w:rFonts w:ascii="Garamond" w:hAnsi="Garamond"/>
        </w:rPr>
        <w:t xml:space="preserve">, le </w:t>
      </w:r>
      <w:r>
        <w:rPr>
          <w:rFonts w:ascii="Garamond" w:hAnsi="Garamond"/>
          <w:b/>
        </w:rPr>
        <w:t>[JJ/MM/AAAA]</w:t>
      </w:r>
      <w:r>
        <w:rPr>
          <w:rFonts w:ascii="Garamond" w:hAnsi="Garamond"/>
        </w:rPr>
        <w:t xml:space="preserve">, en </w:t>
      </w:r>
      <w:r>
        <w:rPr>
          <w:rFonts w:ascii="Garamond" w:hAnsi="Garamond"/>
          <w:b/>
        </w:rPr>
        <w:t>[NOMBRE]</w:t>
      </w:r>
      <w:r>
        <w:rPr>
          <w:rFonts w:ascii="Garamond" w:hAnsi="Garamond"/>
        </w:rPr>
        <w:t xml:space="preserve"> exemplaires originaux.</w:t>
      </w:r>
    </w:p>
    <w:p/>
    <w:p/>
    <w:p/>
    <w:p>
      <w:r>
        <w:rPr>
          <w:rFonts w:ascii="Garamond" w:hAnsi="Garamond"/>
        </w:rPr>
        <w:t>| Signatures des associés fondateurs |</w:t>
      </w:r>
    </w:p>
    <w:p>
      <w:r>
        <w:rPr>
          <w:rFonts w:ascii="Garamond" w:hAnsi="Garamond"/>
        </w:rPr>
        <w:t>|---|</w:t>
      </w:r>
    </w:p>
    <w:p>
      <w:r>
        <w:rPr>
          <w:rFonts w:ascii="Garamond" w:hAnsi="Garamond"/>
        </w:rPr>
        <w:t xml:space="preserve">| </w:t>
      </w:r>
      <w:r>
        <w:rPr>
          <w:rFonts w:ascii="Garamond" w:hAnsi="Garamond"/>
          <w:b/>
        </w:rPr>
        <w:t>[NOM PRENOM - Associé fondateur 1]</w:t>
      </w:r>
      <w:r>
        <w:rPr>
          <w:rFonts w:ascii="Garamond" w:hAnsi="Garamond"/>
        </w:rPr>
        <w:t xml:space="preserve"> |</w:t>
      </w:r>
    </w:p>
    <w:p>
      <w:r>
        <w:rPr>
          <w:rFonts w:ascii="Garamond" w:hAnsi="Garamond"/>
        </w:rPr>
        <w:t xml:space="preserve">| </w:t>
      </w:r>
      <w:r>
        <w:rPr>
          <w:rFonts w:ascii="Garamond" w:hAnsi="Garamond"/>
          <w:b/>
        </w:rPr>
        <w:t>[NOM PRENOM - Associé fondateur 2]</w:t>
      </w:r>
      <w:r>
        <w:rPr>
          <w:rFonts w:ascii="Garamond" w:hAnsi="Garamond"/>
        </w:rPr>
        <w:t xml:space="preserve"> |</w:t>
      </w:r>
    </w:p>
    <w:p>
      <w:r>
        <w:rPr>
          <w:rFonts w:ascii="Garamond" w:hAnsi="Garamond"/>
        </w:rPr>
        <w:t xml:space="preserve">| </w:t>
      </w:r>
      <w:r>
        <w:rPr>
          <w:rFonts w:ascii="Garamond" w:hAnsi="Garamond"/>
          <w:b/>
        </w:rPr>
        <w:t>[NOM PRENOM - Associé fondateur 3]</w:t>
      </w:r>
      <w:r>
        <w:rPr>
          <w:rFonts w:ascii="Garamond" w:hAnsi="Garamond"/>
        </w:rPr>
        <w:t xml:space="preserve"> |</w:t>
      </w:r>
    </w:p>
    <w:p>
      <w:r>
        <w:br w:type="page"/>
      </w:r>
    </w:p>
    <w:p>
      <w:pPr>
        <w:spacing w:before="0" w:after="0"/>
        <w:pBdr>
          <w:bottom w:val="single" w:sz="6" w:space="1" w:color="5575A2"/>
        </w:pBdr>
      </w:pPr>
    </w:p>
    <w:p>
      <w:pPr>
        <w:spacing w:before="80" w:after="80"/>
        <w:jc w:val="center"/>
      </w:pPr>
      <w:r>
        <w:rPr>
          <w:rFonts w:ascii="Garamond" w:hAnsi="Garamond"/>
          <w:i/>
          <w:color w:val="5C5B58"/>
          <w:sz w:val="20"/>
        </w:rPr>
        <w:t>Contenu à supprimer après personnalisation</w:t>
      </w:r>
    </w:p>
    <w:p>
      <w:pPr>
        <w:spacing w:before="0" w:after="0"/>
        <w:pBdr>
          <w:bottom w:val="single" w:sz="6" w:space="1" w:color="5575A2"/>
        </w:pBdr>
      </w:pPr>
    </w:p>
    <w:p>
      <w:pPr>
        <w:spacing w:after="80"/>
      </w:pPr>
    </w:p>
    <w:tbl>
      <w:tblPr>
        <w:tblW w:type="auto" w:w="0"/>
        <w:tblLayout w:type="autofit"/>
        <w:tblLook w:firstColumn="1" w:firstRow="1" w:lastColumn="0" w:lastRow="0" w:noHBand="0" w:noVBand="1" w:val="04A0"/>
        <w:tblBorders>
          <w:top w:val="single" w:sz="10" w:space="0" w:color="5575A2"/>
          <w:left w:val="single" w:sz="10" w:space="0" w:color="5575A2"/>
          <w:bottom w:val="single" w:sz="10" w:space="0" w:color="5575A2"/>
          <w:right w:val="single" w:sz="10" w:space="0" w:color="5575A2"/>
          <w:insideH w:val="nil"/>
          <w:insideV w:val="nil"/>
        </w:tblBorders>
      </w:tblPr>
      <w:tblGrid>
        <w:gridCol w:w="9406"/>
      </w:tblGrid>
      <w:tr>
        <w:tc>
          <w:tcPr>
            <w:tcW w:type="dxa" w:w="9406"/>
          </w:tcPr>
          <w:p>
            <w:pPr>
              <w:spacing w:after="120"/>
              <w:jc w:val="left"/>
              <w:shd w:val="clear" w:color="auto" w:fill="F7F7F6"/>
            </w:pPr>
            <w:r/>
            <w:r>
              <w:rPr>
                <w:rFonts w:ascii="Garamond" w:hAnsi="Garamond"/>
                <w:b/>
                <w:color w:val="2C3E5A"/>
                <w:sz w:val="26"/>
              </w:rPr>
              <w:t>FAIRE SÉCURISER CE DOCUMENT PAR UN AVOCAT</w:t>
            </w:r>
          </w:p>
          <w:p>
            <w:pPr>
              <w:shd w:val="clear" w:color="auto" w:fill="F7F7F6"/>
              <w:spacing w:after="80"/>
              <w:jc w:val="left"/>
            </w:pPr>
            <w:r>
              <w:rPr>
                <w:rFonts w:ascii="Garamond" w:hAnsi="Garamond"/>
                <w:color w:val="272623"/>
                <w:sz w:val="22"/>
              </w:rPr>
              <w:t>Adapter ce modèle à votre situation, vérifier sa conformité au droit applicable et le signer en toute sérénité.</w:t>
            </w:r>
          </w:p>
          <w:p>
            <w:pPr>
              <w:shd w:val="clear" w:color="auto" w:fill="F7F7F6"/>
              <w:spacing w:after="80"/>
              <w:jc w:val="left"/>
            </w:pPr>
            <w:r>
              <w:rPr>
                <w:rFonts w:ascii="Garamond" w:hAnsi="Garamond"/>
                <w:color w:val="272623"/>
                <w:sz w:val="22"/>
              </w:rPr>
              <w:t>Sur swim.legal, un avocat d'affaires indépendant spécialisé vous répond rapidement, avec un devis transparent et un cadre d'intervention défini.</w:t>
            </w:r>
          </w:p>
          <w:p>
            <w:pPr>
              <w:shd w:val="clear" w:color="auto" w:fill="F9AF51"/>
              <w:spacing w:before="120" w:after="40"/>
              <w:jc w:val="left"/>
            </w:pPr>
            <w:r>
              <w:rPr>
                <w:rFonts w:ascii="Garamond" w:hAnsi="Garamond"/>
                <w:b/>
                <w:color w:val="3F1704"/>
                <w:sz w:val="24"/>
              </w:rPr>
              <w:t xml:space="preserve">  Déposez votre besoin : https://swim.legal  </w:t>
            </w:r>
          </w:p>
        </w:tc>
      </w:tr>
    </w:tbl>
    <w:p>
      <w:pPr>
        <w:spacing w:after="120"/>
      </w:pPr>
    </w:p>
    <w:p>
      <w:pPr>
        <w:keepNext/>
        <w:spacing w:before="200" w:after="120"/>
        <w:jc w:val="left"/>
      </w:pPr>
      <w:r>
        <w:rPr>
          <w:rFonts w:ascii="Garamond" w:hAnsi="Garamond"/>
          <w:b/>
          <w:color w:val="2C3E5A"/>
          <w:sz w:val="26"/>
        </w:rPr>
        <w:t>Notes de complétion</w:t>
      </w:r>
    </w:p>
    <w:p>
      <w:pPr>
        <w:pStyle w:val="ListBullet"/>
        <w:spacing w:after="60"/>
        <w:jc w:val="left"/>
      </w:pPr>
      <w:r>
        <w:rPr>
          <w:rFonts w:ascii="Garamond" w:hAnsi="Garamond"/>
          <w:b/>
        </w:rPr>
        <w:t>Dénomination</w:t>
      </w:r>
      <w:r>
        <w:rPr>
          <w:rFonts w:ascii="Garamond" w:hAnsi="Garamond"/>
        </w:rPr>
        <w:t xml:space="preserve"> : vérifier la disponibilité auprès de l'INPI (recherche d'antériorité marque) et du greffe (recherche d'antériorité dénomination).</w:t>
      </w:r>
    </w:p>
    <w:p>
      <w:pPr>
        <w:pStyle w:val="ListBullet"/>
        <w:spacing w:after="60"/>
        <w:jc w:val="left"/>
      </w:pPr>
      <w:r>
        <w:rPr>
          <w:rFonts w:ascii="Garamond" w:hAnsi="Garamond"/>
          <w:b/>
        </w:rPr>
        <w:t>Objet social</w:t>
      </w:r>
      <w:r>
        <w:rPr>
          <w:rFonts w:ascii="Garamond" w:hAnsi="Garamond"/>
        </w:rPr>
        <w:t xml:space="preserve"> : libeller avec précision. Un objet trop large complique la souscription d'assurances et l'obtention de financement ; un objet trop étroit oblige à une modification statutaire en cas de pivot d'activité.</w:t>
      </w:r>
    </w:p>
    <w:p>
      <w:pPr>
        <w:pStyle w:val="ListBullet"/>
        <w:spacing w:after="60"/>
        <w:jc w:val="left"/>
      </w:pPr>
      <w:r>
        <w:rPr>
          <w:rFonts w:ascii="Garamond" w:hAnsi="Garamond"/>
          <w:b/>
        </w:rPr>
        <w:t>Durée</w:t>
      </w:r>
      <w:r>
        <w:rPr>
          <w:rFonts w:ascii="Garamond" w:hAnsi="Garamond"/>
        </w:rPr>
        <w:t xml:space="preserve"> : 99 ans est le plafond légal. Aucun intérêt à fixer une durée inférieure sauf projet de joint-venture limité dans le temps.</w:t>
      </w:r>
    </w:p>
    <w:p>
      <w:pPr>
        <w:pStyle w:val="ListBullet"/>
        <w:spacing w:after="60"/>
        <w:jc w:val="left"/>
      </w:pPr>
      <w:r>
        <w:rPr>
          <w:rFonts w:ascii="Garamond" w:hAnsi="Garamond"/>
          <w:b/>
        </w:rPr>
        <w:t>Apports</w:t>
      </w:r>
      <w:r>
        <w:rPr>
          <w:rFonts w:ascii="Garamond" w:hAnsi="Garamond"/>
        </w:rPr>
        <w:t xml:space="preserve"> : pour les apports en nature supérieurs à 30 000 euros ou représentant plus de la moitié du capital, la désignation d'un commissaire aux apports est obligatoire (article L. 227-1 C. com.). Le rapport doit être annexé aux statuts.</w:t>
      </w:r>
    </w:p>
    <w:p>
      <w:pPr>
        <w:pStyle w:val="ListBullet"/>
        <w:spacing w:after="60"/>
        <w:jc w:val="left"/>
      </w:pPr>
      <w:r>
        <w:rPr>
          <w:rFonts w:ascii="Garamond" w:hAnsi="Garamond"/>
          <w:b/>
        </w:rPr>
        <w:t>Libération du capital</w:t>
      </w:r>
      <w:r>
        <w:rPr>
          <w:rFonts w:ascii="Garamond" w:hAnsi="Garamond"/>
        </w:rPr>
        <w:t xml:space="preserve"> : libération immédiate de 50 % minimum pour les apports en numéraire, le solde dans les cinq ans (article L. 225-3 C. com. applicable par renvoi).</w:t>
      </w:r>
    </w:p>
    <w:p>
      <w:pPr>
        <w:pStyle w:val="ListBullet"/>
        <w:spacing w:after="60"/>
        <w:jc w:val="left"/>
      </w:pPr>
      <w:r>
        <w:rPr>
          <w:rFonts w:ascii="Garamond" w:hAnsi="Garamond"/>
          <w:b/>
        </w:rPr>
        <w:t>Inaliénabilité, agrément, préemption</w:t>
      </w:r>
      <w:r>
        <w:rPr>
          <w:rFonts w:ascii="Garamond" w:hAnsi="Garamond"/>
        </w:rPr>
        <w:t xml:space="preserve"> : ces clauses sont fortement recommandées pour éviter l'entrée non maîtrisée de tiers au capital. À calibrer en fonction du projet (start-up, holding familial, joint-venture industrielle).</w:t>
      </w:r>
    </w:p>
    <w:p>
      <w:pPr>
        <w:pStyle w:val="ListBullet"/>
        <w:spacing w:after="60"/>
        <w:jc w:val="left"/>
      </w:pPr>
      <w:r>
        <w:rPr>
          <w:rFonts w:ascii="Garamond" w:hAnsi="Garamond"/>
          <w:b/>
        </w:rPr>
        <w:t>Pouvoirs du président</w:t>
      </w:r>
      <w:r>
        <w:rPr>
          <w:rFonts w:ascii="Garamond" w:hAnsi="Garamond"/>
        </w:rPr>
        <w:t xml:space="preserve"> : la limitation interne par seuils financiers est inopposable aux tiers (article L. 227-6 C. com.) mais constitue une discipline de gouvernance utile.</w:t>
      </w:r>
    </w:p>
    <w:p>
      <w:pPr>
        <w:pStyle w:val="ListBullet"/>
        <w:spacing w:after="60"/>
        <w:jc w:val="left"/>
      </w:pPr>
      <w:r>
        <w:rPr>
          <w:rFonts w:ascii="Garamond" w:hAnsi="Garamond"/>
          <w:b/>
        </w:rPr>
        <w:t>Décisions collectives</w:t>
      </w:r>
      <w:r>
        <w:rPr>
          <w:rFonts w:ascii="Garamond" w:hAnsi="Garamond"/>
        </w:rPr>
        <w:t xml:space="preserve"> : la SAS offre une grande liberté contractuelle. Pour éviter les blocages, distinguer clairement les décisions à majorité simple, à majorité qualifiée et à l'unanimité.</w:t>
      </w:r>
    </w:p>
    <w:p>
      <w:pPr>
        <w:pStyle w:val="ListBullet"/>
        <w:spacing w:after="60"/>
        <w:jc w:val="left"/>
      </w:pPr>
      <w:r>
        <w:rPr>
          <w:rFonts w:ascii="Garamond" w:hAnsi="Garamond"/>
          <w:b/>
        </w:rPr>
        <w:t>Commissaire aux comptes</w:t>
      </w:r>
      <w:r>
        <w:rPr>
          <w:rFonts w:ascii="Garamond" w:hAnsi="Garamond"/>
        </w:rPr>
        <w:t xml:space="preserve"> : vérifier les seuils à jour (refonte 2024 sur les seuils de désignation obligatoire) et envisager une désignation volontaire pour rassurer investisseurs et partenaires bancaires.</w:t>
      </w:r>
    </w:p>
    <w:p>
      <w:pPr>
        <w:pStyle w:val="ListBullet"/>
        <w:spacing w:after="60"/>
        <w:jc w:val="left"/>
      </w:pPr>
      <w:r>
        <w:rPr>
          <w:rFonts w:ascii="Garamond" w:hAnsi="Garamond"/>
          <w:b/>
        </w:rPr>
        <w:t>Pacte d'associés</w:t>
      </w:r>
      <w:r>
        <w:rPr>
          <w:rFonts w:ascii="Garamond" w:hAnsi="Garamond"/>
        </w:rPr>
        <w:t xml:space="preserve"> : la SAS gagne à être complétée par un pacte d'associés couvrant les sujets sensibles (sortie, leaver clauses, anti-dilution, drag along, tag along) qui n'ont pas vocation à figurer dans les statuts publics.</w:t>
      </w:r>
    </w:p>
    <w:p>
      <w:pPr>
        <w:pStyle w:val="ListBullet"/>
        <w:spacing w:after="60"/>
        <w:jc w:val="left"/>
      </w:pPr>
      <w:r>
        <w:rPr>
          <w:rFonts w:ascii="Garamond" w:hAnsi="Garamond"/>
          <w:b/>
        </w:rPr>
        <w:t>Pièges fréquents</w:t>
      </w:r>
      <w:r>
        <w:rPr>
          <w:rFonts w:ascii="Garamond" w:hAnsi="Garamond"/>
        </w:rPr>
        <w:t xml:space="preserve"> : oubli des seuils d'autorisation préalable, clause d'agrément ambiguë (les associés actuels ne sont en principe pas soumis à agrément entre eux sauf stipulation expresse), absence de procédure de cession définie, durée des mandats indéterminée sans clause de révocabilité ad nutum.</w:t>
      </w:r>
    </w:p>
    <w:p>
      <w:pPr>
        <w:spacing w:after="120"/>
      </w:pPr>
    </w:p>
    <w:p>
      <w:pPr>
        <w:keepNext/>
        <w:spacing w:before="200" w:after="120"/>
        <w:jc w:val="left"/>
      </w:pPr>
      <w:r>
        <w:rPr>
          <w:rFonts w:ascii="Garamond" w:hAnsi="Garamond"/>
          <w:b/>
          <w:color w:val="2C3E5A"/>
          <w:sz w:val="26"/>
        </w:rPr>
        <w:t>AVERTISSEMENT JURIDIQUE</w:t>
      </w:r>
    </w:p>
    <w:p>
      <w:pPr>
        <w:spacing w:after="60"/>
      </w:pPr>
      <w:r>
        <w:rPr>
          <w:rFonts w:ascii="Garamond" w:hAnsi="Garamond"/>
          <w:sz w:val="22"/>
        </w:rPr>
        <w:t>Ce document est un modèle indicatif fourni à titre informatif et pédagogique. Il a été rédigé sur la base du droit français en vigueur à la date indiquée et constitue, par nature, un texte incomplet, tant dans le fond que dans la forme.</w:t>
      </w:r>
    </w:p>
    <w:p>
      <w:pPr>
        <w:spacing w:after="60"/>
      </w:pPr>
      <w:r>
        <w:rPr>
          <w:rFonts w:ascii="Garamond" w:hAnsi="Garamond"/>
          <w:sz w:val="22"/>
        </w:rPr>
        <w:t>Il ne couvre pas l'intégralité des hypothèses, clauses, mentions, formalités ou particularités susceptibles d'être applicables à un cas concret. Il peut comporter des erreurs, des imprécisions, des omissions ou des dispositions inadaptées à votre situation, à la convention collective dont vous relevez, à votre secteur d'activité, à la nature exacte de vos relations contractuelles ou aux évolutions législatives, réglementaires et jurisprudentielles intervenues postérieurement à sa rédaction.</w:t>
      </w:r>
    </w:p>
    <w:p>
      <w:pPr>
        <w:spacing w:after="60"/>
      </w:pPr>
      <w:r>
        <w:rPr>
          <w:rFonts w:ascii="Garamond" w:hAnsi="Garamond"/>
          <w:sz w:val="22"/>
        </w:rPr>
        <w:t>Il ne constitue pas un conseil juridique personnalisé et ne saurait se substituer à l'analyse d'un avocat. Toute utilisation dans un cas concret nécessite une adaptation aux circonstances de fait et de droit propres à la situation, ainsi qu'une vérification de la conformité aux dispositions légales, réglementaires et conventionnelles applicables au jour de la signature.</w:t>
      </w:r>
    </w:p>
    <w:p>
      <w:pPr>
        <w:spacing w:after="60"/>
      </w:pPr>
      <w:r>
        <w:rPr>
          <w:rFonts w:ascii="Garamond" w:hAnsi="Garamond"/>
          <w:sz w:val="22"/>
        </w:rPr>
        <w:t>SWIM LEGAL décline toute responsabilité quant à l'usage qui pourrait être fait de ce modèle sans validation préalable par un professionnel du droit.</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Garamond" w:hAnsi="Garamond"/>
        <w:sz w:val="18"/>
      </w:rPr>
      <w:t xml:space="preserve">Page </w:t>
    </w:r>
    <w:r>
      <w:rPr>
        <w:rFonts w:ascii="Garamond" w:hAnsi="Garamond"/>
        <w:sz w:val="18"/>
      </w:rPr>
      <w:fldChar w:fldCharType="begin"/>
      <w:instrText xml:space="preserve">PAGE</w:instrText>
      <w:fldChar w:fldCharType="end"/>
    </w:r>
    <w:r>
      <w:rPr>
        <w:rFonts w:ascii="Garamond" w:hAnsi="Garamond"/>
        <w:sz w:val="18"/>
      </w:rPr>
      <w:t xml:space="preserve"> sur </w:t>
    </w:r>
    <w:r>
      <w:rPr>
        <w:rFonts w:ascii="Garamond" w:hAnsi="Garamond"/>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Garamond" w:hAnsi="Garamond"/>
        <w:i/>
        <w:color w:val="5C5B58"/>
        <w:sz w:val="18"/>
      </w:rPr>
      <w:t>STATUTS DE LA SOCIETE PAR ACTIONS SIMPLIFIEE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4" w:lineRule="auto" w:after="60" w:before="0"/>
      <w:jc w:val="both"/>
    </w:pPr>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