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120" w:after="200"/>
        <w:jc w:val="center"/>
      </w:pPr>
      <w:r>
        <w:rPr>
          <w:rFonts w:ascii="Garamond" w:hAnsi="Garamond"/>
          <w:b/>
          <w:color w:val="2C3E5A"/>
          <w:sz w:val="32"/>
        </w:rPr>
        <w:t>CONTRAT DE BAIL PROFESSIONNEL</w:t>
      </w:r>
    </w:p>
    <w:p/>
    <w:p/>
    <w:p/>
    <w:p>
      <w:r>
        <w:rPr>
          <w:rFonts w:ascii="Garamond" w:hAnsi="Garamond"/>
          <w:i/>
        </w:rPr>
        <w:t>Soumis à l'article 57 A de la loi n° 86-1290 du 23 décembre 1986 et aux dispositions du Code civil</w:t>
      </w:r>
    </w:p>
    <w:p/>
    <w:p/>
    <w:p/>
    <w:p>
      <w:r>
        <w:rPr>
          <w:rFonts w:ascii="Garamond" w:hAnsi="Garamond"/>
          <w:b/>
        </w:rPr>
        <w:t>Entre les soussignés :</w:t>
      </w:r>
    </w:p>
    <w:p/>
    <w:p>
      <w:r>
        <w:rPr>
          <w:rFonts w:ascii="Garamond" w:hAnsi="Garamond"/>
          <w:b/>
          <w:color w:val="8A5A00"/>
        </w:rPr>
        <w:t>[NOM ET PRÉNOM DU BAILLEUR / DÉNOMINATION, FORME ET CAPITAL DE LA SOCIÉTÉ BAILLERESSE]</w:t>
      </w:r>
      <w:r>
        <w:rPr>
          <w:rFonts w:ascii="Garamond" w:hAnsi="Garamond"/>
        </w:rPr>
        <w:t xml:space="preserve">, demeurant / dont le siège est </w:t>
      </w:r>
      <w:r>
        <w:rPr>
          <w:rFonts w:ascii="Garamond" w:hAnsi="Garamond"/>
          <w:b/>
          <w:color w:val="8A5A00"/>
        </w:rPr>
        <w:t>[ADRESSE COMPLÈTE]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color w:val="8A5A00"/>
        </w:rPr>
        <w:t>[LE CAS ÉCHÉANT : immatriculée sous le numéro SIREN [NUMÉRO]</w:t>
      </w:r>
      <w:r>
        <w:rPr>
          <w:rFonts w:ascii="Garamond" w:hAnsi="Garamond"/>
        </w:rPr>
        <w:t xml:space="preserve">, représentée par </w:t>
      </w:r>
      <w:r>
        <w:rPr>
          <w:rFonts w:ascii="Garamond" w:hAnsi="Garamond"/>
          <w:b/>
          <w:color w:val="8A5A00"/>
        </w:rPr>
        <w:t>[NOM ET QUALITÉ]</w:t>
      </w:r>
      <w:r>
        <w:rPr>
          <w:rFonts w:ascii="Garamond" w:hAnsi="Garamond"/>
        </w:rPr>
        <w:t>],</w:t>
      </w:r>
    </w:p>
    <w:p/>
    <w:p>
      <w:r>
        <w:rPr>
          <w:rFonts w:ascii="Garamond" w:hAnsi="Garamond"/>
        </w:rPr>
        <w:t>ci-après dénommé « le Bailleur »,</w:t>
      </w:r>
    </w:p>
    <w:p/>
    <w:p>
      <w:pPr>
        <w:jc w:val="right"/>
      </w:pPr>
      <w:r>
        <w:rPr>
          <w:rFonts w:ascii="Garamond" w:hAnsi="Garamond"/>
          <w:i/>
        </w:rPr>
        <w:t>D'une part,</w:t>
      </w:r>
    </w:p>
    <w:p/>
    <w:p>
      <w:r>
        <w:rPr>
          <w:rFonts w:ascii="Garamond" w:hAnsi="Garamond"/>
          <w:b/>
        </w:rPr>
        <w:t>Et :</w:t>
      </w:r>
    </w:p>
    <w:p/>
    <w:p>
      <w:r>
        <w:rPr>
          <w:rFonts w:ascii="Garamond" w:hAnsi="Garamond"/>
          <w:b/>
          <w:color w:val="8A5A00"/>
        </w:rPr>
        <w:t>[NOM ET PRÉNOM DU PRENEUR / DÉNOMINATION, FORME ET CAPITAL]</w:t>
      </w:r>
      <w:r>
        <w:rPr>
          <w:rFonts w:ascii="Garamond" w:hAnsi="Garamond"/>
        </w:rPr>
        <w:t xml:space="preserve">, exerçant la profession de </w:t>
      </w:r>
      <w:r>
        <w:rPr>
          <w:rFonts w:ascii="Garamond" w:hAnsi="Garamond"/>
          <w:b/>
          <w:color w:val="8A5A00"/>
        </w:rPr>
        <w:t>[PROFESSION LIBÉRALE OU ACTIVITÉ PROFESSIONNELLE NON COMMERCIALE]</w:t>
      </w:r>
      <w:r>
        <w:rPr>
          <w:rFonts w:ascii="Garamond" w:hAnsi="Garamond"/>
        </w:rPr>
        <w:t xml:space="preserve">, demeurant / dont le siège est </w:t>
      </w:r>
      <w:r>
        <w:rPr>
          <w:rFonts w:ascii="Garamond" w:hAnsi="Garamond"/>
          <w:b/>
          <w:color w:val="8A5A00"/>
        </w:rPr>
        <w:t>[ADRESSE COMPLÈTE]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color w:val="8A5A00"/>
        </w:rPr>
        <w:t>[LE CAS ÉCHÉANT : numéro SIREN / numéro d'inscription à l'ordre [NUMÉRO]</w:t>
      </w:r>
      <w:r>
        <w:rPr>
          <w:rFonts w:ascii="Garamond" w:hAnsi="Garamond"/>
        </w:rPr>
        <w:t>],</w:t>
      </w:r>
    </w:p>
    <w:p/>
    <w:p>
      <w:r>
        <w:rPr>
          <w:rFonts w:ascii="Garamond" w:hAnsi="Garamond"/>
        </w:rPr>
        <w:t>ci-après dénommé « le Preneur »,</w:t>
      </w:r>
    </w:p>
    <w:p/>
    <w:p>
      <w:pPr>
        <w:jc w:val="right"/>
      </w:pPr>
      <w:r>
        <w:rPr>
          <w:rFonts w:ascii="Garamond" w:hAnsi="Garamond"/>
          <w:i/>
        </w:rPr>
        <w:t>D'autre part,</w:t>
      </w:r>
    </w:p>
    <w:p/>
    <w:p/>
    <w:p/>
    <w:p>
      <w:r>
        <w:rPr>
          <w:rFonts w:ascii="Garamond" w:hAnsi="Garamond"/>
        </w:rPr>
        <w:t>Il a été convenu ce qui suit.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1 - Objet et destination</w:t>
      </w:r>
    </w:p>
    <w:p/>
    <w:p>
      <w:r>
        <w:rPr>
          <w:rFonts w:ascii="Garamond" w:hAnsi="Garamond"/>
        </w:rPr>
        <w:t xml:space="preserve">Le Bailleur donne à bail au Preneur, qui accepte, les locaux ci-après désignés, à usage </w:t>
      </w:r>
      <w:r>
        <w:rPr>
          <w:rFonts w:ascii="Garamond" w:hAnsi="Garamond"/>
          <w:b/>
        </w:rPr>
        <w:t>exclusivement professionnel</w:t>
      </w:r>
      <w:r>
        <w:rPr>
          <w:rFonts w:ascii="Garamond" w:hAnsi="Garamond"/>
        </w:rPr>
        <w:t xml:space="preserve"> pour l'exercice de l'activité de </w:t>
      </w:r>
      <w:r>
        <w:rPr>
          <w:rFonts w:ascii="Garamond" w:hAnsi="Garamond"/>
          <w:b/>
          <w:color w:val="8A5A00"/>
        </w:rPr>
        <w:t>[PROFESSION OU ACTIVITÉ]</w:t>
      </w:r>
      <w:r>
        <w:rPr>
          <w:rFonts w:ascii="Garamond" w:hAnsi="Garamond"/>
        </w:rPr>
        <w:t>. Toute autre destination, et notamment tout usage commercial, est interdite sans l'accord écrit du Bailleur, sauf adoption conventionnelle du statut des baux commerciaux prévue à l'article 11.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2 - Désignation des locaux</w:t>
      </w:r>
    </w:p>
    <w:p/>
    <w:p>
      <w:r>
        <w:rPr>
          <w:rFonts w:ascii="Garamond" w:hAnsi="Garamond"/>
        </w:rPr>
        <w:t xml:space="preserve">Les locaux loués sont situés </w:t>
      </w:r>
      <w:r>
        <w:rPr>
          <w:rFonts w:ascii="Garamond" w:hAnsi="Garamond"/>
          <w:b/>
          <w:color w:val="8A5A00"/>
        </w:rPr>
        <w:t>[ADRESSE COMPLÈTE]</w:t>
      </w:r>
      <w:r>
        <w:rPr>
          <w:rFonts w:ascii="Garamond" w:hAnsi="Garamond"/>
        </w:rPr>
        <w:t xml:space="preserve">, et comprennent </w:t>
      </w:r>
      <w:r>
        <w:rPr>
          <w:rFonts w:ascii="Garamond" w:hAnsi="Garamond"/>
          <w:b/>
          <w:color w:val="8A5A00"/>
        </w:rPr>
        <w:t>[DÉSIGNATION DÉTAILLÉE : nature des pièces, surface en m², étage, dépendances, parties communes, équipements]</w:t>
      </w:r>
      <w:r>
        <w:rPr>
          <w:rFonts w:ascii="Garamond" w:hAnsi="Garamond"/>
        </w:rPr>
        <w:t>. Un état des lieux contradictoire est établi à l'entrée et annexé au présent contrat.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3 - Durée</w:t>
      </w:r>
    </w:p>
    <w:p/>
    <w:p>
      <w:r>
        <w:rPr>
          <w:rFonts w:ascii="Garamond" w:hAnsi="Garamond"/>
        </w:rPr>
        <w:t xml:space="preserve">Le présent bail est consenti pour une durée de </w:t>
      </w:r>
      <w:r>
        <w:rPr>
          <w:rFonts w:ascii="Garamond" w:hAnsi="Garamond"/>
          <w:b/>
          <w:color w:val="8A5A00"/>
        </w:rPr>
        <w:t>[DURÉE EN ANNÉES, AU MINIMUM SIX ANS]</w:t>
      </w:r>
      <w:r>
        <w:rPr>
          <w:rFonts w:ascii="Garamond" w:hAnsi="Garamond"/>
        </w:rPr>
        <w:t xml:space="preserve"> années entières et consécutives, à compter du </w:t>
      </w:r>
      <w:r>
        <w:rPr>
          <w:rFonts w:ascii="Garamond" w:hAnsi="Garamond"/>
          <w:b/>
          <w:color w:val="8A5A00"/>
        </w:rPr>
        <w:t>[DATE DE PRISE D'EFFET - JJ/MM/AAAA]</w:t>
      </w:r>
      <w:r>
        <w:rPr>
          <w:rFonts w:ascii="Garamond" w:hAnsi="Garamond"/>
        </w:rPr>
        <w:t>, conformément à l'article 57 A de la loi du 23 décembre 1986.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4 - Congé et renouvellement</w:t>
      </w:r>
    </w:p>
    <w:p/>
    <w:p>
      <w:r>
        <w:rPr>
          <w:rFonts w:ascii="Garamond" w:hAnsi="Garamond"/>
        </w:rPr>
        <w:t xml:space="preserve">Le Preneur peut notifier au Bailleur, à tout moment, son intention de quitter les locaux en respectant un préavis de </w:t>
      </w:r>
      <w:r>
        <w:rPr>
          <w:rFonts w:ascii="Garamond" w:hAnsi="Garamond"/>
          <w:b/>
        </w:rPr>
        <w:t>six mois</w:t>
      </w:r>
      <w:r>
        <w:rPr>
          <w:rFonts w:ascii="Garamond" w:hAnsi="Garamond"/>
        </w:rPr>
        <w:t>. Le Bailleur ne peut donner congé qu'à l'expiration du bail, moyennant un préavis de six mois. À défaut de congé régulièrement délivré, le bail est, à son terme, reconduit tacitement dans les conditions prévues au contrat. Tout congé est notifié par lettre recommandée avec accusé de réception ou par acte de commissaire de justice.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5 - Loyer</w:t>
      </w:r>
    </w:p>
    <w:p/>
    <w:p>
      <w:r>
        <w:rPr>
          <w:rFonts w:ascii="Garamond" w:hAnsi="Garamond"/>
        </w:rPr>
        <w:t xml:space="preserve">Le loyer annuel est fixé à </w:t>
      </w:r>
      <w:r>
        <w:rPr>
          <w:rFonts w:ascii="Garamond" w:hAnsi="Garamond"/>
          <w:b/>
          <w:color w:val="8A5A00"/>
        </w:rPr>
        <w:t>[MONTANT EN CHIFFRES]</w:t>
      </w:r>
      <w:r>
        <w:rPr>
          <w:rFonts w:ascii="Garamond" w:hAnsi="Garamond"/>
        </w:rPr>
        <w:t xml:space="preserve"> euros (</w:t>
      </w:r>
      <w:r>
        <w:rPr>
          <w:rFonts w:ascii="Garamond" w:hAnsi="Garamond"/>
          <w:b/>
          <w:color w:val="8A5A00"/>
        </w:rPr>
        <w:t>[MONTANT EN TOUTES LETTRES]</w:t>
      </w:r>
      <w:r>
        <w:rPr>
          <w:rFonts w:ascii="Garamond" w:hAnsi="Garamond"/>
        </w:rPr>
        <w:t xml:space="preserve"> euros), payable </w:t>
      </w:r>
      <w:r>
        <w:rPr>
          <w:rFonts w:ascii="Garamond" w:hAnsi="Garamond"/>
          <w:b/>
          <w:color w:val="8A5A00"/>
        </w:rPr>
        <w:t>[PÉRIODICITÉ ET TERME - ex. trimestriellement et d'avance]</w:t>
      </w:r>
      <w:r>
        <w:rPr>
          <w:rFonts w:ascii="Garamond" w:hAnsi="Garamond"/>
        </w:rPr>
        <w:t xml:space="preserve">, par </w:t>
      </w:r>
      <w:r>
        <w:rPr>
          <w:rFonts w:ascii="Garamond" w:hAnsi="Garamond"/>
          <w:b/>
          <w:color w:val="8A5A00"/>
        </w:rPr>
        <w:t>[MODE DE PAIEMENT]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b/>
          <w:color w:val="8A5A00"/>
        </w:rPr>
        <w:t>[LE CAS ÉCHÉANT : Le loyer est assujetti à la TVA au taux en vigueur.]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6 - Révision du loyer</w:t>
      </w:r>
    </w:p>
    <w:p/>
    <w:p>
      <w:r>
        <w:rPr>
          <w:rFonts w:ascii="Garamond" w:hAnsi="Garamond"/>
        </w:rPr>
        <w:t xml:space="preserve">Le loyer est révisé </w:t>
      </w:r>
      <w:r>
        <w:rPr>
          <w:rFonts w:ascii="Garamond" w:hAnsi="Garamond"/>
          <w:b/>
          <w:color w:val="8A5A00"/>
        </w:rPr>
        <w:t>[PÉRIODICITÉ DE RÉVISION - ex. annuellement]</w:t>
      </w:r>
      <w:r>
        <w:rPr>
          <w:rFonts w:ascii="Garamond" w:hAnsi="Garamond"/>
        </w:rPr>
        <w:t xml:space="preserve">, en fonction de la variation de l'indice </w:t>
      </w:r>
      <w:r>
        <w:rPr>
          <w:rFonts w:ascii="Garamond" w:hAnsi="Garamond"/>
          <w:b/>
          <w:color w:val="8A5A00"/>
        </w:rPr>
        <w:t>[INDICE DE RÉFÉRENCE - ex. ILAT publié par l'INSEE]</w:t>
      </w:r>
      <w:r>
        <w:rPr>
          <w:rFonts w:ascii="Garamond" w:hAnsi="Garamond"/>
        </w:rPr>
        <w:t xml:space="preserve">, l'indice de base étant celui du </w:t>
      </w:r>
      <w:r>
        <w:rPr>
          <w:rFonts w:ascii="Garamond" w:hAnsi="Garamond"/>
          <w:b/>
          <w:color w:val="8A5A00"/>
        </w:rPr>
        <w:t>[TRIMESTRE ET ANNÉE DE RÉFÉRENCE]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b/>
          <w:color w:val="8A5A00"/>
        </w:rPr>
        <w:t>[PRÉCISER LA FORMULE D'INDEXATION RETENUE.]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7 - Charges, taxes et travaux</w:t>
      </w:r>
    </w:p>
    <w:p/>
    <w:p>
      <w:r>
        <w:rPr>
          <w:rFonts w:ascii="Garamond" w:hAnsi="Garamond"/>
        </w:rPr>
        <w:t xml:space="preserve">Le Preneur rembourse au Bailleur les charges suivantes : </w:t>
      </w:r>
      <w:r>
        <w:rPr>
          <w:rFonts w:ascii="Garamond" w:hAnsi="Garamond"/>
          <w:b/>
          <w:color w:val="8A5A00"/>
        </w:rPr>
        <w:t>[LISTE DES CHARGES RÉCUPÉRABLES]</w:t>
      </w:r>
      <w:r>
        <w:rPr>
          <w:rFonts w:ascii="Garamond" w:hAnsi="Garamond"/>
        </w:rPr>
        <w:t xml:space="preserve">. La répartition des taxes et des travaux entre les parties est la suivante : </w:t>
      </w:r>
      <w:r>
        <w:rPr>
          <w:rFonts w:ascii="Garamond" w:hAnsi="Garamond"/>
          <w:b/>
          <w:color w:val="8A5A00"/>
        </w:rPr>
        <w:t>[PRÉCISER LA RÉPARTITION - grosses réparations de l'article 606 du Code civil à la charge du Bailleur, sauf stipulation contraire licite]</w:t>
      </w:r>
      <w:r>
        <w:rPr>
          <w:rFonts w:ascii="Garamond" w:hAnsi="Garamond"/>
        </w:rPr>
        <w:t>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8 - Dépôt de garantie</w:t>
      </w:r>
    </w:p>
    <w:p/>
    <w:p>
      <w:r>
        <w:rPr>
          <w:rFonts w:ascii="Garamond" w:hAnsi="Garamond"/>
        </w:rPr>
        <w:t xml:space="preserve">À la signature des présentes, le Preneur verse au Bailleur un dépôt de garantie de </w:t>
      </w:r>
      <w:r>
        <w:rPr>
          <w:rFonts w:ascii="Garamond" w:hAnsi="Garamond"/>
          <w:b/>
          <w:color w:val="8A5A00"/>
        </w:rPr>
        <w:t>[MONTANT EN EUROS]</w:t>
      </w:r>
      <w:r>
        <w:rPr>
          <w:rFonts w:ascii="Garamond" w:hAnsi="Garamond"/>
        </w:rPr>
        <w:t xml:space="preserve">, restituable en fin de bail, déduction faite des sommes éventuellement dues, dans les conditions de l'article </w:t>
      </w:r>
      <w:r>
        <w:rPr>
          <w:rFonts w:ascii="Garamond" w:hAnsi="Garamond"/>
          <w:b/>
          <w:color w:val="8A5A00"/>
        </w:rPr>
        <w:t>[NUMÉRO]</w:t>
      </w:r>
      <w:r>
        <w:rPr>
          <w:rFonts w:ascii="Garamond" w:hAnsi="Garamond"/>
        </w:rPr>
        <w:t>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9 - Obligations du Preneur</w:t>
      </w:r>
    </w:p>
    <w:p/>
    <w:p>
      <w:r>
        <w:rPr>
          <w:rFonts w:ascii="Garamond" w:hAnsi="Garamond"/>
        </w:rPr>
        <w:t xml:space="preserve">Le Preneur use paisiblement des locaux, les entretient, souscrit les assurances requises et justifie de leur paiement, et ne peut </w:t>
      </w:r>
      <w:r>
        <w:rPr>
          <w:rFonts w:ascii="Garamond" w:hAnsi="Garamond"/>
          <w:b/>
          <w:color w:val="8A5A00"/>
        </w:rPr>
        <w:t>[CÉDER LE BAIL / SOUS-LOUER]</w:t>
      </w:r>
      <w:r>
        <w:rPr>
          <w:rFonts w:ascii="Garamond" w:hAnsi="Garamond"/>
        </w:rPr>
        <w:t xml:space="preserve"> sans l'accord écrit du Bailleur, dans les conditions précisées à l'article </w:t>
      </w:r>
      <w:r>
        <w:rPr>
          <w:rFonts w:ascii="Garamond" w:hAnsi="Garamond"/>
          <w:b/>
          <w:color w:val="8A5A00"/>
        </w:rPr>
        <w:t>[NUMÉRO]</w:t>
      </w:r>
      <w:r>
        <w:rPr>
          <w:rFonts w:ascii="Garamond" w:hAnsi="Garamond"/>
        </w:rPr>
        <w:t>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10 - Obligations du Bailleur</w:t>
      </w:r>
    </w:p>
    <w:p/>
    <w:p>
      <w:r>
        <w:rPr>
          <w:rFonts w:ascii="Garamond" w:hAnsi="Garamond"/>
        </w:rPr>
        <w:t>Le Bailleur délivre les locaux en bon état d'usage, en assure la jouissance paisible et exécute les réparations lui incombant.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11 - Adoption conventionnelle du statut des baux commerciaux (clause optionnelle)</w:t>
      </w:r>
    </w:p>
    <w:p/>
    <w:p>
      <w:r>
        <w:rPr>
          <w:rFonts w:ascii="Garamond" w:hAnsi="Garamond"/>
          <w:b/>
          <w:color w:val="8A5A00"/>
        </w:rPr>
        <w:t>[OPTION - À SUPPRIMER SI NON RETENUE : Par dérogation à l'article 57 A de la loi du 23 décembre 1986, les parties conviennent de soumettre le présent bail au statut des baux commerciaux des articles L. 145-1 et suivants du Code de commerce. Cette option emporte des conséquences importantes, notamment en matière de durée, de renouvellement et de propriété commerciale.]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Article 12 - Élection de domicile et règlement des litiges</w:t>
      </w:r>
    </w:p>
    <w:p/>
    <w:p>
      <w:r>
        <w:rPr>
          <w:rFonts w:ascii="Garamond" w:hAnsi="Garamond"/>
        </w:rPr>
        <w:t xml:space="preserve">Pour l'exécution des présentes, les parties élisent domicile en leurs adresses respectives indiquées en tête. </w:t>
      </w:r>
      <w:r>
        <w:rPr>
          <w:rFonts w:ascii="Garamond" w:hAnsi="Garamond"/>
          <w:b/>
          <w:color w:val="8A5A00"/>
        </w:rPr>
        <w:t>[PRÉCISER, LE CAS ÉCHÉANT, LA JURIDICTION COMPÉTENTE OU UNE CLAUSE DE MÉDIATION PRÉALABLE.]</w:t>
      </w:r>
    </w:p>
    <w:p/>
    <w:p/>
    <w:p/>
    <w:p>
      <w:r>
        <w:rPr>
          <w:rFonts w:ascii="Garamond" w:hAnsi="Garamond"/>
        </w:rPr>
        <w:t xml:space="preserve">Fait à </w:t>
      </w:r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, en </w:t>
      </w:r>
      <w:r>
        <w:rPr>
          <w:rFonts w:ascii="Garamond" w:hAnsi="Garamond"/>
          <w:b/>
          <w:color w:val="8A5A00"/>
        </w:rPr>
        <w:t>[NOMBRE]</w:t>
      </w:r>
      <w:r>
        <w:rPr>
          <w:rFonts w:ascii="Garamond" w:hAnsi="Garamond"/>
        </w:rPr>
        <w:t xml:space="preserve"> exemplaires originaux.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3"/>
        <w:gridCol w:w="4703"/>
      </w:tblGrid>
      <w:tr>
        <w:tc>
          <w:tcPr>
            <w:tcW w:type="dxa" w:w="4703"/>
          </w:tcPr>
          <w:p>
            <w:r/>
          </w:p>
          <w:p/>
          <w:p>
            <w:pPr>
              <w:jc w:val="left"/>
            </w:pPr>
            <w:r>
              <w:rPr>
                <w:rFonts w:ascii="Garamond" w:hAnsi="Garamond"/>
              </w:rPr>
              <w:t>Le Bailleur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[SIGNATURE]</w:t>
            </w:r>
          </w:p>
        </w:tc>
        <w:tc>
          <w:tcPr>
            <w:tcW w:type="dxa" w:w="4703"/>
          </w:tcPr>
          <w:p>
            <w:r/>
          </w:p>
          <w:p>
            <w:pPr>
              <w:jc w:val="left"/>
            </w:pPr>
            <w:r>
              <w:rPr>
                <w:rFonts w:ascii="Garamond" w:hAnsi="Garamond"/>
              </w:rPr>
              <w:t>Le Preneur</w:t>
            </w:r>
          </w:p>
          <w:p>
            <w:pPr>
              <w:jc w:val="left"/>
            </w:pPr>
            <w:r>
              <w:rPr>
                <w:rFonts w:ascii="Garamond" w:hAnsi="Garamond"/>
                <w:b/>
                <w:color w:val="8A5A00"/>
              </w:rPr>
              <w:t>[SIGNATURE]</w:t>
            </w:r>
          </w:p>
        </w:tc>
      </w:tr>
    </w:tbl>
    <w:p>
      <w:r>
        <w:br w:type="page"/>
      </w:r>
    </w:p>
    <w:p>
      <w:pPr>
        <w:spacing w:before="0" w:after="0"/>
        <w:pBdr>
          <w:bottom w:val="single" w:sz="6" w:space="1" w:color="5575A2"/>
        </w:pBdr>
      </w:pPr>
    </w:p>
    <w:p>
      <w:pPr>
        <w:spacing w:before="80" w:after="80"/>
        <w:jc w:val="center"/>
      </w:pPr>
      <w:r>
        <w:rPr>
          <w:rFonts w:ascii="Garamond" w:hAnsi="Garamond"/>
          <w:i/>
          <w:color w:val="5C5B58"/>
          <w:sz w:val="20"/>
        </w:rPr>
        <w:t>Contenu à supprimer après personnalisation</w:t>
      </w:r>
    </w:p>
    <w:p>
      <w:pPr>
        <w:spacing w:before="0" w:after="0"/>
        <w:pBdr>
          <w:bottom w:val="single" w:sz="6" w:space="1" w:color="5575A2"/>
        </w:pBdr>
      </w:pPr>
    </w:p>
    <w:p>
      <w:pPr>
        <w:spacing w:after="80"/>
      </w:pP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10" w:space="0" w:color="5575A2"/>
          <w:left w:val="single" w:sz="10" w:space="0" w:color="5575A2"/>
          <w:bottom w:val="single" w:sz="10" w:space="0" w:color="5575A2"/>
          <w:right w:val="single" w:sz="10" w:space="0" w:color="5575A2"/>
          <w:insideH w:val="nil"/>
          <w:insideV w:val="nil"/>
        </w:tblBorders>
      </w:tblPr>
      <w:tblGrid>
        <w:gridCol w:w="9406"/>
      </w:tblGrid>
      <w:tr>
        <w:tc>
          <w:tcPr>
            <w:tcW w:type="dxa" w:w="9406"/>
          </w:tcPr>
          <w:p>
            <w:pPr>
              <w:spacing w:after="120"/>
              <w:jc w:val="left"/>
              <w:shd w:val="clear" w:color="auto" w:fill="F7F7F6"/>
            </w:pPr>
            <w:r/>
            <w:r>
              <w:rPr>
                <w:rFonts w:ascii="Garamond" w:hAnsi="Garamond"/>
                <w:b/>
                <w:color w:val="2C3E5A"/>
                <w:sz w:val="26"/>
              </w:rPr>
              <w:t>FAIRE SÉCURISER CE DOCUMENT PAR UN AVOCAT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Adapter ce modèle à votre situation, vérifier sa conformité au droit applicable et le signer en toute sérénité.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Sur swim.legal, un avocat d'affaires indépendant spécialisé vous répond rapidement, avec un devis transparent et un cadre d'intervention défini.</w:t>
            </w:r>
          </w:p>
          <w:p>
            <w:pPr>
              <w:shd w:val="clear" w:color="auto" w:fill="F9AF51"/>
              <w:spacing w:before="120" w:after="40"/>
              <w:jc w:val="left"/>
            </w:pPr>
            <w:r>
              <w:rPr>
                <w:rFonts w:ascii="Garamond" w:hAnsi="Garamond"/>
                <w:b/>
                <w:color w:val="3F1704"/>
                <w:sz w:val="24"/>
              </w:rPr>
              <w:t xml:space="preserve">  Déposez votre besoin : https://swim.legal  </w:t>
            </w:r>
          </w:p>
        </w:tc>
      </w:tr>
    </w:tbl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Notes de complétion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La </w:t>
      </w:r>
      <w:r>
        <w:rPr>
          <w:rFonts w:ascii="Garamond" w:hAnsi="Garamond"/>
          <w:b/>
        </w:rPr>
        <w:t>durée minimale de six ans</w:t>
      </w:r>
      <w:r>
        <w:rPr>
          <w:rFonts w:ascii="Garamond" w:hAnsi="Garamond"/>
        </w:rPr>
        <w:t xml:space="preserve"> est d'ordre public pour le bail professionnel (article 57 A de la loi du 23 décembre 1986). Une durée inférieure expose le contrat à un risque de requalification ou de nullité partielle.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Distinguez clairement le </w:t>
      </w:r>
      <w:r>
        <w:rPr>
          <w:rFonts w:ascii="Garamond" w:hAnsi="Garamond"/>
          <w:b/>
        </w:rPr>
        <w:t>bail professionnel</w:t>
      </w:r>
      <w:r>
        <w:rPr>
          <w:rFonts w:ascii="Garamond" w:hAnsi="Garamond"/>
        </w:rPr>
        <w:t xml:space="preserve"> du </w:t>
      </w:r>
      <w:r>
        <w:rPr>
          <w:rFonts w:ascii="Garamond" w:hAnsi="Garamond"/>
          <w:b/>
        </w:rPr>
        <w:t>bail commercial</w:t>
      </w:r>
      <w:r>
        <w:rPr>
          <w:rFonts w:ascii="Garamond" w:hAnsi="Garamond"/>
        </w:rPr>
        <w:t xml:space="preserve"> : le bail professionnel n'ouvre pas droit à la propriété commerciale ni à l'indemnité d'éviction. Réservez ce modèle aux activités libérales ou professionnelles non commerciales (professions réglementées, professions libérales).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La </w:t>
      </w:r>
      <w:r>
        <w:rPr>
          <w:rFonts w:ascii="Garamond" w:hAnsi="Garamond"/>
          <w:b/>
        </w:rPr>
        <w:t>clause de l'article 11</w:t>
      </w:r>
      <w:r>
        <w:rPr>
          <w:rFonts w:ascii="Garamond" w:hAnsi="Garamond"/>
        </w:rPr>
        <w:t xml:space="preserve"> (option pour le statut des baux commerciaux) est lourde de conséquences : ne la retenez qu'en connaissance de cause et après conseil, car elle change radicalement le régime applicable.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Soignez la </w:t>
      </w:r>
      <w:r>
        <w:rPr>
          <w:rFonts w:ascii="Garamond" w:hAnsi="Garamond"/>
          <w:b/>
        </w:rPr>
        <w:t>clause d'indexation</w:t>
      </w:r>
      <w:r>
        <w:rPr>
          <w:rFonts w:ascii="Garamond" w:hAnsi="Garamond"/>
        </w:rPr>
        <w:t xml:space="preserve"> : choisissez un indice pertinent au regard de l'activité (l'ILAT est usuel pour les activités tertiaires) et vérifiez la licéité de la formule de révision.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Précisez la </w:t>
      </w:r>
      <w:r>
        <w:rPr>
          <w:rFonts w:ascii="Garamond" w:hAnsi="Garamond"/>
          <w:b/>
        </w:rPr>
        <w:t>répartition des charges, taxes et travaux</w:t>
      </w:r>
      <w:r>
        <w:rPr>
          <w:rFonts w:ascii="Garamond" w:hAnsi="Garamond"/>
        </w:rPr>
        <w:t>, en particulier le sort des grosses réparations de l'article 606 du Code civil, source fréquente de litiges.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Le </w:t>
      </w:r>
      <w:r>
        <w:rPr>
          <w:rFonts w:ascii="Garamond" w:hAnsi="Garamond"/>
          <w:b/>
        </w:rPr>
        <w:t>congé</w:t>
      </w:r>
      <w:r>
        <w:rPr>
          <w:rFonts w:ascii="Garamond" w:hAnsi="Garamond"/>
        </w:rPr>
        <w:t xml:space="preserve"> doit être notifié par lettre recommandée avec accusé de réception ou par acte de commissaire de justice, en respectant le préavis de six mois ; conservez la preuve de la notification.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Annexez systématiquement l'</w:t>
      </w:r>
      <w:r>
        <w:rPr>
          <w:rFonts w:ascii="Garamond" w:hAnsi="Garamond"/>
          <w:b/>
        </w:rPr>
        <w:t>état des lieux d'entrée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</w:rPr>
        <w:t>diagnostic de performance énergétique</w:t>
      </w:r>
      <w:r>
        <w:rPr>
          <w:rFonts w:ascii="Garamond" w:hAnsi="Garamond"/>
        </w:rPr>
        <w:t xml:space="preserve"> lorsqu'il est requis et, le cas échéant, les annexes environnementales applicables aux locaux concernés.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Faites relire le contrat par un avocat pour l'adapter à la </w:t>
      </w:r>
      <w:r>
        <w:rPr>
          <w:rFonts w:ascii="Garamond" w:hAnsi="Garamond"/>
          <w:b/>
        </w:rPr>
        <w:t>convention applicable à la profession</w:t>
      </w:r>
      <w:r>
        <w:rPr>
          <w:rFonts w:ascii="Garamond" w:hAnsi="Garamond"/>
        </w:rPr>
        <w:t xml:space="preserve"> et au contexte propre des parties.</w:t>
      </w:r>
    </w:p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AVERTISSEMENT JURIDIQUE</w:t>
      </w:r>
    </w:p>
    <w:p>
      <w:pPr>
        <w:spacing w:after="60"/>
      </w:pPr>
      <w:r>
        <w:rPr>
          <w:rFonts w:ascii="Garamond" w:hAnsi="Garamond"/>
          <w:sz w:val="22"/>
        </w:rPr>
        <w:t>Ce document est un modèle indicatif fourni à titre informatif et pédagogique. Il a été rédigé sur la base du droit français en vigueur à la date indiquée et constitue, par nature, un texte incomplet, tant dans le fond que dans la forme.</w:t>
      </w:r>
    </w:p>
    <w:p>
      <w:pPr>
        <w:spacing w:after="60"/>
      </w:pPr>
      <w:r>
        <w:rPr>
          <w:rFonts w:ascii="Garamond" w:hAnsi="Garamond"/>
          <w:sz w:val="22"/>
        </w:rPr>
        <w:t>Il ne couvre pas l'intégralité des hypothèses, clauses, mentions, formalités ou particularités susceptibles d'être applicables à un cas concret. Il peut comporter des erreurs, des imprécisions, des omissions ou des dispositions inadaptées à votre situation, à la convention collective dont vous relevez, à votre secteur d'activité, à la nature exacte de vos relations contractuelles ou aux évolutions législatives, réglementaires et jurisprudentielles intervenues postérieurement à sa rédaction.</w:t>
      </w:r>
    </w:p>
    <w:p>
      <w:pPr>
        <w:spacing w:after="60"/>
      </w:pPr>
      <w:r>
        <w:rPr>
          <w:rFonts w:ascii="Garamond" w:hAnsi="Garamond"/>
          <w:sz w:val="22"/>
        </w:rPr>
        <w:t>Il ne constitue pas un conseil juridique personnalisé et ne saurait se substituer à l'analyse d'un avocat. Toute utilisation dans un cas concret nécessite une adaptation aux circonstances de fait et de droit propres à la situation, ainsi qu'une vérification de la conformité aux dispositions légales, réglementaires et conventionnelles applicables au jour de la signature.</w:t>
      </w:r>
    </w:p>
    <w:p>
      <w:pPr>
        <w:spacing w:after="60"/>
      </w:pPr>
      <w:r>
        <w:rPr>
          <w:rFonts w:ascii="Garamond" w:hAnsi="Garamond"/>
          <w:sz w:val="22"/>
        </w:rPr>
        <w:t>SWIM LEGAL décline toute responsabilité quant à l'usage qui pourrait être fait de ce modèle sans validation préalable par un professionnel du droit.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Garamond" w:hAnsi="Garamond"/>
        <w:sz w:val="18"/>
      </w:rPr>
      <w:t xml:space="preserve">Page </w:t>
    </w:r>
    <w:r>
      <w:rPr>
        <w:rFonts w:ascii="Garamond" w:hAnsi="Garamond"/>
        <w:sz w:val="18"/>
      </w:rPr>
      <w:fldChar w:fldCharType="begin"/>
      <w:instrText xml:space="preserve">PAGE</w:instrText>
      <w:fldChar w:fldCharType="end"/>
    </w:r>
    <w:r>
      <w:rPr>
        <w:rFonts w:ascii="Garamond" w:hAnsi="Garamond"/>
        <w:sz w:val="18"/>
      </w:rPr>
      <w:t xml:space="preserve"> sur </w:t>
    </w:r>
    <w:r>
      <w:rPr>
        <w:rFonts w:ascii="Garamond" w:hAnsi="Garamond"/>
        <w:sz w:val="18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aramond" w:hAnsi="Garamond"/>
        <w:i/>
        <w:color w:val="5C5B58"/>
        <w:sz w:val="18"/>
      </w:rPr>
      <w:t>CONTRAT DE BAIL PROFESSIONNEL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4" w:lineRule="auto" w:after="60" w:before="0"/>
      <w:jc w:val="both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