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keepNext/>
        <w:spacing w:before="120" w:after="200"/>
        <w:jc w:val="center"/>
      </w:pPr>
      <w:r>
        <w:rPr>
          <w:rFonts w:ascii="Garamond" w:hAnsi="Garamond"/>
          <w:b/>
          <w:color w:val="2C3E5A"/>
          <w:sz w:val="32"/>
        </w:rPr>
        <w:t>STATUTS DE SOCIÉTÉ PAR ACTIONS SIMPLIFIÉE UNIPERSONNELLE</w:t>
      </w:r>
    </w:p>
    <w:p/>
    <w:p>
      <w:pPr>
        <w:jc w:val="center"/>
      </w:pPr>
      <w:r>
        <w:rPr>
          <w:rFonts w:ascii="Garamond" w:hAnsi="Garamond"/>
          <w:i/>
        </w:rPr>
        <w:t>[DÉNOMINATION SOCIALE — À COMPLÉTER]</w:t>
      </w:r>
    </w:p>
    <w:p/>
    <w:p>
      <w:pPr>
        <w:jc w:val="center"/>
      </w:pPr>
      <w:r>
        <w:rPr>
          <w:rFonts w:ascii="Garamond" w:hAnsi="Garamond"/>
          <w:i/>
        </w:rPr>
        <w:t>Société par actions simplifiée unipersonnelle au capital de [MONTANT DU CAPITAL — À COMPLÉTER] euros</w:t>
      </w:r>
    </w:p>
    <w:p/>
    <w:p/>
    <w:p/>
    <w:p>
      <w:r>
        <w:rPr>
          <w:rFonts w:ascii="Garamond" w:hAnsi="Garamond"/>
          <w:i/>
        </w:rPr>
        <w:t>Le soussigné :</w:t>
      </w:r>
    </w:p>
    <w:p/>
    <w:p>
      <w:r>
        <w:rPr>
          <w:rFonts w:ascii="Garamond" w:hAnsi="Garamond"/>
          <w:b/>
        </w:rPr>
        <w:t>[NOM Prénom / DÉNOMINATION SOCIALE DE L'ASSOCIÉ UNIQUE — À COMPLÉTER]</w:t>
      </w:r>
      <w:r>
        <w:rPr>
          <w:rFonts w:ascii="Garamond" w:hAnsi="Garamond"/>
        </w:rPr>
        <w:t>,</w:t>
      </w:r>
    </w:p>
    <w:p>
      <w:r>
        <w:rPr>
          <w:rFonts w:ascii="Garamond" w:hAnsi="Garamond"/>
          <w:b/>
          <w:color w:val="8A5A00"/>
        </w:rPr>
        <w:t>[pour une personne physique : né(e) le [JJ/MM/AAAA]</w:t>
      </w:r>
      <w:r>
        <w:rPr>
          <w:rFonts w:ascii="Garamond" w:hAnsi="Garamond"/>
        </w:rPr>
        <w:t xml:space="preserve">, à </w:t>
      </w:r>
      <w:r>
        <w:rPr>
          <w:rFonts w:ascii="Garamond" w:hAnsi="Garamond"/>
          <w:b/>
          <w:color w:val="8A5A00"/>
        </w:rPr>
        <w:t>[LIEU DE NAISSANCE]</w:t>
      </w:r>
      <w:r>
        <w:rPr>
          <w:rFonts w:ascii="Garamond" w:hAnsi="Garamond"/>
        </w:rPr>
        <w:t xml:space="preserve">, de nationalité </w:t>
      </w:r>
      <w:r>
        <w:rPr>
          <w:rFonts w:ascii="Garamond" w:hAnsi="Garamond"/>
          <w:b/>
          <w:color w:val="8A5A00"/>
        </w:rPr>
        <w:t>[NATIONALITÉ]</w:t>
      </w:r>
      <w:r>
        <w:rPr>
          <w:rFonts w:ascii="Garamond" w:hAnsi="Garamond"/>
        </w:rPr>
        <w:t xml:space="preserve">, demeurant </w:t>
      </w:r>
      <w:r>
        <w:rPr>
          <w:rFonts w:ascii="Garamond" w:hAnsi="Garamond"/>
          <w:b/>
          <w:color w:val="8A5A00"/>
        </w:rPr>
        <w:t>[ADRESSE COMPLÈTE]</w:t>
      </w:r>
      <w:r>
        <w:rPr>
          <w:rFonts w:ascii="Garamond" w:hAnsi="Garamond"/>
        </w:rPr>
        <w:t>]</w:t>
      </w:r>
    </w:p>
    <w:p>
      <w:r>
        <w:rPr>
          <w:rFonts w:ascii="Garamond" w:hAnsi="Garamond"/>
          <w:b/>
          <w:color w:val="8A5A00"/>
        </w:rPr>
        <w:t>[pour une personne morale : [FORME JURIDIQUE]</w:t>
      </w:r>
      <w:r>
        <w:rPr>
          <w:rFonts w:ascii="Garamond" w:hAnsi="Garamond"/>
        </w:rPr>
        <w:t xml:space="preserve">, au capital de </w:t>
      </w:r>
      <w:r>
        <w:rPr>
          <w:rFonts w:ascii="Garamond" w:hAnsi="Garamond"/>
          <w:b/>
          <w:color w:val="8A5A00"/>
        </w:rPr>
        <w:t>[MONTANT]</w:t>
      </w:r>
      <w:r>
        <w:rPr>
          <w:rFonts w:ascii="Garamond" w:hAnsi="Garamond"/>
        </w:rPr>
        <w:t xml:space="preserve"> euros, dont le siège social est situé </w:t>
      </w:r>
      <w:r>
        <w:rPr>
          <w:rFonts w:ascii="Garamond" w:hAnsi="Garamond"/>
          <w:b/>
          <w:color w:val="8A5A00"/>
        </w:rPr>
        <w:t>[ADRESSE COMPLÈTE]</w:t>
      </w:r>
      <w:r>
        <w:rPr>
          <w:rFonts w:ascii="Garamond" w:hAnsi="Garamond"/>
        </w:rPr>
        <w:t xml:space="preserve">, immatriculée au RCS de </w:t>
      </w:r>
      <w:r>
        <w:rPr>
          <w:rFonts w:ascii="Garamond" w:hAnsi="Garamond"/>
          <w:b/>
          <w:color w:val="8A5A00"/>
        </w:rPr>
        <w:t>[VILLE]</w:t>
      </w:r>
      <w:r>
        <w:rPr>
          <w:rFonts w:ascii="Garamond" w:hAnsi="Garamond"/>
        </w:rPr>
        <w:t xml:space="preserve"> sous le numéro </w:t>
      </w:r>
      <w:r>
        <w:rPr>
          <w:rFonts w:ascii="Garamond" w:hAnsi="Garamond"/>
          <w:b/>
          <w:color w:val="8A5A00"/>
        </w:rPr>
        <w:t>[SIREN]</w:t>
      </w:r>
      <w:r>
        <w:rPr>
          <w:rFonts w:ascii="Garamond" w:hAnsi="Garamond"/>
        </w:rPr>
        <w:t xml:space="preserve">, représentée par </w:t>
      </w:r>
      <w:r>
        <w:rPr>
          <w:rFonts w:ascii="Garamond" w:hAnsi="Garamond"/>
          <w:b/>
          <w:color w:val="8A5A00"/>
        </w:rPr>
        <w:t>[NOM Prénom]</w:t>
      </w:r>
      <w:r>
        <w:rPr>
          <w:rFonts w:ascii="Garamond" w:hAnsi="Garamond"/>
        </w:rPr>
        <w:t xml:space="preserve">, en qualité de </w:t>
      </w:r>
      <w:r>
        <w:rPr>
          <w:rFonts w:ascii="Garamond" w:hAnsi="Garamond"/>
          <w:b/>
          <w:color w:val="8A5A00"/>
        </w:rPr>
        <w:t>[QUALITÉ]</w:t>
      </w:r>
      <w:r>
        <w:rPr>
          <w:rFonts w:ascii="Garamond" w:hAnsi="Garamond"/>
        </w:rPr>
        <w:t>, dûment habilité(e)]</w:t>
      </w:r>
    </w:p>
    <w:p/>
    <w:p>
      <w:pPr>
        <w:jc w:val="right"/>
      </w:pPr>
      <w:r>
        <w:rPr>
          <w:rFonts w:ascii="Garamond" w:hAnsi="Garamond"/>
          <w:i/>
        </w:rPr>
        <w:t>Ci-après dénommé « l'Associé unique »,</w:t>
      </w:r>
    </w:p>
    <w:p/>
    <w:p>
      <w:r>
        <w:rPr>
          <w:rFonts w:ascii="Garamond" w:hAnsi="Garamond"/>
        </w:rPr>
        <w:t>A établi ainsi qu'il suit les statuts de la société par actions simplifiée unipersonnelle qu'il a décidé de constituer.</w:t>
      </w:r>
    </w:p>
    <w:p/>
    <w:p/>
    <w:p/>
    <w:p>
      <w:pPr>
        <w:keepNext/>
        <w:spacing w:before="200" w:after="120"/>
        <w:jc w:val="left"/>
      </w:pPr>
      <w:r>
        <w:rPr>
          <w:rFonts w:ascii="Garamond" w:hAnsi="Garamond"/>
          <w:b/>
          <w:color w:val="2C3E5A"/>
          <w:sz w:val="26"/>
        </w:rPr>
        <w:t>TITRE I. FORME, OBJET, DÉNOMINATION, SIÈGE, DURÉE</w:t>
      </w:r>
    </w:p>
    <w:p/>
    <w:p>
      <w:pPr>
        <w:keepNext/>
        <w:spacing w:before="200" w:after="120"/>
        <w:jc w:val="left"/>
      </w:pPr>
      <w:r>
        <w:rPr>
          <w:rFonts w:ascii="Garamond" w:hAnsi="Garamond"/>
          <w:b/>
          <w:color w:val="2C3E5A"/>
          <w:sz w:val="26"/>
        </w:rPr>
        <w:t>Article 1. Forme</w:t>
      </w:r>
    </w:p>
    <w:p/>
    <w:p>
      <w:r>
        <w:rPr>
          <w:rFonts w:ascii="Garamond" w:hAnsi="Garamond"/>
        </w:rPr>
        <w:t>La Société est une société par actions simplifiée régie par les dispositions des articles L. 227-1 et suivants du Code de commerce, par les dispositions du Livre II du Code de commerce applicables aux sociétés par actions dans la mesure où elles sont compatibles avec les dispositions particulières aux sociétés par actions simplifiées, ainsi que par les présents statuts.</w:t>
      </w:r>
    </w:p>
    <w:p/>
    <w:p>
      <w:r>
        <w:rPr>
          <w:rFonts w:ascii="Garamond" w:hAnsi="Garamond"/>
        </w:rPr>
        <w:t>Elle ne comporte qu'un seul associé. Ses actions ne peuvent être admises aux négociations sur un marché réglementé. Elle ne peut procéder à une offre au public de titres financiers, sous réserve des offres mentionnées à l'article L. 227-2 du Code de commerce.</w:t>
      </w:r>
    </w:p>
    <w:p/>
    <w:p>
      <w:r>
        <w:rPr>
          <w:rFonts w:ascii="Garamond" w:hAnsi="Garamond"/>
        </w:rPr>
        <w:t>La Société fonctionne indifféremment sous la même forme avec un ou plusieurs associés. Si elle vient à comporter plusieurs associés, elle demeure soumise aux mêmes dispositions, les décisions relevant de la collectivité des associés étant alors prises dans les conditions prévues aux présents statuts.</w:t>
      </w:r>
    </w:p>
    <w:p/>
    <w:p>
      <w:pPr>
        <w:keepNext/>
        <w:spacing w:before="200" w:after="120"/>
        <w:jc w:val="left"/>
      </w:pPr>
      <w:r>
        <w:rPr>
          <w:rFonts w:ascii="Garamond" w:hAnsi="Garamond"/>
          <w:b/>
          <w:color w:val="2C3E5A"/>
          <w:sz w:val="26"/>
        </w:rPr>
        <w:t>Article 2. Objet</w:t>
      </w:r>
    </w:p>
    <w:p/>
    <w:p>
      <w:r>
        <w:rPr>
          <w:rFonts w:ascii="Garamond" w:hAnsi="Garamond"/>
        </w:rPr>
        <w:t>La Société a pour objet, en France et à l'étranger :</w:t>
      </w:r>
    </w:p>
    <w:p/>
    <w:p>
      <w:pPr>
        <w:pStyle w:val="ListBullet"/>
        <w:spacing w:after="60"/>
        <w:jc w:val="left"/>
      </w:pPr>
      <w:r>
        <w:rPr>
          <w:rFonts w:ascii="Garamond" w:hAnsi="Garamond"/>
          <w:b/>
          <w:color w:val="8A5A00"/>
        </w:rPr>
        <w:t>[ACTIVITÉ PRINCIPALE — À COMPLÉTER, en termes suffisamment larges pour couvrir les développements envisagés]</w:t>
      </w:r>
      <w:r>
        <w:rPr>
          <w:rFonts w:ascii="Garamond" w:hAnsi="Garamond"/>
        </w:rPr>
        <w:t xml:space="preserve"> ;</w:t>
      </w:r>
    </w:p>
    <w:p>
      <w:pPr>
        <w:pStyle w:val="ListBullet"/>
        <w:spacing w:after="60"/>
        <w:jc w:val="left"/>
      </w:pPr>
      <w:r>
        <w:rPr>
          <w:rFonts w:ascii="Garamond" w:hAnsi="Garamond"/>
          <w:b/>
          <w:color w:val="8A5A00"/>
        </w:rPr>
        <w:t>[ACTIVITÉS SECONDAIRES ENVISAGÉES — À COMPLÉTER OU SUPPRIMER]</w:t>
      </w:r>
      <w:r>
        <w:rPr>
          <w:rFonts w:ascii="Garamond" w:hAnsi="Garamond"/>
        </w:rPr>
        <w:t xml:space="preserve"> ;</w:t>
      </w:r>
    </w:p>
    <w:p>
      <w:pPr>
        <w:pStyle w:val="ListBullet"/>
        <w:spacing w:after="60"/>
        <w:jc w:val="left"/>
      </w:pPr>
      <w:r>
        <w:rPr>
          <w:rFonts w:ascii="Garamond" w:hAnsi="Garamond"/>
        </w:rPr>
        <w:t>la prise de participation, directe ou indirecte, dans toutes sociétés ou entreprises, créées ou à créer, pouvant se rattacher à l'objet social ;</w:t>
      </w:r>
    </w:p>
    <w:p>
      <w:pPr>
        <w:pStyle w:val="ListBullet"/>
        <w:spacing w:after="60"/>
        <w:jc w:val="left"/>
      </w:pPr>
      <w:r>
        <w:rPr>
          <w:rFonts w:ascii="Garamond" w:hAnsi="Garamond"/>
        </w:rPr>
        <w:t>et, plus généralement, toutes opérations industrielles, commerciales, financières, civiles, mobilières ou immobilières, pouvant se rattacher directement ou indirectement à l'objet ci-dessus ou à tout objet similaire ou connexe, ou de nature à favoriser son extension ou son développement.</w:t>
      </w:r>
    </w:p>
    <w:p/>
    <w:p>
      <w:pPr>
        <w:keepNext/>
        <w:spacing w:before="200" w:after="120"/>
        <w:jc w:val="left"/>
      </w:pPr>
      <w:r>
        <w:rPr>
          <w:rFonts w:ascii="Garamond" w:hAnsi="Garamond"/>
          <w:b/>
          <w:color w:val="2C3E5A"/>
          <w:sz w:val="26"/>
        </w:rPr>
        <w:t>Article 3. Dénomination sociale</w:t>
      </w:r>
    </w:p>
    <w:p/>
    <w:p>
      <w:r>
        <w:rPr>
          <w:rFonts w:ascii="Garamond" w:hAnsi="Garamond"/>
        </w:rPr>
        <w:t xml:space="preserve">La dénomination sociale est : </w:t>
      </w:r>
      <w:r>
        <w:rPr>
          <w:rFonts w:ascii="Garamond" w:hAnsi="Garamond"/>
          <w:b/>
        </w:rPr>
        <w:t>[DÉNOMINATION SOCIALE — À COMPLÉTER]</w:t>
      </w:r>
      <w:r>
        <w:rPr>
          <w:rFonts w:ascii="Garamond" w:hAnsi="Garamond"/>
        </w:rPr>
        <w:t>.</w:t>
      </w:r>
    </w:p>
    <w:p/>
    <w:p>
      <w:r>
        <w:rPr>
          <w:rFonts w:ascii="Garamond" w:hAnsi="Garamond"/>
          <w:b/>
          <w:color w:val="8A5A00"/>
        </w:rPr>
        <w:t>[Le cas échéant : la Société utilise le nom commercial [NOM COMMERCIAL — À COMPLÉTER OU SUPPRIMER]</w:t>
      </w:r>
      <w:r>
        <w:rPr>
          <w:rFonts w:ascii="Garamond" w:hAnsi="Garamond"/>
        </w:rPr>
        <w:t>.]</w:t>
      </w:r>
    </w:p>
    <w:p/>
    <w:p>
      <w:r>
        <w:rPr>
          <w:rFonts w:ascii="Garamond" w:hAnsi="Garamond"/>
        </w:rPr>
        <w:t>Tous les actes et documents émanant de la Société et destinés aux tiers portent la dénomination sociale, précédée ou suivie immédiatement des mots « société par actions simplifiée » ou des initiales « SAS », de l'énonciation du montant du capital social, du lieu et du numéro d'immatriculation au registre du commerce et des sociétés.</w:t>
      </w:r>
    </w:p>
    <w:p/>
    <w:p>
      <w:pPr>
        <w:keepNext/>
        <w:spacing w:before="200" w:after="120"/>
        <w:jc w:val="left"/>
      </w:pPr>
      <w:r>
        <w:rPr>
          <w:rFonts w:ascii="Garamond" w:hAnsi="Garamond"/>
          <w:b/>
          <w:color w:val="2C3E5A"/>
          <w:sz w:val="26"/>
        </w:rPr>
        <w:t>Article 4. Siège social</w:t>
      </w:r>
    </w:p>
    <w:p/>
    <w:p>
      <w:r>
        <w:rPr>
          <w:rFonts w:ascii="Garamond" w:hAnsi="Garamond"/>
        </w:rPr>
        <w:t xml:space="preserve">Le siège social est fixé : </w:t>
      </w:r>
      <w:r>
        <w:rPr>
          <w:rFonts w:ascii="Garamond" w:hAnsi="Garamond"/>
          <w:b/>
          <w:color w:val="8A5A00"/>
        </w:rPr>
        <w:t>[ADRESSE COMPLÈTE DU SIÈGE — À COMPLÉTER]</w:t>
      </w:r>
      <w:r>
        <w:rPr>
          <w:rFonts w:ascii="Garamond" w:hAnsi="Garamond"/>
        </w:rPr>
        <w:t>.</w:t>
      </w:r>
    </w:p>
    <w:p/>
    <w:p>
      <w:r>
        <w:rPr>
          <w:rFonts w:ascii="Garamond" w:hAnsi="Garamond"/>
        </w:rPr>
        <w:t>Il peut être transféré en tout autre lieu par décision de l'Associé unique, qui procède aux formalités de publicité et de modification corrélative des statuts.</w:t>
      </w:r>
    </w:p>
    <w:p/>
    <w:p>
      <w:pPr>
        <w:keepNext/>
        <w:spacing w:before="200" w:after="120"/>
        <w:jc w:val="left"/>
      </w:pPr>
      <w:r>
        <w:rPr>
          <w:rFonts w:ascii="Garamond" w:hAnsi="Garamond"/>
          <w:b/>
          <w:color w:val="2C3E5A"/>
          <w:sz w:val="26"/>
        </w:rPr>
        <w:t>Article 5. Durée</w:t>
      </w:r>
    </w:p>
    <w:p/>
    <w:p>
      <w:r>
        <w:rPr>
          <w:rFonts w:ascii="Garamond" w:hAnsi="Garamond"/>
        </w:rPr>
        <w:t xml:space="preserve">La durée de la Société est fixée à </w:t>
      </w:r>
      <w:r>
        <w:rPr>
          <w:rFonts w:ascii="Garamond" w:hAnsi="Garamond"/>
          <w:b/>
          <w:color w:val="8A5A00"/>
        </w:rPr>
        <w:t>[DURÉE EN ANNÉES, 99 ANS MAXIMUM — À COMPLÉTER]</w:t>
      </w:r>
      <w:r>
        <w:rPr>
          <w:rFonts w:ascii="Garamond" w:hAnsi="Garamond"/>
        </w:rPr>
        <w:t xml:space="preserve"> années à compter de la date de son immatriculation au registre du commerce et des sociétés, sauf dissolution anticipée ou prorogation.</w:t>
      </w:r>
    </w:p>
    <w:p/>
    <w:p>
      <w:pPr>
        <w:keepNext/>
        <w:spacing w:before="200" w:after="120"/>
        <w:jc w:val="left"/>
      </w:pPr>
      <w:r>
        <w:rPr>
          <w:rFonts w:ascii="Garamond" w:hAnsi="Garamond"/>
          <w:b/>
          <w:color w:val="2C3E5A"/>
          <w:sz w:val="26"/>
        </w:rPr>
        <w:t>TITRE II. APPORTS, CAPITAL SOCIAL, ACTIONS</w:t>
      </w:r>
    </w:p>
    <w:p/>
    <w:p>
      <w:pPr>
        <w:keepNext/>
        <w:spacing w:before="200" w:after="120"/>
        <w:jc w:val="left"/>
      </w:pPr>
      <w:r>
        <w:rPr>
          <w:rFonts w:ascii="Garamond" w:hAnsi="Garamond"/>
          <w:b/>
          <w:color w:val="2C3E5A"/>
          <w:sz w:val="26"/>
        </w:rPr>
        <w:t>Article 6. Apports</w:t>
      </w:r>
    </w:p>
    <w:p/>
    <w:p>
      <w:r>
        <w:rPr>
          <w:rFonts w:ascii="Garamond" w:hAnsi="Garamond"/>
        </w:rPr>
        <w:t>L'Associé unique apporte à la Société :</w:t>
      </w:r>
    </w:p>
    <w:p/>
    <w:p>
      <w:r>
        <w:rPr>
          <w:rFonts w:ascii="Garamond" w:hAnsi="Garamond"/>
          <w:b/>
        </w:rPr>
        <w:t>Apports en numéraire</w:t>
      </w:r>
      <w:r>
        <w:rPr>
          <w:rFonts w:ascii="Garamond" w:hAnsi="Garamond"/>
        </w:rPr>
        <w:t xml:space="preserve"> : la somme de </w:t>
      </w:r>
      <w:r>
        <w:rPr>
          <w:rFonts w:ascii="Garamond" w:hAnsi="Garamond"/>
          <w:b/>
          <w:color w:val="8A5A00"/>
        </w:rPr>
        <w:t>[MONTANT DES APPORTS EN NUMÉRAIRE — À COMPLÉTER]</w:t>
      </w:r>
      <w:r>
        <w:rPr>
          <w:rFonts w:ascii="Garamond" w:hAnsi="Garamond"/>
        </w:rPr>
        <w:t xml:space="preserve"> euros, correspondant à </w:t>
      </w:r>
      <w:r>
        <w:rPr>
          <w:rFonts w:ascii="Garamond" w:hAnsi="Garamond"/>
          <w:b/>
          <w:color w:val="8A5A00"/>
        </w:rPr>
        <w:t>[NOMBRE]</w:t>
      </w:r>
      <w:r>
        <w:rPr>
          <w:rFonts w:ascii="Garamond" w:hAnsi="Garamond"/>
        </w:rPr>
        <w:t xml:space="preserve"> actions de </w:t>
      </w:r>
      <w:r>
        <w:rPr>
          <w:rFonts w:ascii="Garamond" w:hAnsi="Garamond"/>
          <w:b/>
          <w:color w:val="8A5A00"/>
        </w:rPr>
        <w:t>[VALEUR NOMINALE]</w:t>
      </w:r>
      <w:r>
        <w:rPr>
          <w:rFonts w:ascii="Garamond" w:hAnsi="Garamond"/>
        </w:rPr>
        <w:t xml:space="preserve"> euros chacune, souscrites en totalité.</w:t>
      </w:r>
    </w:p>
    <w:p/>
    <w:p>
      <w:r>
        <w:rPr>
          <w:rFonts w:ascii="Garamond" w:hAnsi="Garamond"/>
        </w:rPr>
        <w:t xml:space="preserve">Ces actions sont libérées, à la souscription, de la moitié au moins de leur valeur nominale, soit </w:t>
      </w:r>
      <w:r>
        <w:rPr>
          <w:rFonts w:ascii="Garamond" w:hAnsi="Garamond"/>
          <w:b/>
          <w:color w:val="8A5A00"/>
        </w:rPr>
        <w:t>[MONTANT LIBÉRÉ — À COMPLÉTER]</w:t>
      </w:r>
      <w:r>
        <w:rPr>
          <w:rFonts w:ascii="Garamond" w:hAnsi="Garamond"/>
        </w:rPr>
        <w:t xml:space="preserve"> euros. Le surplus sera libéré, en une ou plusieurs fois, sur appel du Président, dans un délai qui ne peut excéder cinq ans à compter de l'immatriculation de la Société au registre du commerce et des sociétés.</w:t>
      </w:r>
    </w:p>
    <w:p/>
    <w:p>
      <w:r>
        <w:rPr>
          <w:rFonts w:ascii="Garamond" w:hAnsi="Garamond"/>
        </w:rPr>
        <w:t xml:space="preserve">Cette somme a été déposée le </w:t>
      </w:r>
      <w:r>
        <w:rPr>
          <w:rFonts w:ascii="Garamond" w:hAnsi="Garamond"/>
          <w:b/>
          <w:color w:val="8A5A00"/>
        </w:rPr>
        <w:t>[JJ/MM/AAAA]</w:t>
      </w:r>
      <w:r>
        <w:rPr>
          <w:rFonts w:ascii="Garamond" w:hAnsi="Garamond"/>
        </w:rPr>
        <w:t xml:space="preserve"> auprès de </w:t>
      </w:r>
      <w:r>
        <w:rPr>
          <w:rFonts w:ascii="Garamond" w:hAnsi="Garamond"/>
          <w:b/>
          <w:color w:val="8A5A00"/>
        </w:rPr>
        <w:t>[ÉTABLISSEMENT DÉPOSITAIRE — BANQUE, NOTAIRE — À COMPLÉTER]</w:t>
      </w:r>
      <w:r>
        <w:rPr>
          <w:rFonts w:ascii="Garamond" w:hAnsi="Garamond"/>
        </w:rPr>
        <w:t>, ainsi qu'il résulte du certificat de dépôt délivré par ce dernier.</w:t>
      </w:r>
    </w:p>
    <w:p/>
    <w:p>
      <w:r>
        <w:rPr>
          <w:rFonts w:ascii="Garamond" w:hAnsi="Garamond"/>
          <w:b/>
        </w:rPr>
        <w:t>Apports en nature</w:t>
      </w:r>
      <w:r>
        <w:rPr>
          <w:rFonts w:ascii="Garamond" w:hAnsi="Garamond"/>
        </w:rPr>
        <w:t xml:space="preserve"> : </w:t>
      </w:r>
      <w:r>
        <w:rPr>
          <w:rFonts w:ascii="Garamond" w:hAnsi="Garamond"/>
          <w:b/>
          <w:color w:val="8A5A00"/>
        </w:rPr>
        <w:t>[DESCRIPTION DÉTAILLÉE DES BIENS APPORTÉS ET DE LEUR ÉVALUATION — À COMPLÉTER OU SUPPRIMER SI SANS OBJET]</w:t>
      </w:r>
      <w:r>
        <w:rPr>
          <w:rFonts w:ascii="Garamond" w:hAnsi="Garamond"/>
        </w:rPr>
        <w:t>.</w:t>
      </w:r>
    </w:p>
    <w:p/>
    <w:p>
      <w:r>
        <w:rPr>
          <w:rFonts w:ascii="Garamond" w:hAnsi="Garamond"/>
          <w:b/>
          <w:color w:val="8A5A00"/>
        </w:rPr>
        <w:t>[Option 1, désignation d'un commissaire aux apports : ces apports ont été évalués au vu du rapport de [NOM DU COMMISSAIRE AUX APPORTS]</w:t>
      </w:r>
      <w:r>
        <w:rPr>
          <w:rFonts w:ascii="Garamond" w:hAnsi="Garamond"/>
        </w:rPr>
        <w:t xml:space="preserve">, commissaire aux apports désigné le </w:t>
      </w:r>
      <w:r>
        <w:rPr>
          <w:rFonts w:ascii="Garamond" w:hAnsi="Garamond"/>
          <w:b/>
          <w:color w:val="8A5A00"/>
        </w:rPr>
        <w:t>[JJ/MM/AAAA]</w:t>
      </w:r>
      <w:r>
        <w:rPr>
          <w:rFonts w:ascii="Garamond" w:hAnsi="Garamond"/>
        </w:rPr>
        <w:t>. L'Associé unique déclare avoir pris connaissance de ce rapport et retenir l'évaluation qui y figure.]</w:t>
      </w:r>
    </w:p>
    <w:p/>
    <w:p>
      <w:r>
        <w:rPr>
          <w:rFonts w:ascii="Garamond" w:hAnsi="Garamond"/>
          <w:b/>
          <w:color w:val="8A5A00"/>
        </w:rPr>
        <w:t>[Option 2, dispense de commissaire aux apports : l'Associé unique décide, en application de l'article L. 227-1 du Code de commerce, de ne pas recourir à un commissaire aux apports, aucun apport en nature n'ayant une valeur supérieure à trente mille euros et la valeur totale des apports en nature n'excédant pas la moitié du capital social. Il est expressément rappelé que, dans ce cas, l'Associé unique est solidairement responsable pendant cinq ans, à l'égard des tiers, de la valeur attribuée aux apports en nature.]</w:t>
      </w:r>
    </w:p>
    <w:p/>
    <w:p>
      <w:r>
        <w:rPr>
          <w:rFonts w:ascii="Garamond" w:hAnsi="Garamond"/>
          <w:b/>
        </w:rPr>
        <w:t>Apports en industrie</w:t>
      </w:r>
      <w:r>
        <w:rPr>
          <w:rFonts w:ascii="Garamond" w:hAnsi="Garamond"/>
        </w:rPr>
        <w:t xml:space="preserve"> : </w:t>
      </w:r>
      <w:r>
        <w:rPr>
          <w:rFonts w:ascii="Garamond" w:hAnsi="Garamond"/>
          <w:b/>
          <w:color w:val="8A5A00"/>
        </w:rPr>
        <w:t>[DESCRIPTION DES APPORTS EN INDUSTRIE, DE LEURS MODALITÉS D'ÉVALUATION ET DES ACTIONS INALIÉNABLES QU'ILS RÉMUNÈRENT — À COMPLÉTER OU SUPPRIMER SI SANS OBJET]</w:t>
      </w:r>
      <w:r>
        <w:rPr>
          <w:rFonts w:ascii="Garamond" w:hAnsi="Garamond"/>
        </w:rPr>
        <w:t>.</w:t>
      </w:r>
    </w:p>
    <w:p/>
    <w:p>
      <w:pPr>
        <w:keepNext/>
        <w:spacing w:before="200" w:after="120"/>
        <w:jc w:val="left"/>
      </w:pPr>
      <w:r>
        <w:rPr>
          <w:rFonts w:ascii="Garamond" w:hAnsi="Garamond"/>
          <w:b/>
          <w:color w:val="2C3E5A"/>
          <w:sz w:val="26"/>
        </w:rPr>
        <w:t>Article 7. Capital social</w:t>
      </w:r>
    </w:p>
    <w:p/>
    <w:p>
      <w:r>
        <w:rPr>
          <w:rFonts w:ascii="Garamond" w:hAnsi="Garamond"/>
        </w:rPr>
        <w:t xml:space="preserve">Le capital social est fixé à la somme de </w:t>
      </w:r>
      <w:r>
        <w:rPr>
          <w:rFonts w:ascii="Garamond" w:hAnsi="Garamond"/>
          <w:b/>
          <w:color w:val="8A5A00"/>
        </w:rPr>
        <w:t>[MONTANT DU CAPITAL — À COMPLÉTER]</w:t>
      </w:r>
      <w:r>
        <w:rPr>
          <w:rFonts w:ascii="Garamond" w:hAnsi="Garamond"/>
        </w:rPr>
        <w:t xml:space="preserve"> euros.</w:t>
      </w:r>
    </w:p>
    <w:p/>
    <w:p>
      <w:r>
        <w:rPr>
          <w:rFonts w:ascii="Garamond" w:hAnsi="Garamond"/>
        </w:rPr>
        <w:t xml:space="preserve">Il est divisé en </w:t>
      </w:r>
      <w:r>
        <w:rPr>
          <w:rFonts w:ascii="Garamond" w:hAnsi="Garamond"/>
          <w:b/>
          <w:color w:val="8A5A00"/>
        </w:rPr>
        <w:t>[NOMBRE TOTAL D'ACTIONS — À COMPLÉTER]</w:t>
      </w:r>
      <w:r>
        <w:rPr>
          <w:rFonts w:ascii="Garamond" w:hAnsi="Garamond"/>
        </w:rPr>
        <w:t xml:space="preserve"> actions de </w:t>
      </w:r>
      <w:r>
        <w:rPr>
          <w:rFonts w:ascii="Garamond" w:hAnsi="Garamond"/>
          <w:b/>
          <w:color w:val="8A5A00"/>
        </w:rPr>
        <w:t>[VALEUR NOMINALE — À COMPLÉTER]</w:t>
      </w:r>
      <w:r>
        <w:rPr>
          <w:rFonts w:ascii="Garamond" w:hAnsi="Garamond"/>
        </w:rPr>
        <w:t xml:space="preserve"> euros de valeur nominale chacune, intégralement souscrites par l'Associé unique.</w:t>
      </w:r>
    </w:p>
    <w:p/>
    <w:p>
      <w:pPr>
        <w:keepNext/>
        <w:spacing w:before="200" w:after="120"/>
        <w:jc w:val="left"/>
      </w:pPr>
      <w:r>
        <w:rPr>
          <w:rFonts w:ascii="Garamond" w:hAnsi="Garamond"/>
          <w:b/>
          <w:color w:val="2C3E5A"/>
          <w:sz w:val="26"/>
        </w:rPr>
        <w:t>Article 8. Modification du capital</w:t>
      </w:r>
    </w:p>
    <w:p/>
    <w:p>
      <w:r>
        <w:rPr>
          <w:rFonts w:ascii="Garamond" w:hAnsi="Garamond"/>
        </w:rPr>
        <w:t>Le capital social peut être augmenté, réduit ou amorti par décision de l'Associé unique, dans les conditions prévues par les dispositions légales et réglementaires applicables.</w:t>
      </w:r>
    </w:p>
    <w:p/>
    <w:p>
      <w:pPr>
        <w:keepNext/>
        <w:spacing w:before="200" w:after="120"/>
        <w:jc w:val="left"/>
      </w:pPr>
      <w:r>
        <w:rPr>
          <w:rFonts w:ascii="Garamond" w:hAnsi="Garamond"/>
          <w:b/>
          <w:color w:val="2C3E5A"/>
          <w:sz w:val="26"/>
        </w:rPr>
        <w:t>Article 9. Forme et transmission des actions</w:t>
      </w:r>
    </w:p>
    <w:p/>
    <w:p>
      <w:r>
        <w:rPr>
          <w:rFonts w:ascii="Garamond" w:hAnsi="Garamond"/>
        </w:rPr>
        <w:t>Les actions sont obligatoirement nominatives. Elles sont inscrites en compte au nom de leur titulaire dans les registres tenus par la Société.</w:t>
      </w:r>
    </w:p>
    <w:p/>
    <w:p>
      <w:r>
        <w:rPr>
          <w:rFonts w:ascii="Garamond" w:hAnsi="Garamond"/>
        </w:rPr>
        <w:t>Tant que la Société ne comporte qu'un seul associé, les actions sont librement cessibles.</w:t>
      </w:r>
    </w:p>
    <w:p/>
    <w:p>
      <w:r>
        <w:rPr>
          <w:rFonts w:ascii="Garamond" w:hAnsi="Garamond"/>
        </w:rPr>
        <w:t>En cas de pluralité d'associés, la transmission des actions s'opère par virement de compte à compte sur production d'un ordre de mouvement signé du cédant ou de son mandataire. Les mouvements sont inscrits chronologiquement sur le registre des mouvements de titres tenu par la Société.</w:t>
      </w:r>
    </w:p>
    <w:p/>
    <w:p>
      <w:r>
        <w:rPr>
          <w:rFonts w:ascii="Garamond" w:hAnsi="Garamond"/>
        </w:rPr>
        <w:t>La Société peut émettre des actions de préférence, avec ou sans droit de vote, assorties de droits particuliers de toute nature, dans les conditions prévues par la loi.</w:t>
      </w:r>
    </w:p>
    <w:p/>
    <w:p>
      <w:pPr>
        <w:keepNext/>
        <w:spacing w:before="200" w:after="120"/>
        <w:jc w:val="left"/>
      </w:pPr>
      <w:r>
        <w:rPr>
          <w:rFonts w:ascii="Garamond" w:hAnsi="Garamond"/>
          <w:b/>
          <w:color w:val="2C3E5A"/>
          <w:sz w:val="26"/>
        </w:rPr>
        <w:t>Article 10. Droits attachés aux actions</w:t>
      </w:r>
    </w:p>
    <w:p/>
    <w:p>
      <w:r>
        <w:rPr>
          <w:rFonts w:ascii="Garamond" w:hAnsi="Garamond"/>
        </w:rPr>
        <w:t>Chaque action donne droit, dans les bénéfices et l'actif social, à une part proportionnelle à la quotité du capital qu'elle représente. Elle donne droit au vote et à la représentation dans les décisions collectives.</w:t>
      </w:r>
    </w:p>
    <w:p/>
    <w:p>
      <w:r>
        <w:rPr>
          <w:rFonts w:ascii="Garamond" w:hAnsi="Garamond"/>
        </w:rPr>
        <w:t>La propriété d'une action emporte de plein droit adhésion aux présents statuts et aux décisions régulièrement prises.</w:t>
      </w:r>
    </w:p>
    <w:p/>
    <w:p>
      <w:pPr>
        <w:keepNext/>
        <w:spacing w:before="200" w:after="120"/>
        <w:jc w:val="left"/>
      </w:pPr>
      <w:r>
        <w:rPr>
          <w:rFonts w:ascii="Garamond" w:hAnsi="Garamond"/>
          <w:b/>
          <w:color w:val="2C3E5A"/>
          <w:sz w:val="26"/>
        </w:rPr>
        <w:t>Article 11. Indivisibilité des actions</w:t>
      </w:r>
    </w:p>
    <w:p/>
    <w:p>
      <w:r>
        <w:rPr>
          <w:rFonts w:ascii="Garamond" w:hAnsi="Garamond"/>
        </w:rPr>
        <w:t>Les actions sont indivisibles à l'égard de la Société. Les copropriétaires indivis sont tenus de se faire représenter auprès de la Société par un seul d'entre eux ou par un mandataire unique.</w:t>
      </w:r>
    </w:p>
    <w:p/>
    <w:p>
      <w:pPr>
        <w:keepNext/>
        <w:spacing w:before="200" w:after="120"/>
        <w:jc w:val="left"/>
      </w:pPr>
      <w:r>
        <w:rPr>
          <w:rFonts w:ascii="Garamond" w:hAnsi="Garamond"/>
          <w:b/>
          <w:color w:val="2C3E5A"/>
          <w:sz w:val="26"/>
        </w:rPr>
        <w:t>TITRE III. DIRECTION DE LA SOCIÉTÉ</w:t>
      </w:r>
    </w:p>
    <w:p/>
    <w:p>
      <w:pPr>
        <w:keepNext/>
        <w:spacing w:before="200" w:after="120"/>
        <w:jc w:val="left"/>
      </w:pPr>
      <w:r>
        <w:rPr>
          <w:rFonts w:ascii="Garamond" w:hAnsi="Garamond"/>
          <w:b/>
          <w:color w:val="2C3E5A"/>
          <w:sz w:val="26"/>
        </w:rPr>
        <w:t>Article 12. Président</w:t>
      </w:r>
    </w:p>
    <w:p/>
    <w:p>
      <w:r>
        <w:rPr>
          <w:rFonts w:ascii="Garamond" w:hAnsi="Garamond"/>
        </w:rPr>
        <w:t>La Société est représentée, dirigée et administrée par un Président, personne physique ou morale, associé ou non.</w:t>
      </w:r>
    </w:p>
    <w:p/>
    <w:p>
      <w:r>
        <w:rPr>
          <w:rFonts w:ascii="Garamond" w:hAnsi="Garamond"/>
        </w:rPr>
        <w:t xml:space="preserve">Le premier Président de la Société est : </w:t>
      </w:r>
      <w:r>
        <w:rPr>
          <w:rFonts w:ascii="Garamond" w:hAnsi="Garamond"/>
          <w:b/>
        </w:rPr>
        <w:t>[NOM Prénom ou DÉNOMINATION SOCIALE DU PRÉSIDENT — À COMPLÉTER]</w:t>
      </w:r>
      <w:r>
        <w:rPr>
          <w:rFonts w:ascii="Garamond" w:hAnsi="Garamond"/>
        </w:rPr>
        <w:t xml:space="preserve">, </w:t>
      </w:r>
      <w:r>
        <w:rPr>
          <w:rFonts w:ascii="Garamond" w:hAnsi="Garamond"/>
          <w:b/>
          <w:color w:val="8A5A00"/>
        </w:rPr>
        <w:t>[pour une personne physique : né(e) le [JJ/MM/AAAA]</w:t>
      </w:r>
      <w:r>
        <w:rPr>
          <w:rFonts w:ascii="Garamond" w:hAnsi="Garamond"/>
        </w:rPr>
        <w:t xml:space="preserve"> à </w:t>
      </w:r>
      <w:r>
        <w:rPr>
          <w:rFonts w:ascii="Garamond" w:hAnsi="Garamond"/>
          <w:b/>
          <w:color w:val="8A5A00"/>
        </w:rPr>
        <w:t>[LIEU]</w:t>
      </w:r>
      <w:r>
        <w:rPr>
          <w:rFonts w:ascii="Garamond" w:hAnsi="Garamond"/>
        </w:rPr>
        <w:t xml:space="preserve">, demeurant </w:t>
      </w:r>
      <w:r>
        <w:rPr>
          <w:rFonts w:ascii="Garamond" w:hAnsi="Garamond"/>
          <w:b/>
          <w:color w:val="8A5A00"/>
        </w:rPr>
        <w:t>[ADRESSE]</w:t>
      </w:r>
      <w:r>
        <w:rPr>
          <w:rFonts w:ascii="Garamond" w:hAnsi="Garamond"/>
        </w:rPr>
        <w:t xml:space="preserve">] </w:t>
      </w:r>
      <w:r>
        <w:rPr>
          <w:rFonts w:ascii="Garamond" w:hAnsi="Garamond"/>
          <w:b/>
          <w:color w:val="8A5A00"/>
        </w:rPr>
        <w:t>[pour une personne morale : [FORME]</w:t>
      </w:r>
      <w:r>
        <w:rPr>
          <w:rFonts w:ascii="Garamond" w:hAnsi="Garamond"/>
        </w:rPr>
        <w:t xml:space="preserve">, RCS </w:t>
      </w:r>
      <w:r>
        <w:rPr>
          <w:rFonts w:ascii="Garamond" w:hAnsi="Garamond"/>
          <w:b/>
          <w:color w:val="8A5A00"/>
        </w:rPr>
        <w:t>[VILLE]</w:t>
      </w:r>
      <w:r>
        <w:rPr>
          <w:rFonts w:ascii="Garamond" w:hAnsi="Garamond"/>
        </w:rPr>
        <w:t xml:space="preserve"> </w:t>
      </w:r>
      <w:r>
        <w:rPr>
          <w:rFonts w:ascii="Garamond" w:hAnsi="Garamond"/>
          <w:b/>
          <w:color w:val="8A5A00"/>
        </w:rPr>
        <w:t>[SIREN]</w:t>
      </w:r>
      <w:r>
        <w:rPr>
          <w:rFonts w:ascii="Garamond" w:hAnsi="Garamond"/>
        </w:rPr>
        <w:t xml:space="preserve">, siège </w:t>
      </w:r>
      <w:r>
        <w:rPr>
          <w:rFonts w:ascii="Garamond" w:hAnsi="Garamond"/>
          <w:b/>
          <w:color w:val="8A5A00"/>
        </w:rPr>
        <w:t>[ADRESSE]</w:t>
      </w:r>
      <w:r>
        <w:rPr>
          <w:rFonts w:ascii="Garamond" w:hAnsi="Garamond"/>
        </w:rPr>
        <w:t xml:space="preserve">, représentée par </w:t>
      </w:r>
      <w:r>
        <w:rPr>
          <w:rFonts w:ascii="Garamond" w:hAnsi="Garamond"/>
          <w:b/>
          <w:color w:val="8A5A00"/>
        </w:rPr>
        <w:t>[NOM Prénom]</w:t>
      </w:r>
      <w:r>
        <w:rPr>
          <w:rFonts w:ascii="Garamond" w:hAnsi="Garamond"/>
        </w:rPr>
        <w:t>].</w:t>
      </w:r>
    </w:p>
    <w:p/>
    <w:p>
      <w:r>
        <w:rPr>
          <w:rFonts w:ascii="Garamond" w:hAnsi="Garamond"/>
        </w:rPr>
        <w:t xml:space="preserve">Il est nommé pour une durée de </w:t>
      </w:r>
      <w:r>
        <w:rPr>
          <w:rFonts w:ascii="Garamond" w:hAnsi="Garamond"/>
          <w:b/>
          <w:color w:val="8A5A00"/>
        </w:rPr>
        <w:t>[DURÉE DU MANDAT OU MENTION « indéterminée » — À COMPLÉTER]</w:t>
      </w:r>
      <w:r>
        <w:rPr>
          <w:rFonts w:ascii="Garamond" w:hAnsi="Garamond"/>
        </w:rPr>
        <w:t>.</w:t>
      </w:r>
    </w:p>
    <w:p/>
    <w:p>
      <w:r>
        <w:rPr>
          <w:rFonts w:ascii="Garamond" w:hAnsi="Garamond"/>
        </w:rPr>
        <w:t>Lorsque le Président est une personne morale, ses dirigeants sont soumis aux mêmes conditions et obligations et encourent les mêmes responsabilités que s'ils étaient Président en leur nom propre.</w:t>
      </w:r>
    </w:p>
    <w:p/>
    <w:p>
      <w:r>
        <w:rPr>
          <w:rFonts w:ascii="Garamond" w:hAnsi="Garamond"/>
        </w:rPr>
        <w:t xml:space="preserve">En cas de décès, d'incapacité ou de vacance des fonctions du Président pour quelque cause que ce soit, </w:t>
      </w:r>
      <w:r>
        <w:rPr>
          <w:rFonts w:ascii="Garamond" w:hAnsi="Garamond"/>
          <w:b/>
          <w:color w:val="8A5A00"/>
        </w:rPr>
        <w:t>[MODALITÉS DE REMPLACEMENT À ARBITRER : désignation d'un Président de remplacement par l'Associé unique ou ses ayants droit, ou nomination automatique de [NOM Prénom]</w:t>
      </w:r>
      <w:r>
        <w:rPr>
          <w:rFonts w:ascii="Garamond" w:hAnsi="Garamond"/>
        </w:rPr>
        <w:t>, À COMPLÉTER]. Cette clause est indispensable lorsque le Président est également l'Associé unique.</w:t>
      </w:r>
    </w:p>
    <w:p/>
    <w:p>
      <w:pPr>
        <w:keepNext/>
        <w:spacing w:before="200" w:after="120"/>
        <w:jc w:val="left"/>
      </w:pPr>
      <w:r>
        <w:rPr>
          <w:rFonts w:ascii="Garamond" w:hAnsi="Garamond"/>
          <w:b/>
          <w:color w:val="2C3E5A"/>
          <w:sz w:val="26"/>
        </w:rPr>
        <w:t>Article 13. Pouvoirs du Président</w:t>
      </w:r>
    </w:p>
    <w:p/>
    <w:p>
      <w:r>
        <w:rPr>
          <w:rFonts w:ascii="Garamond" w:hAnsi="Garamond"/>
        </w:rPr>
        <w:t>Le Président représente la Société à l'égard des tiers. Il est investi des pouvoirs les plus étendus pour agir en toute circonstance au nom de la Société, dans la limite de l'objet social et des pouvoirs expressément attribués par la loi ou les présents statuts à l'Associé unique.</w:t>
      </w:r>
    </w:p>
    <w:p/>
    <w:p>
      <w:r>
        <w:rPr>
          <w:rFonts w:ascii="Garamond" w:hAnsi="Garamond"/>
        </w:rPr>
        <w:t xml:space="preserve">Dans les rapports internes, les pouvoirs du Président sont limités comme suit : </w:t>
      </w:r>
      <w:r>
        <w:rPr>
          <w:rFonts w:ascii="Garamond" w:hAnsi="Garamond"/>
          <w:b/>
          <w:color w:val="8A5A00"/>
        </w:rPr>
        <w:t>[LIMITATIONS INTERNES ÉVENTUELLES, PAR EXEMPLE AUTORISATION PRÉALABLE AU-DELÀ D'UN SEUIL D'ENGAGEMENT — À COMPLÉTER OU SUPPRIMER]</w:t>
      </w:r>
      <w:r>
        <w:rPr>
          <w:rFonts w:ascii="Garamond" w:hAnsi="Garamond"/>
        </w:rPr>
        <w:t>. Ces limitations sont inopposables aux tiers.</w:t>
      </w:r>
    </w:p>
    <w:p/>
    <w:p>
      <w:pPr>
        <w:keepNext/>
        <w:spacing w:before="200" w:after="120"/>
        <w:jc w:val="left"/>
      </w:pPr>
      <w:r>
        <w:rPr>
          <w:rFonts w:ascii="Garamond" w:hAnsi="Garamond"/>
          <w:b/>
          <w:color w:val="2C3E5A"/>
          <w:sz w:val="26"/>
        </w:rPr>
        <w:t>Article 14. Rémunération du Président</w:t>
      </w:r>
    </w:p>
    <w:p/>
    <w:p>
      <w:r>
        <w:rPr>
          <w:rFonts w:ascii="Garamond" w:hAnsi="Garamond"/>
        </w:rPr>
        <w:t xml:space="preserve">Le Président </w:t>
      </w:r>
      <w:r>
        <w:rPr>
          <w:rFonts w:ascii="Garamond" w:hAnsi="Garamond"/>
          <w:b/>
          <w:color w:val="8A5A00"/>
        </w:rPr>
        <w:t>[perçoit / ne perçoit pas]</w:t>
      </w:r>
      <w:r>
        <w:rPr>
          <w:rFonts w:ascii="Garamond" w:hAnsi="Garamond"/>
        </w:rPr>
        <w:t xml:space="preserve"> de rémunération au titre de son mandat social. Le cas échéant, les modalités de cette rémunération sont fixées par décision de l'Associé unique.</w:t>
      </w:r>
    </w:p>
    <w:p/>
    <w:p>
      <w:r>
        <w:rPr>
          <w:rFonts w:ascii="Garamond" w:hAnsi="Garamond"/>
        </w:rPr>
        <w:t>Le Président est remboursé de ses frais de représentation et de déplacement sur justificatifs.</w:t>
      </w:r>
    </w:p>
    <w:p/>
    <w:p>
      <w:pPr>
        <w:keepNext/>
        <w:spacing w:before="200" w:after="120"/>
        <w:jc w:val="left"/>
      </w:pPr>
      <w:r>
        <w:rPr>
          <w:rFonts w:ascii="Garamond" w:hAnsi="Garamond"/>
          <w:b/>
          <w:color w:val="2C3E5A"/>
          <w:sz w:val="26"/>
        </w:rPr>
        <w:t>Article 15. Cessation des fonctions du Président</w:t>
      </w:r>
    </w:p>
    <w:p/>
    <w:p>
      <w:r>
        <w:rPr>
          <w:rFonts w:ascii="Garamond" w:hAnsi="Garamond"/>
        </w:rPr>
        <w:t>Les fonctions du Président prennent fin par l'arrivée du terme de son mandat, par démission, par révocation, par incapacité, par interdiction de gérer ou par décès ou dissolution s'il s'agit d'une personne morale.</w:t>
      </w:r>
    </w:p>
    <w:p/>
    <w:p>
      <w:r>
        <w:rPr>
          <w:rFonts w:ascii="Garamond" w:hAnsi="Garamond"/>
        </w:rPr>
        <w:t xml:space="preserve">Le Président est révocable à tout moment par décision de l'Associé unique, </w:t>
      </w:r>
      <w:r>
        <w:rPr>
          <w:rFonts w:ascii="Garamond" w:hAnsi="Garamond"/>
          <w:b/>
          <w:color w:val="8A5A00"/>
        </w:rPr>
        <w:t>[avec / sans]</w:t>
      </w:r>
      <w:r>
        <w:rPr>
          <w:rFonts w:ascii="Garamond" w:hAnsi="Garamond"/>
        </w:rPr>
        <w:t xml:space="preserve"> qu'un juste motif soit nécessaire, et </w:t>
      </w:r>
      <w:r>
        <w:rPr>
          <w:rFonts w:ascii="Garamond" w:hAnsi="Garamond"/>
          <w:b/>
          <w:color w:val="8A5A00"/>
        </w:rPr>
        <w:t>[avec / sans]</w:t>
      </w:r>
      <w:r>
        <w:rPr>
          <w:rFonts w:ascii="Garamond" w:hAnsi="Garamond"/>
        </w:rPr>
        <w:t xml:space="preserve"> indemnité. </w:t>
      </w:r>
      <w:r>
        <w:rPr>
          <w:rFonts w:ascii="Garamond" w:hAnsi="Garamond"/>
          <w:b/>
          <w:color w:val="8A5A00"/>
        </w:rPr>
        <w:t>[OPTION À ARBITRER — À COMPLÉTER]</w:t>
      </w:r>
    </w:p>
    <w:p/>
    <w:p>
      <w:r>
        <w:rPr>
          <w:rFonts w:ascii="Garamond" w:hAnsi="Garamond"/>
        </w:rPr>
        <w:t xml:space="preserve">La démission du Président prend effet </w:t>
      </w:r>
      <w:r>
        <w:rPr>
          <w:rFonts w:ascii="Garamond" w:hAnsi="Garamond"/>
          <w:b/>
          <w:color w:val="8A5A00"/>
        </w:rPr>
        <w:t>[immédiatement / à l'expiration d'un préavis de [DURÉE]</w:t>
      </w:r>
      <w:r>
        <w:rPr>
          <w:rFonts w:ascii="Garamond" w:hAnsi="Garamond"/>
        </w:rPr>
        <w:t>], sous réserve d'être notifiée à l'Associé unique.</w:t>
      </w:r>
    </w:p>
    <w:p/>
    <w:p>
      <w:pPr>
        <w:keepNext/>
        <w:spacing w:before="200" w:after="120"/>
        <w:jc w:val="left"/>
      </w:pPr>
      <w:r>
        <w:rPr>
          <w:rFonts w:ascii="Garamond" w:hAnsi="Garamond"/>
          <w:b/>
          <w:color w:val="2C3E5A"/>
          <w:sz w:val="26"/>
        </w:rPr>
        <w:t>Article 16. Directeur général</w:t>
      </w:r>
    </w:p>
    <w:p/>
    <w:p>
      <w:r>
        <w:rPr>
          <w:rFonts w:ascii="Garamond" w:hAnsi="Garamond"/>
        </w:rPr>
        <w:t>Un ou plusieurs Directeurs généraux, personnes physiques ou morales, associés ou non, peuvent être nommés par décision de l'Associé unique, qui fixe la durée de leur mandat et, le cas échéant, leur rémunération. La révocation intervient dans les mêmes formes.</w:t>
      </w:r>
    </w:p>
    <w:p/>
    <w:p>
      <w:r>
        <w:rPr>
          <w:rFonts w:ascii="Garamond" w:hAnsi="Garamond"/>
        </w:rPr>
        <w:t>Le Directeur général dispose, à l'égard des tiers, des mêmes pouvoirs de représentation que le Président. Les limitations de pouvoirs éventuellement décidées à son égard produisent effet dans les rapports internes mais sont inopposables aux tiers.</w:t>
      </w:r>
    </w:p>
    <w:p/>
    <w:p>
      <w:pPr>
        <w:keepNext/>
        <w:spacing w:before="200" w:after="120"/>
        <w:jc w:val="left"/>
      </w:pPr>
      <w:r>
        <w:rPr>
          <w:rFonts w:ascii="Garamond" w:hAnsi="Garamond"/>
          <w:b/>
          <w:color w:val="2C3E5A"/>
          <w:sz w:val="26"/>
        </w:rPr>
        <w:t>Article 17. Conventions réglementées</w:t>
      </w:r>
    </w:p>
    <w:p/>
    <w:p>
      <w:r>
        <w:rPr>
          <w:rFonts w:ascii="Garamond" w:hAnsi="Garamond"/>
        </w:rPr>
        <w:t>Les conventions intervenues, directement ou par personne interposée, entre la Société et son Président, son Directeur général ou son Associé unique font l'objet d'une mention au registre des décisions.</w:t>
      </w:r>
    </w:p>
    <w:p/>
    <w:p>
      <w:r>
        <w:rPr>
          <w:rFonts w:ascii="Garamond" w:hAnsi="Garamond"/>
        </w:rPr>
        <w:t>Les conventions portant sur des opérations courantes et conclues à des conditions normales ne sont pas soumises à cette obligation.</w:t>
      </w:r>
    </w:p>
    <w:p/>
    <w:p>
      <w:r>
        <w:rPr>
          <w:rFonts w:ascii="Garamond" w:hAnsi="Garamond"/>
        </w:rPr>
        <w:t>Il est interdit au Président et aux Directeurs généraux personnes physiques de contracter, sous quelque forme que ce soit, des emprunts auprès de la Société, de se faire consentir par elle un découvert, en compte courant ou autrement, ainsi que de faire cautionner ou avaliser par elle leurs engagements envers les tiers. Cette interdiction s'applique dans les conditions et sous les sanctions prévues par la loi.</w:t>
      </w:r>
    </w:p>
    <w:p/>
    <w:p>
      <w:pPr>
        <w:keepNext/>
        <w:spacing w:before="200" w:after="120"/>
        <w:jc w:val="left"/>
      </w:pPr>
      <w:r>
        <w:rPr>
          <w:rFonts w:ascii="Garamond" w:hAnsi="Garamond"/>
          <w:b/>
          <w:color w:val="2C3E5A"/>
          <w:sz w:val="26"/>
        </w:rPr>
        <w:t>Article 18. Commissaire aux comptes</w:t>
      </w:r>
    </w:p>
    <w:p/>
    <w:p>
      <w:r>
        <w:rPr>
          <w:rFonts w:ascii="Garamond" w:hAnsi="Garamond"/>
        </w:rPr>
        <w:t>L'Associé unique désigne, lorsque les conditions légales l'imposent ou lorsqu'il l'estime opportun, un ou plusieurs commissaires aux comptes titulaires et, le cas échéant, suppléants.</w:t>
      </w:r>
    </w:p>
    <w:p/>
    <w:p>
      <w:r>
        <w:rPr>
          <w:rFonts w:ascii="Garamond" w:hAnsi="Garamond"/>
          <w:b/>
          <w:color w:val="8A5A00"/>
        </w:rPr>
        <w:t>[Le cas échéant : est nommé commissaire aux comptes titulaire : [NOM / DÉNOMINATION — À COMPLÉTER]</w:t>
      </w:r>
      <w:r>
        <w:rPr>
          <w:rFonts w:ascii="Garamond" w:hAnsi="Garamond"/>
        </w:rPr>
        <w:t xml:space="preserve">, pour une durée de </w:t>
      </w:r>
      <w:r>
        <w:rPr>
          <w:rFonts w:ascii="Garamond" w:hAnsi="Garamond"/>
          <w:b/>
          <w:color w:val="8A5A00"/>
        </w:rPr>
        <w:t>[DURÉE]</w:t>
      </w:r>
      <w:r>
        <w:rPr>
          <w:rFonts w:ascii="Garamond" w:hAnsi="Garamond"/>
        </w:rPr>
        <w:t xml:space="preserve"> exercices.]</w:t>
      </w:r>
    </w:p>
    <w:p/>
    <w:p>
      <w:pPr>
        <w:keepNext/>
        <w:spacing w:before="200" w:after="120"/>
        <w:jc w:val="left"/>
      </w:pPr>
      <w:r>
        <w:rPr>
          <w:rFonts w:ascii="Garamond" w:hAnsi="Garamond"/>
          <w:b/>
          <w:color w:val="2C3E5A"/>
          <w:sz w:val="26"/>
        </w:rPr>
        <w:t>TITRE IV. DÉCISIONS DE L'ASSOCIÉ UNIQUE</w:t>
      </w:r>
    </w:p>
    <w:p/>
    <w:p>
      <w:pPr>
        <w:keepNext/>
        <w:spacing w:before="200" w:after="120"/>
        <w:jc w:val="left"/>
      </w:pPr>
      <w:r>
        <w:rPr>
          <w:rFonts w:ascii="Garamond" w:hAnsi="Garamond"/>
          <w:b/>
          <w:color w:val="2C3E5A"/>
          <w:sz w:val="26"/>
        </w:rPr>
        <w:t>Article 19. Compétence de l'Associé unique</w:t>
      </w:r>
    </w:p>
    <w:p/>
    <w:p>
      <w:r>
        <w:rPr>
          <w:rFonts w:ascii="Garamond" w:hAnsi="Garamond"/>
        </w:rPr>
        <w:t>L'Associé unique exerce les pouvoirs dévolus par la loi à la collectivité des associés. Il ne peut déléguer ses pouvoirs.</w:t>
      </w:r>
    </w:p>
    <w:p/>
    <w:p>
      <w:r>
        <w:rPr>
          <w:rFonts w:ascii="Garamond" w:hAnsi="Garamond"/>
        </w:rPr>
        <w:t>Relèvent de sa compétence exclusive : l'approbation des comptes annuels et l'affectation du résultat, la nomination et la révocation du Président, la nomination du commissaire aux comptes, l'augmentation, la réduction ou l'amortissement du capital, la fusion, la scission ou l'apport partiel d'actif, la transformation, la dissolution, ainsi que toute modification des présents statuts.</w:t>
      </w:r>
    </w:p>
    <w:p/>
    <w:p>
      <w:pPr>
        <w:keepNext/>
        <w:spacing w:before="200" w:after="120"/>
        <w:jc w:val="left"/>
      </w:pPr>
      <w:r>
        <w:rPr>
          <w:rFonts w:ascii="Garamond" w:hAnsi="Garamond"/>
          <w:b/>
          <w:color w:val="2C3E5A"/>
          <w:sz w:val="26"/>
        </w:rPr>
        <w:t>Article 20. Forme et constatation des décisions</w:t>
      </w:r>
    </w:p>
    <w:p/>
    <w:p>
      <w:r>
        <w:rPr>
          <w:rFonts w:ascii="Garamond" w:hAnsi="Garamond"/>
        </w:rPr>
        <w:t>Les décisions de l'Associé unique résultent de sa seule volonté. Elles sont constatées par écrit et répertoriées dans un registre coté et paraphé, tenu au siège social.</w:t>
      </w:r>
    </w:p>
    <w:p/>
    <w:p>
      <w:r>
        <w:rPr>
          <w:rFonts w:ascii="Garamond" w:hAnsi="Garamond"/>
        </w:rPr>
        <w:t>Chaque décision mentionne la date, l'objet, le sens de la décision et, le cas échéant, les documents et rapports soumis à l'Associé unique.</w:t>
      </w:r>
    </w:p>
    <w:p/>
    <w:p>
      <w:pPr>
        <w:keepNext/>
        <w:spacing w:before="200" w:after="120"/>
        <w:jc w:val="left"/>
      </w:pPr>
      <w:r>
        <w:rPr>
          <w:rFonts w:ascii="Garamond" w:hAnsi="Garamond"/>
          <w:b/>
          <w:color w:val="2C3E5A"/>
          <w:sz w:val="26"/>
        </w:rPr>
        <w:t>Article 21. Approbation des comptes</w:t>
      </w:r>
    </w:p>
    <w:p/>
    <w:p>
      <w:r>
        <w:rPr>
          <w:rFonts w:ascii="Garamond" w:hAnsi="Garamond"/>
        </w:rPr>
        <w:t>L'Associé unique approuve les comptes annuels, le cas échéant après rapport du commissaire aux comptes, dans le délai de six mois à compter de la clôture de l'exercice.</w:t>
      </w:r>
    </w:p>
    <w:p/>
    <w:p>
      <w:r>
        <w:rPr>
          <w:rFonts w:ascii="Garamond" w:hAnsi="Garamond"/>
        </w:rPr>
        <w:t>Lorsque l'Associé unique, personne physique, assume personnellement la présidence de la Société, le dépôt au registre du commerce et des sociétés, dans le même délai, de l'inventaire et des comptes annuels dûment signés vaut approbation des comptes, sans que l'Associé unique ait à porter cette décision au registre des décisions.</w:t>
      </w:r>
    </w:p>
    <w:p/>
    <w:p>
      <w:pPr>
        <w:keepNext/>
        <w:spacing w:before="200" w:after="120"/>
        <w:jc w:val="left"/>
      </w:pPr>
      <w:r>
        <w:rPr>
          <w:rFonts w:ascii="Garamond" w:hAnsi="Garamond"/>
          <w:b/>
          <w:color w:val="2C3E5A"/>
          <w:sz w:val="26"/>
        </w:rPr>
        <w:t>TITRE V. EXERCICE SOCIAL, COMPTES, RÉSULTAT</w:t>
      </w:r>
    </w:p>
    <w:p/>
    <w:p>
      <w:pPr>
        <w:keepNext/>
        <w:spacing w:before="200" w:after="120"/>
        <w:jc w:val="left"/>
      </w:pPr>
      <w:r>
        <w:rPr>
          <w:rFonts w:ascii="Garamond" w:hAnsi="Garamond"/>
          <w:b/>
          <w:color w:val="2C3E5A"/>
          <w:sz w:val="26"/>
        </w:rPr>
        <w:t>Article 22. Exercice social</w:t>
      </w:r>
    </w:p>
    <w:p/>
    <w:p>
      <w:r>
        <w:rPr>
          <w:rFonts w:ascii="Garamond" w:hAnsi="Garamond"/>
        </w:rPr>
        <w:t xml:space="preserve">L'exercice social commence le </w:t>
      </w:r>
      <w:r>
        <w:rPr>
          <w:rFonts w:ascii="Garamond" w:hAnsi="Garamond"/>
          <w:b/>
          <w:color w:val="8A5A00"/>
        </w:rPr>
        <w:t>[JOUR/MOIS D'OUVERTURE — À COMPLÉTER]</w:t>
      </w:r>
      <w:r>
        <w:rPr>
          <w:rFonts w:ascii="Garamond" w:hAnsi="Garamond"/>
        </w:rPr>
        <w:t xml:space="preserve"> et se termine le </w:t>
      </w:r>
      <w:r>
        <w:rPr>
          <w:rFonts w:ascii="Garamond" w:hAnsi="Garamond"/>
          <w:b/>
          <w:color w:val="8A5A00"/>
        </w:rPr>
        <w:t>[JOUR/MOIS DE CLÔTURE — À COMPLÉTER]</w:t>
      </w:r>
      <w:r>
        <w:rPr>
          <w:rFonts w:ascii="Garamond" w:hAnsi="Garamond"/>
        </w:rPr>
        <w:t xml:space="preserve"> de chaque année.</w:t>
      </w:r>
    </w:p>
    <w:p/>
    <w:p>
      <w:r>
        <w:rPr>
          <w:rFonts w:ascii="Garamond" w:hAnsi="Garamond"/>
        </w:rPr>
        <w:t xml:space="preserve">Par exception, le premier exercice social commence à la date d'immatriculation de la Société au registre du commerce et des sociétés et se termine le </w:t>
      </w:r>
      <w:r>
        <w:rPr>
          <w:rFonts w:ascii="Garamond" w:hAnsi="Garamond"/>
          <w:b/>
          <w:color w:val="8A5A00"/>
        </w:rPr>
        <w:t>[DATE DE CLÔTURE DU PREMIER EXERCICE — À COMPLÉTER]</w:t>
      </w:r>
      <w:r>
        <w:rPr>
          <w:rFonts w:ascii="Garamond" w:hAnsi="Garamond"/>
        </w:rPr>
        <w:t>.</w:t>
      </w:r>
    </w:p>
    <w:p/>
    <w:p>
      <w:pPr>
        <w:keepNext/>
        <w:spacing w:before="200" w:after="120"/>
        <w:jc w:val="left"/>
      </w:pPr>
      <w:r>
        <w:rPr>
          <w:rFonts w:ascii="Garamond" w:hAnsi="Garamond"/>
          <w:b/>
          <w:color w:val="2C3E5A"/>
          <w:sz w:val="26"/>
        </w:rPr>
        <w:t>Article 23. Comptes annuels</w:t>
      </w:r>
    </w:p>
    <w:p/>
    <w:p>
      <w:r>
        <w:rPr>
          <w:rFonts w:ascii="Garamond" w:hAnsi="Garamond"/>
        </w:rPr>
        <w:t>Le Président établit à la clôture de chaque exercice l'inventaire, les comptes annuels et, le cas échéant, le rapport de gestion.</w:t>
      </w:r>
    </w:p>
    <w:p/>
    <w:p>
      <w:pPr>
        <w:keepNext/>
        <w:spacing w:before="200" w:after="120"/>
        <w:jc w:val="left"/>
      </w:pPr>
      <w:r>
        <w:rPr>
          <w:rFonts w:ascii="Garamond" w:hAnsi="Garamond"/>
          <w:b/>
          <w:color w:val="2C3E5A"/>
          <w:sz w:val="26"/>
        </w:rPr>
        <w:t>Article 24. Affectation et répartition du résultat</w:t>
      </w:r>
    </w:p>
    <w:p/>
    <w:p>
      <w:r>
        <w:rPr>
          <w:rFonts w:ascii="Garamond" w:hAnsi="Garamond"/>
        </w:rPr>
        <w:t>Le compte de résultat récapitule les produits et charges de l'exercice et fait apparaître, par différence, le bénéfice ou la perte de l'exercice.</w:t>
      </w:r>
    </w:p>
    <w:p/>
    <w:p>
      <w:r>
        <w:rPr>
          <w:rFonts w:ascii="Garamond" w:hAnsi="Garamond"/>
        </w:rPr>
        <w:t>Sur le bénéfice de l'exercice, diminué le cas échéant des pertes antérieures, il est prélevé cinq pour cent au moins pour constituer la réserve légale. Ce prélèvement cesse d'être obligatoire lorsque la réserve atteint le dixième du capital social.</w:t>
      </w:r>
    </w:p>
    <w:p/>
    <w:p>
      <w:r>
        <w:rPr>
          <w:rFonts w:ascii="Garamond" w:hAnsi="Garamond"/>
        </w:rPr>
        <w:t>Le solde, augmenté du report bénéficiaire, constitue le bénéfice distribuable. L'Associé unique décide de son affectation, en tout ou partie, en réserves, en report à nouveau ou en distribution.</w:t>
      </w:r>
    </w:p>
    <w:p/>
    <w:p>
      <w:pPr>
        <w:keepNext/>
        <w:spacing w:before="200" w:after="120"/>
        <w:jc w:val="left"/>
      </w:pPr>
      <w:r>
        <w:rPr>
          <w:rFonts w:ascii="Garamond" w:hAnsi="Garamond"/>
          <w:b/>
          <w:color w:val="2C3E5A"/>
          <w:sz w:val="26"/>
        </w:rPr>
        <w:t>TITRE VI. DISSOLUTION, LIQUIDATION, CONTESTATIONS</w:t>
      </w:r>
    </w:p>
    <w:p/>
    <w:p>
      <w:pPr>
        <w:keepNext/>
        <w:spacing w:before="200" w:after="120"/>
        <w:jc w:val="left"/>
      </w:pPr>
      <w:r>
        <w:rPr>
          <w:rFonts w:ascii="Garamond" w:hAnsi="Garamond"/>
          <w:b/>
          <w:color w:val="2C3E5A"/>
          <w:sz w:val="26"/>
        </w:rPr>
        <w:t>Article 25. Dissolution et liquidation</w:t>
      </w:r>
    </w:p>
    <w:p/>
    <w:p>
      <w:r>
        <w:rPr>
          <w:rFonts w:ascii="Garamond" w:hAnsi="Garamond"/>
        </w:rPr>
        <w:t>La Société est dissoute à l'arrivée du terme statutaire, sauf prorogation, ou par décision de l'Associé unique.</w:t>
      </w:r>
    </w:p>
    <w:p/>
    <w:p>
      <w:r>
        <w:rPr>
          <w:rFonts w:ascii="Garamond" w:hAnsi="Garamond"/>
        </w:rPr>
        <w:t>Lorsque l'Associé unique est une personne morale, la dissolution entraîne la transmission universelle du patrimoine de la Société à l'Associé unique, sans qu'il y ait lieu à liquidation, sous réserve du droit d'opposition des créanciers.</w:t>
      </w:r>
    </w:p>
    <w:p/>
    <w:p>
      <w:r>
        <w:rPr>
          <w:rFonts w:ascii="Garamond" w:hAnsi="Garamond"/>
        </w:rPr>
        <w:t>Lorsque l'Associé unique est une personne physique, la dissolution ouvre la liquidation de la Société dans les conditions de droit commun.</w:t>
      </w:r>
    </w:p>
    <w:p/>
    <w:p>
      <w:pPr>
        <w:keepNext/>
        <w:spacing w:before="200" w:after="120"/>
        <w:jc w:val="left"/>
      </w:pPr>
      <w:r>
        <w:rPr>
          <w:rFonts w:ascii="Garamond" w:hAnsi="Garamond"/>
          <w:b/>
          <w:color w:val="2C3E5A"/>
          <w:sz w:val="26"/>
        </w:rPr>
        <w:t>Article 26. Contestations</w:t>
      </w:r>
    </w:p>
    <w:p/>
    <w:p>
      <w:r>
        <w:rPr>
          <w:rFonts w:ascii="Garamond" w:hAnsi="Garamond"/>
        </w:rPr>
        <w:t>Toutes les contestations relatives aux affaires sociales qui pourraient s'élever pendant la durée de la Société ou de sa liquidation, entre l'Associé unique, le Président, les Directeurs généraux et la Société, sont soumises au tribunal de commerce du lieu du siège social.</w:t>
      </w:r>
    </w:p>
    <w:p/>
    <w:p>
      <w:pPr>
        <w:keepNext/>
        <w:spacing w:before="200" w:after="120"/>
        <w:jc w:val="left"/>
      </w:pPr>
      <w:r>
        <w:rPr>
          <w:rFonts w:ascii="Garamond" w:hAnsi="Garamond"/>
          <w:b/>
          <w:color w:val="2C3E5A"/>
          <w:sz w:val="26"/>
        </w:rPr>
        <w:t>Article 27. Actes accomplis avant l'immatriculation</w:t>
      </w:r>
    </w:p>
    <w:p/>
    <w:p>
      <w:r>
        <w:rPr>
          <w:rFonts w:ascii="Garamond" w:hAnsi="Garamond"/>
        </w:rPr>
        <w:t>L'état des actes accomplis pour le compte de la Société en formation, avec l'indication pour chacun d'eux de l'engagement qui en résulte, est annexé aux présents statuts et signé par l'Associé unique. La signature des statuts emporte reprise de ces engagements par la Société lors de son immatriculation.</w:t>
      </w:r>
    </w:p>
    <w:p/>
    <w:p>
      <w:r>
        <w:rPr>
          <w:rFonts w:ascii="Garamond" w:hAnsi="Garamond"/>
        </w:rPr>
        <w:t xml:space="preserve">Pour les actes accomplis pour le compte de la Société entre la signature des présents statuts et son immatriculation, mandat exprès est donné à </w:t>
      </w:r>
      <w:r>
        <w:rPr>
          <w:rFonts w:ascii="Garamond" w:hAnsi="Garamond"/>
          <w:b/>
          <w:color w:val="8A5A00"/>
        </w:rPr>
        <w:t>[NOM Prénom DU MANDATAIRE — À COMPLÉTER]</w:t>
      </w:r>
      <w:r>
        <w:rPr>
          <w:rFonts w:ascii="Garamond" w:hAnsi="Garamond"/>
        </w:rPr>
        <w:t xml:space="preserve"> à l'effet de les souscrire. Ces actes seront repris de plein droit par la Société lors de son immatriculation.</w:t>
      </w:r>
    </w:p>
    <w:p/>
    <w:p>
      <w:pPr>
        <w:keepNext/>
        <w:spacing w:before="200" w:after="120"/>
        <w:jc w:val="left"/>
      </w:pPr>
      <w:r>
        <w:rPr>
          <w:rFonts w:ascii="Garamond" w:hAnsi="Garamond"/>
          <w:b/>
          <w:color w:val="2C3E5A"/>
          <w:sz w:val="26"/>
        </w:rPr>
        <w:t>Article 28. Frais et formalités</w:t>
      </w:r>
    </w:p>
    <w:p/>
    <w:p>
      <w:r>
        <w:rPr>
          <w:rFonts w:ascii="Garamond" w:hAnsi="Garamond"/>
        </w:rPr>
        <w:t>Les frais, droits et honoraires des présents statuts et de leurs suites sont pris en charge par la Société.</w:t>
      </w:r>
    </w:p>
    <w:p/>
    <w:p>
      <w:r>
        <w:rPr>
          <w:rFonts w:ascii="Garamond" w:hAnsi="Garamond"/>
        </w:rPr>
        <w:t>Tous pouvoirs sont donnés au porteur d'un original ou d'une copie des présents statuts pour accomplir les formalités de publicité, de dépôt et d'immatriculation.</w:t>
      </w:r>
    </w:p>
    <w:p/>
    <w:p/>
    <w:p/>
    <w:p>
      <w:pPr>
        <w:jc w:val="center"/>
      </w:pPr>
      <w:r>
        <w:rPr>
          <w:rFonts w:ascii="Garamond" w:hAnsi="Garamond"/>
        </w:rPr>
        <w:t xml:space="preserve">Fait à </w:t>
      </w:r>
      <w:r>
        <w:rPr>
          <w:rFonts w:ascii="Garamond" w:hAnsi="Garamond"/>
          <w:b/>
          <w:color w:val="8A5A00"/>
        </w:rPr>
        <w:t>[LIEU — À COMPLÉTER]</w:t>
      </w:r>
      <w:r>
        <w:rPr>
          <w:rFonts w:ascii="Garamond" w:hAnsi="Garamond"/>
        </w:rPr>
        <w:t xml:space="preserve">, le </w:t>
      </w:r>
      <w:r>
        <w:rPr>
          <w:rFonts w:ascii="Garamond" w:hAnsi="Garamond"/>
          <w:b/>
          <w:color w:val="8A5A00"/>
        </w:rPr>
        <w:t>[JJ/MM/AAAA]</w:t>
      </w:r>
    </w:p>
    <w:p/>
    <w:p>
      <w:pPr>
        <w:jc w:val="center"/>
      </w:pPr>
      <w:r>
        <w:rPr>
          <w:rFonts w:ascii="Garamond" w:hAnsi="Garamond"/>
        </w:rPr>
        <w:t xml:space="preserve">En </w:t>
      </w:r>
      <w:r>
        <w:rPr>
          <w:rFonts w:ascii="Garamond" w:hAnsi="Garamond"/>
          <w:b/>
          <w:color w:val="8A5A00"/>
        </w:rPr>
        <w:t>[NOMBRE — À COMPLÉTER]</w:t>
      </w:r>
      <w:r>
        <w:rPr>
          <w:rFonts w:ascii="Garamond" w:hAnsi="Garamond"/>
        </w:rPr>
        <w:t xml:space="preserve"> exemplaires originaux.</w:t>
      </w:r>
    </w:p>
    <w:p/>
    <w:p>
      <w:pPr>
        <w:jc w:val="center"/>
      </w:pPr>
      <w:r>
        <w:rPr>
          <w:rFonts w:ascii="Garamond" w:hAnsi="Garamond"/>
          <w:b/>
        </w:rPr>
        <w:t>[NOM Prénom / DÉNOMINATION DE L'ASSOCIÉ UNIQUE]</w:t>
      </w:r>
    </w:p>
    <w:p/>
    <w:p>
      <w:pPr>
        <w:jc w:val="center"/>
      </w:pPr>
      <w:r>
        <w:rPr>
          <w:rFonts w:ascii="Garamond" w:hAnsi="Garamond"/>
          <w:i/>
        </w:rPr>
        <w:t>[Signature — chaque page des présents statuts est paraphée]</w:t>
      </w:r>
    </w:p>
    <w:p>
      <w:r>
        <w:br w:type="page"/>
      </w:r>
    </w:p>
    <w:p>
      <w:pPr>
        <w:spacing w:before="0" w:after="0"/>
        <w:pBdr>
          <w:bottom w:val="single" w:sz="6" w:space="1" w:color="5575A2"/>
        </w:pBdr>
      </w:pPr>
    </w:p>
    <w:p>
      <w:pPr>
        <w:spacing w:before="80" w:after="80"/>
        <w:jc w:val="center"/>
      </w:pPr>
      <w:r>
        <w:rPr>
          <w:rFonts w:ascii="Garamond" w:hAnsi="Garamond"/>
          <w:i/>
          <w:color w:val="5C5B58"/>
          <w:sz w:val="20"/>
        </w:rPr>
        <w:t>Contenu à supprimer après personnalisation</w:t>
      </w:r>
    </w:p>
    <w:p>
      <w:pPr>
        <w:spacing w:before="0" w:after="0"/>
        <w:pBdr>
          <w:bottom w:val="single" w:sz="6" w:space="1" w:color="5575A2"/>
        </w:pBdr>
      </w:pPr>
    </w:p>
    <w:p>
      <w:pPr>
        <w:spacing w:after="80"/>
      </w:pPr>
    </w:p>
    <w:tbl>
      <w:tblPr>
        <w:tblW w:type="auto" w:w="0"/>
        <w:tblLayout w:type="autofit"/>
        <w:tblLook w:firstColumn="1" w:firstRow="1" w:lastColumn="0" w:lastRow="0" w:noHBand="0" w:noVBand="1" w:val="04A0"/>
        <w:tblBorders>
          <w:top w:val="single" w:sz="10" w:space="0" w:color="5575A2"/>
          <w:left w:val="single" w:sz="10" w:space="0" w:color="5575A2"/>
          <w:bottom w:val="single" w:sz="10" w:space="0" w:color="5575A2"/>
          <w:right w:val="single" w:sz="10" w:space="0" w:color="5575A2"/>
          <w:insideH w:val="nil"/>
          <w:insideV w:val="nil"/>
        </w:tblBorders>
      </w:tblPr>
      <w:tblGrid>
        <w:gridCol w:w="9406"/>
      </w:tblGrid>
      <w:tr>
        <w:tc>
          <w:tcPr>
            <w:tcW w:type="dxa" w:w="9406"/>
          </w:tcPr>
          <w:p>
            <w:pPr>
              <w:spacing w:after="120"/>
              <w:jc w:val="left"/>
              <w:shd w:val="clear" w:color="auto" w:fill="F7F7F6"/>
            </w:pPr>
            <w:r/>
            <w:r>
              <w:rPr>
                <w:rFonts w:ascii="Garamond" w:hAnsi="Garamond"/>
                <w:b/>
                <w:color w:val="2C3E5A"/>
                <w:sz w:val="26"/>
              </w:rPr>
              <w:t>FAIRE SÉCURISER CE DOCUMENT PAR UN AVOCAT</w:t>
            </w:r>
          </w:p>
          <w:p>
            <w:pPr>
              <w:shd w:val="clear" w:color="auto" w:fill="F7F7F6"/>
              <w:spacing w:after="80"/>
              <w:jc w:val="left"/>
            </w:pPr>
            <w:r>
              <w:rPr>
                <w:rFonts w:ascii="Garamond" w:hAnsi="Garamond"/>
                <w:color w:val="272623"/>
                <w:sz w:val="22"/>
              </w:rPr>
              <w:t>Adapter ce modèle à votre situation, vérifier sa conformité au droit applicable et le signer en toute sérénité.</w:t>
            </w:r>
          </w:p>
          <w:p>
            <w:pPr>
              <w:shd w:val="clear" w:color="auto" w:fill="F7F7F6"/>
              <w:spacing w:after="80"/>
              <w:jc w:val="left"/>
            </w:pPr>
            <w:r>
              <w:rPr>
                <w:rFonts w:ascii="Garamond" w:hAnsi="Garamond"/>
                <w:color w:val="272623"/>
                <w:sz w:val="22"/>
              </w:rPr>
              <w:t>Sur swim.legal, un avocat d'affaires indépendant spécialisé vous répond rapidement, avec un devis transparent et un cadre d'intervention défini.</w:t>
            </w:r>
          </w:p>
          <w:p>
            <w:pPr>
              <w:shd w:val="clear" w:color="auto" w:fill="F9AF51"/>
              <w:spacing w:before="120" w:after="40"/>
              <w:jc w:val="left"/>
            </w:pPr>
            <w:r>
              <w:rPr>
                <w:rFonts w:ascii="Garamond" w:hAnsi="Garamond"/>
                <w:b/>
                <w:color w:val="3F1704"/>
                <w:sz w:val="24"/>
              </w:rPr>
              <w:t xml:space="preserve">  Déposez votre besoin : https://swim.legal  </w:t>
            </w:r>
          </w:p>
        </w:tc>
      </w:tr>
    </w:tbl>
    <w:p>
      <w:pPr>
        <w:spacing w:after="120"/>
      </w:pPr>
    </w:p>
    <w:p>
      <w:pPr>
        <w:keepNext/>
        <w:spacing w:before="200" w:after="120"/>
        <w:jc w:val="left"/>
      </w:pPr>
      <w:r>
        <w:rPr>
          <w:rFonts w:ascii="Garamond" w:hAnsi="Garamond"/>
          <w:b/>
          <w:color w:val="2C3E5A"/>
          <w:sz w:val="26"/>
        </w:rPr>
        <w:t>Notes de complétion</w:t>
      </w:r>
    </w:p>
    <w:p>
      <w:pPr>
        <w:pStyle w:val="ListBullet"/>
        <w:spacing w:after="60"/>
        <w:jc w:val="left"/>
      </w:pPr>
      <w:r>
        <w:rPr>
          <w:rFonts w:ascii="Garamond" w:hAnsi="Garamond"/>
          <w:b/>
        </w:rPr>
        <w:t>Objet social</w:t>
      </w:r>
      <w:r>
        <w:rPr>
          <w:rFonts w:ascii="Garamond" w:hAnsi="Garamond"/>
        </w:rPr>
        <w:t xml:space="preserve"> : le rédiger suffisamment large pour couvrir les activités envisagées à moyen terme. Un objet trop étroit oblige à une modification statutaire, avec formalités et coût, dès le premier développement d'activité.</w:t>
      </w:r>
    </w:p>
    <w:p>
      <w:pPr>
        <w:pStyle w:val="ListBullet"/>
        <w:spacing w:after="60"/>
        <w:jc w:val="left"/>
      </w:pPr>
      <w:r>
        <w:rPr>
          <w:rFonts w:ascii="Garamond" w:hAnsi="Garamond"/>
          <w:b/>
        </w:rPr>
        <w:t>Libération du capital</w:t>
      </w:r>
      <w:r>
        <w:rPr>
          <w:rFonts w:ascii="Garamond" w:hAnsi="Garamond"/>
        </w:rPr>
        <w:t xml:space="preserve"> : la moitié au moins de la valeur nominale des actions de numéraire doit être libérée à la souscription, le solde dans les cinq ans de l'immatriculation. Le certificat de dépôt des fonds est exigé au dossier d'immatriculation.</w:t>
      </w:r>
    </w:p>
    <w:p>
      <w:pPr>
        <w:pStyle w:val="ListBullet"/>
        <w:spacing w:after="60"/>
        <w:jc w:val="left"/>
      </w:pPr>
      <w:r>
        <w:rPr>
          <w:rFonts w:ascii="Garamond" w:hAnsi="Garamond"/>
          <w:b/>
        </w:rPr>
        <w:t>Apports en nature</w:t>
      </w:r>
      <w:r>
        <w:rPr>
          <w:rFonts w:ascii="Garamond" w:hAnsi="Garamond"/>
        </w:rPr>
        <w:t xml:space="preserve"> : choisir entre les deux options de l'article 6 et supprimer celle qui ne s'applique pas. La dispense de commissaire aux apports n'est ouverte que si aucun apport n'excède trente mille euros et si le total des apports en nature n'excède pas la moitié du capital. En cas de dispense, l'associé unique reste solidairement responsable pendant cinq ans de la valeur retenue : cette responsabilité est souvent découverte trop tard.</w:t>
      </w:r>
    </w:p>
    <w:p>
      <w:pPr>
        <w:pStyle w:val="ListBullet"/>
        <w:spacing w:after="60"/>
        <w:jc w:val="left"/>
      </w:pPr>
      <w:r>
        <w:rPr>
          <w:rFonts w:ascii="Garamond" w:hAnsi="Garamond"/>
          <w:b/>
        </w:rPr>
        <w:t>Apports en industrie</w:t>
      </w:r>
      <w:r>
        <w:rPr>
          <w:rFonts w:ascii="Garamond" w:hAnsi="Garamond"/>
        </w:rPr>
        <w:t xml:space="preserve"> : s'ils ne sont pas prévus dès la constitution, leur introduction ultérieure impose une modification statutaire. Supprimer la rubrique si elle est sans objet.</w:t>
      </w:r>
    </w:p>
    <w:p>
      <w:pPr>
        <w:pStyle w:val="ListBullet"/>
        <w:spacing w:after="60"/>
        <w:jc w:val="left"/>
      </w:pPr>
      <w:r>
        <w:rPr>
          <w:rFonts w:ascii="Garamond" w:hAnsi="Garamond"/>
          <w:b/>
        </w:rPr>
        <w:t>Vacance de la présidence</w:t>
      </w:r>
      <w:r>
        <w:rPr>
          <w:rFonts w:ascii="Garamond" w:hAnsi="Garamond"/>
        </w:rPr>
        <w:t xml:space="preserve"> : compléter impérativement la clause de l'article 12. En société par actions simplifiée, aucune règle supplétive ne pallie l'absence de président ; si le président est aussi l'associé unique, son décès ou son incapacité bloque totalement la société tant qu'aucun mécanisme statutaire n'est prévu.</w:t>
      </w:r>
    </w:p>
    <w:p>
      <w:pPr>
        <w:pStyle w:val="ListBullet"/>
        <w:spacing w:after="60"/>
        <w:jc w:val="left"/>
      </w:pPr>
      <w:r>
        <w:rPr>
          <w:rFonts w:ascii="Garamond" w:hAnsi="Garamond"/>
          <w:b/>
        </w:rPr>
        <w:t>Conventions et interdictions</w:t>
      </w:r>
      <w:r>
        <w:rPr>
          <w:rFonts w:ascii="Garamond" w:hAnsi="Garamond"/>
        </w:rPr>
        <w:t xml:space="preserve"> : l'interdiction d'emprunt, de découvert et de caution au profit du président ou du directeur général personne physique est d'ordre public et sanctionnée par la nullité. Elle vise aussi le compte courant débiteur, situation fréquente en pratique.</w:t>
      </w:r>
    </w:p>
    <w:p>
      <w:pPr>
        <w:pStyle w:val="ListBullet"/>
        <w:spacing w:after="60"/>
        <w:jc w:val="left"/>
      </w:pPr>
      <w:r>
        <w:rPr>
          <w:rFonts w:ascii="Garamond" w:hAnsi="Garamond"/>
          <w:b/>
        </w:rPr>
        <w:t>Approbation des comptes</w:t>
      </w:r>
      <w:r>
        <w:rPr>
          <w:rFonts w:ascii="Garamond" w:hAnsi="Garamond"/>
        </w:rPr>
        <w:t xml:space="preserve"> : lorsque l'associé unique personne physique préside la société, le dépôt au registre du commerce des comptes signés vaut approbation. Cette simplification n'exonère pas du dépôt dans le délai.</w:t>
      </w:r>
    </w:p>
    <w:p>
      <w:pPr>
        <w:pStyle w:val="ListBullet"/>
        <w:spacing w:after="60"/>
        <w:jc w:val="left"/>
      </w:pPr>
      <w:r>
        <w:rPr>
          <w:rFonts w:ascii="Garamond" w:hAnsi="Garamond"/>
          <w:b/>
        </w:rPr>
        <w:t>Révocation du Président</w:t>
      </w:r>
      <w:r>
        <w:rPr>
          <w:rFonts w:ascii="Garamond" w:hAnsi="Garamond"/>
        </w:rPr>
        <w:t xml:space="preserve"> : arbitrer explicitement entre révocation libre et révocation pour juste motif, ainsi que sur l'existence d'une indemnité. À défaut de clause claire, le contentieux est fréquent lorsque le président est aussi l'associé fondateur devenu minoritaire.</w:t>
      </w:r>
    </w:p>
    <w:p>
      <w:pPr>
        <w:pStyle w:val="ListBullet"/>
        <w:spacing w:after="60"/>
        <w:jc w:val="left"/>
      </w:pPr>
      <w:r>
        <w:rPr>
          <w:rFonts w:ascii="Garamond" w:hAnsi="Garamond"/>
          <w:b/>
        </w:rPr>
        <w:t>Clauses de sortie</w:t>
      </w:r>
      <w:r>
        <w:rPr>
          <w:rFonts w:ascii="Garamond" w:hAnsi="Garamond"/>
        </w:rPr>
        <w:t xml:space="preserve"> : si l'ouverture du capital est envisagée, faire rédiger dès la constitution les clauses d'agrément, de préemption, d'exclusion et d'inaliénabilité. Certaines d'entre elles ne peuvent être adoptées ou modifiées qu'à l'unanimité des associés une fois la société pluripersonnelle : les ajouter après coup peut devenir impossible.</w:t>
      </w:r>
    </w:p>
    <w:p>
      <w:pPr>
        <w:pStyle w:val="ListBullet"/>
        <w:spacing w:after="60"/>
        <w:jc w:val="left"/>
      </w:pPr>
      <w:r>
        <w:rPr>
          <w:rFonts w:ascii="Garamond" w:hAnsi="Garamond"/>
          <w:b/>
        </w:rPr>
        <w:t>Directeur général</w:t>
      </w:r>
      <w:r>
        <w:rPr>
          <w:rFonts w:ascii="Garamond" w:hAnsi="Garamond"/>
        </w:rPr>
        <w:t xml:space="preserve"> : ne nommer un directeur général que si le besoin est réel. Ses pouvoirs à l'égard des tiers sont en principe identiques à ceux du président, sauf publication d'une limitation.</w:t>
      </w:r>
    </w:p>
    <w:p>
      <w:pPr>
        <w:pStyle w:val="ListBullet"/>
        <w:spacing w:after="60"/>
        <w:jc w:val="left"/>
      </w:pPr>
      <w:r>
        <w:rPr>
          <w:rFonts w:ascii="Garamond" w:hAnsi="Garamond"/>
          <w:b/>
        </w:rPr>
        <w:t>Commissaire aux comptes</w:t>
      </w:r>
      <w:r>
        <w:rPr>
          <w:rFonts w:ascii="Garamond" w:hAnsi="Garamond"/>
        </w:rPr>
        <w:t xml:space="preserve"> : vérifier les seuils de désignation obligatoire à la date de constitution, ainsi que les cas de désignation liés à l'appartenance à un groupe.</w:t>
      </w:r>
    </w:p>
    <w:p>
      <w:pPr>
        <w:pStyle w:val="ListBullet"/>
        <w:spacing w:after="60"/>
        <w:jc w:val="left"/>
      </w:pPr>
      <w:r>
        <w:rPr>
          <w:rFonts w:ascii="Garamond" w:hAnsi="Garamond"/>
          <w:b/>
        </w:rPr>
        <w:t>Exercice social</w:t>
      </w:r>
      <w:r>
        <w:rPr>
          <w:rFonts w:ascii="Garamond" w:hAnsi="Garamond"/>
        </w:rPr>
        <w:t xml:space="preserve"> : la date de clôture a des conséquences fiscales et pratiques. En pratique, fixer la clôture du premier exercice au plus tard au 31 décembre de l'année suivant celle de l'immatriculation.</w:t>
      </w:r>
    </w:p>
    <w:p>
      <w:pPr>
        <w:pStyle w:val="ListBullet"/>
        <w:spacing w:after="60"/>
        <w:jc w:val="left"/>
      </w:pPr>
      <w:r>
        <w:rPr>
          <w:rFonts w:ascii="Garamond" w:hAnsi="Garamond"/>
          <w:b/>
        </w:rPr>
        <w:t>Actes de la période de formation</w:t>
      </w:r>
      <w:r>
        <w:rPr>
          <w:rFonts w:ascii="Garamond" w:hAnsi="Garamond"/>
        </w:rPr>
        <w:t xml:space="preserve"> : annexer l'état des actes accomplis et le faire signer. Les actes conclus entre la signature des statuts et l'immatriculation ne sont repris que s'ils ont été accomplis en vertu d'un mandat exprès : à défaut, leur auteur reste personnellement tenu.</w:t>
      </w:r>
    </w:p>
    <w:p>
      <w:pPr>
        <w:pStyle w:val="ListBullet"/>
        <w:spacing w:after="60"/>
        <w:jc w:val="left"/>
      </w:pPr>
      <w:r>
        <w:rPr>
          <w:rFonts w:ascii="Garamond" w:hAnsi="Garamond"/>
          <w:b/>
        </w:rPr>
        <w:t>Convention collective</w:t>
      </w:r>
      <w:r>
        <w:rPr>
          <w:rFonts w:ascii="Garamond" w:hAnsi="Garamond"/>
        </w:rPr>
        <w:t xml:space="preserve"> : si la société emploie du personnel, identifier la convention collective applicable dès l'immatriculation ; ce point est distinct des statuts mais conditionne les contrats de travail.</w:t>
      </w:r>
    </w:p>
    <w:p>
      <w:pPr>
        <w:pStyle w:val="ListBullet"/>
        <w:spacing w:after="60"/>
        <w:jc w:val="left"/>
      </w:pPr>
      <w:r>
        <w:rPr>
          <w:rFonts w:ascii="Garamond" w:hAnsi="Garamond"/>
          <w:b/>
        </w:rPr>
        <w:t>Registre des décisions</w:t>
      </w:r>
      <w:r>
        <w:rPr>
          <w:rFonts w:ascii="Garamond" w:hAnsi="Garamond"/>
        </w:rPr>
        <w:t xml:space="preserve"> : ouvrir dès l'immatriculation un registre coté et paraphé. L'absence de formalisation des décisions de l'associé unique est un point de fragilité classique en cas de contrôle ou de cession.</w:t>
      </w:r>
    </w:p>
    <w:p>
      <w:pPr>
        <w:pStyle w:val="ListBullet"/>
        <w:spacing w:after="60"/>
        <w:jc w:val="left"/>
      </w:pPr>
      <w:r>
        <w:rPr>
          <w:rFonts w:ascii="Garamond" w:hAnsi="Garamond"/>
        </w:rPr>
        <w:t>Ce modèle est un document de travail générique. Il ne prend en compte ni votre situation patrimoniale, ni votre régime matrimonial, ni les contraintes propres à votre secteur d'activité, qui peuvent imposer des clauses supplémentaires.</w:t>
      </w:r>
    </w:p>
    <w:p>
      <w:pPr>
        <w:spacing w:after="120"/>
      </w:pPr>
    </w:p>
    <w:p>
      <w:pPr>
        <w:keepNext/>
        <w:spacing w:before="200" w:after="120"/>
        <w:jc w:val="left"/>
      </w:pPr>
      <w:r>
        <w:rPr>
          <w:rFonts w:ascii="Garamond" w:hAnsi="Garamond"/>
          <w:b/>
          <w:color w:val="2C3E5A"/>
          <w:sz w:val="26"/>
        </w:rPr>
        <w:t>AVERTISSEMENT JURIDIQUE</w:t>
      </w:r>
    </w:p>
    <w:p>
      <w:pPr>
        <w:spacing w:after="60"/>
      </w:pPr>
      <w:r>
        <w:rPr>
          <w:rFonts w:ascii="Garamond" w:hAnsi="Garamond"/>
          <w:sz w:val="22"/>
        </w:rPr>
        <w:t>Ce document est un modèle indicatif fourni à titre informatif et pédagogique. Il a été rédigé sur la base du droit français en vigueur à la date indiquée et constitue, par nature, un texte incomplet, tant dans le fond que dans la forme.</w:t>
      </w:r>
    </w:p>
    <w:p>
      <w:pPr>
        <w:spacing w:after="60"/>
      </w:pPr>
      <w:r>
        <w:rPr>
          <w:rFonts w:ascii="Garamond" w:hAnsi="Garamond"/>
          <w:sz w:val="22"/>
        </w:rPr>
        <w:t>Il ne couvre pas l'intégralité des hypothèses, clauses, mentions, formalités ou particularités susceptibles d'être applicables à un cas concret. Il peut comporter des erreurs, des imprécisions, des omissions ou des dispositions inadaptées à votre situation, à la convention collective dont vous relevez, à votre secteur d'activité, à la nature exacte de vos relations contractuelles ou aux évolutions législatives, réglementaires et jurisprudentielles intervenues postérieurement à sa rédaction.</w:t>
      </w:r>
    </w:p>
    <w:p>
      <w:pPr>
        <w:spacing w:after="60"/>
      </w:pPr>
      <w:r>
        <w:rPr>
          <w:rFonts w:ascii="Garamond" w:hAnsi="Garamond"/>
          <w:sz w:val="22"/>
        </w:rPr>
        <w:t>Il ne constitue pas un conseil juridique personnalisé et ne saurait se substituer à l'analyse d'un avocat. Toute utilisation dans un cas concret nécessite une adaptation aux circonstances de fait et de droit propres à la situation, ainsi qu'une vérification de la conformité aux dispositions légales, réglementaires et conventionnelles applicables au jour de la signature.</w:t>
      </w:r>
    </w:p>
    <w:p>
      <w:pPr>
        <w:spacing w:after="60"/>
      </w:pPr>
      <w:r>
        <w:rPr>
          <w:rFonts w:ascii="Garamond" w:hAnsi="Garamond"/>
          <w:sz w:val="22"/>
        </w:rPr>
        <w:t>SWIM LEGAL décline toute responsabilité quant à l'usage qui pourrait être fait de ce modèle sans validation préalable par un professionnel du droit.</w:t>
      </w:r>
    </w:p>
    <w:sectPr w:rsidR="00FC693F" w:rsidRPr="0006063C" w:rsidSect="00034616">
      <w:headerReference w:type="default" r:id="rId9"/>
      <w:footerReference w:type="default" r:id="rId10"/>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rFonts w:ascii="Garamond" w:hAnsi="Garamond"/>
        <w:sz w:val="18"/>
      </w:rPr>
      <w:t xml:space="preserve">Page </w:t>
    </w:r>
    <w:r>
      <w:rPr>
        <w:rFonts w:ascii="Garamond" w:hAnsi="Garamond"/>
        <w:sz w:val="18"/>
      </w:rPr>
      <w:fldChar w:fldCharType="begin"/>
      <w:instrText xml:space="preserve">PAGE</w:instrText>
      <w:fldChar w:fldCharType="end"/>
    </w:r>
    <w:r>
      <w:rPr>
        <w:rFonts w:ascii="Garamond" w:hAnsi="Garamond"/>
        <w:sz w:val="18"/>
      </w:rPr>
      <w:t xml:space="preserve"> sur </w:t>
    </w:r>
    <w:r>
      <w:rPr>
        <w:rFonts w:ascii="Garamond" w:hAnsi="Garamond"/>
        <w:sz w:val="18"/>
      </w:rPr>
      <w:fldChar w:fldCharType="begin"/>
      <w:instrText xml:space="preserve">NUMPAGES</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
      <w:rPr>
        <w:rFonts w:ascii="Garamond" w:hAnsi="Garamond"/>
        <w:i/>
        <w:color w:val="5C5B58"/>
        <w:sz w:val="18"/>
      </w:rPr>
      <w:t>STATUTS DE SOCIÉTÉ PAR ACTIONS SIMPLIFIÉE UNIPERSONNELLE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264" w:lineRule="auto" w:after="60" w:before="0"/>
      <w:jc w:val="both"/>
    </w:pPr>
    <w:rPr>
      <w:rFonts w:ascii="Garamond" w:hAnsi="Garamond"/>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