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Terms of Business</w:t>
      </w:r>
    </w:p>
    <w:p w:rsidR="00000000" w:rsidDel="00000000" w:rsidP="00000000" w:rsidRDefault="00000000" w:rsidRPr="00000000" w14:paraId="00000002">
      <w:pPr>
        <w:numPr>
          <w:ilvl w:val="0"/>
          <w:numId w:val="1"/>
        </w:numPr>
        <w:spacing w:after="0" w:lineRule="auto"/>
        <w:ind w:left="720" w:hanging="360"/>
        <w:jc w:val="both"/>
      </w:pPr>
      <w:r w:rsidDel="00000000" w:rsidR="00000000" w:rsidRPr="00000000">
        <w:rPr>
          <w:rFonts w:ascii="Arial" w:cs="Arial" w:eastAsia="Arial" w:hAnsi="Arial"/>
          <w:b w:val="1"/>
          <w:sz w:val="18"/>
          <w:szCs w:val="18"/>
          <w:rtl w:val="0"/>
        </w:rPr>
        <w:t xml:space="preserve">These Terms and Conditions are between Sundstrom Recruitment and any company, firm or organisation (the “Client”) that requires or requests the introduction of personnel for employment on a permanent basis (the “Candidate”).</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Agreement supersedes any previous contracts or agreements between the parties or proposed by the Client. Request or acceptance of Introductions from the Company, interviewing or Engagement of Applicants Introduced by the Company, signature of this Agreement or any analogous action on the part of the Client shall constitute the Client’s acceptance of these Terms. These Terms &amp; Conditions of Business cannot be modified or varied except with the written agreement of a Director of the Company.</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this Agreement, the following words and phrases have the given meanings: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“Applicant” means any person Introduced by the Company to the Client for an Engagement including, but not limited to, any company or other legal entity that person may operate through and any other partner, director, shareholder or employee of company or other legal entity and members of the Company’s own staff.</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“Client” means the person, firm, organisation or corporate body together with any subsidiary or associated or connected company or person as defined by the Companies Act 2006 to whom the Company Introduces or agrees to Introduce Applicants, as may but is not necessarily better described within the signature section of this Agreement.</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“Engagement” means the employment or use of the Applicant by the Client or any third party, whether on a permanent, temporary or other basis, whether under a contract of service or for services or other arrangement or on any agency, licence, franchise, partnership, investment or loan agreement; or any other form of commercial engagement; directly or through a limited company or other business of which the Applicant is an officer, employee, partner or equivalent.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“Introduction” means any manner or means of communication of a candidate’s identity, including but not limited to the provision of a curriculum vitae or other information which identifies or from which it is possible to identify the Applicant, the interview in person or by telephone or the Engagement of the Applicant. “Introduce” and “Introduced” shall have equivalent meanings.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“Introduction Period” means both the 12 months following the most recent Introduction of the Applicant to the Client by the Company, during such period there being no implied term that an Introduction must be the effective cause of an Engagement, or (if later) where the Introduction was the effective cause of the Engagement.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“Remuneration” means the total salary or equivalent, guaranteed commissions, bonuses, any taxable benefits and/or loans, investments or equivalent payable by the Client during or in respect of the first 12 months of the Candidate’s Engagement. All Remuneration shall be deemed to be on both a fulltime and annualised basis unless expressly agreed between the Company and Client in advance in respect of any given Applicant.</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Fees charged by the Company are calculated as: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tl w:val="0"/>
        </w:rPr>
        <w:t xml:space="preserve">$10</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,000, upfront non-refundable engagement fee </w:t>
      </w:r>
    </w:p>
    <w:p w:rsidR="00000000" w:rsidDel="00000000" w:rsidP="00000000" w:rsidRDefault="00000000" w:rsidRPr="00000000" w14:paraId="000000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tl w:val="0"/>
        </w:rPr>
        <w:t xml:space="preserve">15</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the Applicant’s first year’s Remuneration (minus the </w:t>
      </w:r>
      <w:r w:rsidDel="00000000" w:rsidR="00000000" w:rsidRPr="00000000">
        <w:rPr>
          <w:rtl w:val="0"/>
        </w:rPr>
        <w:t xml:space="preserve">$10</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,000 engagement fee) in respect of any Applicant’s Introduced by the Company which are Engaged by the Client within the Introduction Period </w:t>
      </w:r>
    </w:p>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u w:val="none"/>
        </w:rPr>
      </w:pPr>
      <w:r w:rsidDel="00000000" w:rsidR="00000000" w:rsidRPr="00000000">
        <w:rPr>
          <w:rFonts w:ascii="Times New Roman" w:cs="Times New Roman" w:eastAsia="Times New Roman" w:hAnsi="Times New Roman"/>
          <w:sz w:val="18"/>
          <w:szCs w:val="18"/>
          <w:rtl w:val="0"/>
        </w:rPr>
        <w:t xml:space="preserve">Any fees or charges payable under these Terms and Conditions are stated exclusive of Goods and Services Tax as defined in A New Tax System (Goods and Services Tax) Act 1999. Any amount payable under these Terms and Conditions will be any fees or charges payable plus any amount of Goods and Services Tax payable in relation to those fees and charges.</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Offers of Engagement - The Client must notify the Company immediately upon:-</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Client making an offer of Engagement to an Applicant; and</w:t>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such offer being accepted or rejected by an Applicant; and</w:t>
      </w:r>
    </w:p>
    <w:p w:rsidR="00000000" w:rsidDel="00000000" w:rsidP="00000000" w:rsidRDefault="00000000" w:rsidRPr="00000000" w14:paraId="0000001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Client must supply the Company immediately upon request copies of all letters, memoranda, email, or any form of communication to and from the Client and the Applicant in respect of the Engagement and Remuneration. In the event that the Client refuses, then Company may make a reasonable estimation of the Applicant’s Remuneration.</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Client shall pay to the Company all fees in cleared funds within 14 days of the earlier of the date of an invoice being raised or the Engagement of an Applicant in the event of the Client failing to comply with clause 5 of this agreement. The Company may charge interest on any unpaid sums at the rate of 4% above base rate from time to time, accruing on a daily basis from the date when such payment became due until the date payment is made.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Rebates - If an Applicant’s Engagement is lawfully terminated by the Company (and termination shall not be lawful, for example, if it is unfair or wrongful </w:t>
      </w:r>
      <w:r w:rsidDel="00000000" w:rsidR="00000000" w:rsidRPr="00000000">
        <w:rPr>
          <w:rtl w:val="0"/>
        </w:rPr>
        <w:t xml:space="preserve">under any state or federal law</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or any superseding or modifying legislation) for any reason other than redundancy, then a refund of any corresponding Contingent Fee may be paid by the Company on the following tapering basis:</w:t>
      </w:r>
    </w:p>
    <w:p w:rsidR="00000000" w:rsidDel="00000000" w:rsidP="00000000" w:rsidRDefault="00000000" w:rsidRPr="00000000" w14:paraId="00000024">
      <w:pPr>
        <w:ind w:left="720" w:firstLine="720"/>
        <w:jc w:val="both"/>
        <w:rPr/>
      </w:pPr>
      <w:r w:rsidDel="00000000" w:rsidR="00000000" w:rsidRPr="00000000">
        <w:rPr>
          <w:rtl w:val="0"/>
        </w:rPr>
        <w:t xml:space="preserve">Time Period from Start Date</w:t>
        <w:tab/>
        <w:tab/>
        <w:t xml:space="preserve">Refund</w:t>
      </w:r>
    </w:p>
    <w:p w:rsidR="00000000" w:rsidDel="00000000" w:rsidP="00000000" w:rsidRDefault="00000000" w:rsidRPr="00000000" w14:paraId="00000025">
      <w:pPr>
        <w:ind w:left="720" w:firstLine="720"/>
        <w:jc w:val="both"/>
        <w:rPr/>
      </w:pPr>
      <w:r w:rsidDel="00000000" w:rsidR="00000000" w:rsidRPr="00000000">
        <w:rPr>
          <w:rtl w:val="0"/>
        </w:rPr>
        <w:t xml:space="preserve">Up to 4 Weeks Inclusive</w:t>
        <w:tab/>
        <w:tab/>
        <w:tab/>
        <w:t xml:space="preserve">100% of Contingent Fee</w:t>
      </w:r>
    </w:p>
    <w:p w:rsidR="00000000" w:rsidDel="00000000" w:rsidP="00000000" w:rsidRDefault="00000000" w:rsidRPr="00000000" w14:paraId="00000026">
      <w:pPr>
        <w:ind w:left="720" w:firstLine="720"/>
        <w:jc w:val="both"/>
        <w:rPr/>
      </w:pPr>
      <w:r w:rsidDel="00000000" w:rsidR="00000000" w:rsidRPr="00000000">
        <w:rPr>
          <w:rtl w:val="0"/>
        </w:rPr>
        <w:t xml:space="preserve">5 – 8 Weeks Inclusive</w:t>
        <w:tab/>
        <w:tab/>
        <w:tab/>
        <w:t xml:space="preserve">50% of Contingent Fee</w:t>
      </w:r>
    </w:p>
    <w:p w:rsidR="00000000" w:rsidDel="00000000" w:rsidP="00000000" w:rsidRDefault="00000000" w:rsidRPr="00000000" w14:paraId="00000027">
      <w:pPr>
        <w:ind w:left="720" w:firstLine="720"/>
        <w:jc w:val="both"/>
        <w:rPr/>
      </w:pPr>
      <w:r w:rsidDel="00000000" w:rsidR="00000000" w:rsidRPr="00000000">
        <w:rPr>
          <w:rtl w:val="0"/>
        </w:rPr>
        <w:t xml:space="preserve">9 – 12 Weeks Inclusive</w:t>
        <w:tab/>
        <w:tab/>
        <w:tab/>
        <w:t xml:space="preserve">25% of Contingent Fee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refund will only be made if (i) the invoice has been paid in full in accordance with clause 6 of this Agreement, (ii) the Client has complied with Clause 5 of this Agreement and (iii) the Company is notified in writing within seven (7) days of the earlier of the termination or notice of termination of the Applicant’s employment.</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Third Party Engagement - If a Client introduces an Applicant to any third party during the Introduction Period and they Engage the Applicant, the Client must pay the Fees in accordance with this Agreement.</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Company Introduces an Applicant that is already in active consideration by the Client and Client advises the Company within 3 business days following the Introduction, Client will not then owe the Company a fee in the event Client Engages that Applicant. Client must on request supply such documentation as may be reasonably required by the Company to show this to be the case.</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Applicant Suitability – While the Company shall use its reasonable endeavours to ensure the suitability of any Applicant, no warranty is given as to the suitability of any Applicant. The Client shall satisfy itself as to the suitability of any Applicant before engaging them, including but not necessarily limited to arranging all medical examinations and investigations, obtaining any work and other permits and taking references (including the confirmation of any professional or academic qualifications or licences) and the Company does not have any implied obligation, duty or liability in contract, tort or otherwise other than those expressly stated in this Agreement.</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Liability - The Company shall not be liable (whether in contract, tort, negligence or otherwise) for any loss, liability, damage or costs, claims or expenses suffered or incurred by the Client (including without limitation, loss of profits, loss of business, loss of reputation and any indirect or consequential losses howsoever caused) arising from, or connected with, the recruitment or engagement of any Applicant by the Client, howsoever arising.</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Agreement is solely between the Company and the Client. The Applicant is not bound by these Terms and Conditions of Business, and subsequently has no rights to enforce any of them directly.</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Agreement between the Client and the Company shall be governed by and construed in accordance with the </w:t>
      </w:r>
      <w:r w:rsidDel="00000000" w:rsidR="00000000" w:rsidRPr="00000000">
        <w:rPr>
          <w:rtl w:val="0"/>
        </w:rPr>
        <w:t xml:space="preserve">federal laws of the commonwealth of Australia and the State of Western Australia.</w:t>
      </w:r>
      <w:r w:rsidDel="00000000" w:rsidR="00000000" w:rsidRPr="00000000">
        <w:rPr>
          <w:rtl w:val="0"/>
        </w:rPr>
      </w:r>
    </w:p>
    <w:p w:rsidR="00000000" w:rsidDel="00000000" w:rsidP="00000000" w:rsidRDefault="00000000" w:rsidRPr="00000000" w14:paraId="00000035">
      <w:pPr>
        <w:jc w:val="both"/>
        <w:rPr/>
      </w:pPr>
      <w:r w:rsidDel="00000000" w:rsidR="00000000" w:rsidRPr="00000000">
        <w:rPr>
          <w:rtl w:val="0"/>
        </w:rPr>
        <w:t xml:space="preserve">CLIENT </w:t>
        <w:tab/>
        <w:tab/>
        <w:tab/>
        <w:tab/>
        <w:tab/>
        <w:tab/>
        <w:t xml:space="preserve">COMPANY Signed:_______________________________</w:t>
        <w:tab/>
        <w:t xml:space="preserve">Signed:________________________________ Date:_________________________________</w:t>
        <w:tab/>
        <w:t xml:space="preserve">Date:__________________________________ Name: _______________________________</w:t>
        <w:tab/>
        <w:t xml:space="preserve">By: ______________________(signatory name) Registered Address (if applicable):</w:t>
        <w:tab/>
        <w:tab/>
        <w:t xml:space="preserve">for and on behalf of the Company</w:t>
      </w:r>
    </w:p>
    <w:p w:rsidR="00000000" w:rsidDel="00000000" w:rsidP="00000000" w:rsidRDefault="00000000" w:rsidRPr="00000000" w14:paraId="00000036">
      <w:pPr>
        <w:jc w:val="both"/>
        <w:rPr/>
      </w:pPr>
      <w:r w:rsidDel="00000000" w:rsidR="00000000" w:rsidRPr="00000000">
        <w:rPr>
          <w:rtl w:val="0"/>
        </w:rPr>
        <w:t xml:space="preserve">_____________________________________ </w:t>
      </w:r>
    </w:p>
    <w:p w:rsidR="00000000" w:rsidDel="00000000" w:rsidP="00000000" w:rsidRDefault="00000000" w:rsidRPr="00000000" w14:paraId="00000037">
      <w:pPr>
        <w:jc w:val="both"/>
        <w:rPr/>
      </w:pPr>
      <w:r w:rsidDel="00000000" w:rsidR="00000000" w:rsidRPr="00000000">
        <w:rPr>
          <w:rtl w:val="0"/>
        </w:rPr>
        <w:t xml:space="preserve">_____________________________________ </w:t>
      </w:r>
    </w:p>
    <w:p w:rsidR="00000000" w:rsidDel="00000000" w:rsidP="00000000" w:rsidRDefault="00000000" w:rsidRPr="00000000" w14:paraId="00000038">
      <w:pPr>
        <w:jc w:val="both"/>
        <w:rPr/>
      </w:pPr>
      <w:r w:rsidDel="00000000" w:rsidR="00000000" w:rsidRPr="00000000">
        <w:rPr>
          <w:rtl w:val="0"/>
        </w:rPr>
        <w:t xml:space="preserve">Company Number (if applicable):___________</w:t>
      </w:r>
    </w:p>
    <w:sectPr>
      <w:headerReference r:id="rId7" w:type="default"/>
      <w:footerReference r:id="rId8" w:type="default"/>
      <w:pgSz w:h="16838" w:w="11906" w:orient="portrait"/>
      <w:pgMar w:bottom="1440" w:top="2269"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tabs>
        <w:tab w:val="center" w:pos="4513"/>
        <w:tab w:val="right" w:pos="9026"/>
      </w:tabs>
      <w:spacing w:after="0" w:line="240" w:lineRule="auto"/>
      <w:rPr>
        <w:rFonts w:ascii="Arial" w:cs="Arial" w:eastAsia="Arial" w:hAnsi="Arial"/>
        <w:sz w:val="20"/>
        <w:szCs w:val="20"/>
      </w:rPr>
    </w:pPr>
    <w:r w:rsidDel="00000000" w:rsidR="00000000" w:rsidRPr="00000000">
      <w:rPr>
        <w:rFonts w:ascii="Arial" w:cs="Arial" w:eastAsia="Arial" w:hAnsi="Arial"/>
        <w:b w:val="1"/>
        <w:color w:val="073763"/>
        <w:sz w:val="20"/>
        <w:szCs w:val="20"/>
        <w:highlight w:val="white"/>
        <w:rtl w:val="0"/>
      </w:rPr>
      <w:t xml:space="preserve">Tel:</w:t>
    </w:r>
    <w:r w:rsidDel="00000000" w:rsidR="00000000" w:rsidRPr="00000000">
      <w:rPr>
        <w:rFonts w:ascii="Arial" w:cs="Arial" w:eastAsia="Arial" w:hAnsi="Arial"/>
        <w:color w:val="ff3300"/>
        <w:sz w:val="20"/>
        <w:szCs w:val="20"/>
        <w:highlight w:val="white"/>
        <w:rtl w:val="0"/>
      </w:rPr>
      <w:t xml:space="preserve"> </w:t>
    </w:r>
    <w:hyperlink r:id="rId1">
      <w:r w:rsidDel="00000000" w:rsidR="00000000" w:rsidRPr="00000000">
        <w:rPr>
          <w:rFonts w:ascii="Arial" w:cs="Arial" w:eastAsia="Arial" w:hAnsi="Arial"/>
          <w:color w:val="1155cc"/>
          <w:sz w:val="20"/>
          <w:szCs w:val="20"/>
          <w:highlight w:val="white"/>
          <w:u w:val="none"/>
          <w:rtl w:val="0"/>
        </w:rPr>
        <w:t xml:space="preserve">+44 (0) 207 993 5659</w:t>
      </w:r>
    </w:hyperlink>
    <w:r w:rsidDel="00000000" w:rsidR="00000000" w:rsidRPr="00000000">
      <w:rPr>
        <w:rFonts w:ascii="Arial" w:cs="Arial" w:eastAsia="Arial" w:hAnsi="Arial"/>
        <w:sz w:val="20"/>
        <w:szCs w:val="20"/>
        <w:rtl w:val="0"/>
      </w:rPr>
      <w:tab/>
      <w:tab/>
    </w:r>
    <w:hyperlink r:id="rId2">
      <w:r w:rsidDel="00000000" w:rsidR="00000000" w:rsidRPr="00000000">
        <w:rPr>
          <w:rFonts w:ascii="Arial" w:cs="Arial" w:eastAsia="Arial" w:hAnsi="Arial"/>
          <w:color w:val="0000ff"/>
          <w:sz w:val="20"/>
          <w:szCs w:val="20"/>
          <w:u w:val="single"/>
          <w:rtl w:val="0"/>
        </w:rPr>
        <w:t xml:space="preserve">www.dualtadoherty.com</w:t>
      </w:r>
    </w:hyperlink>
    <w:r w:rsidDel="00000000" w:rsidR="00000000" w:rsidRPr="00000000">
      <w:rPr>
        <w:rFonts w:ascii="Arial" w:cs="Arial" w:eastAsia="Arial" w:hAnsi="Arial"/>
        <w:sz w:val="20"/>
        <w:szCs w:val="20"/>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tabs>
        <w:tab w:val="left" w:pos="4332"/>
        <w:tab w:val="left" w:pos="5299"/>
      </w:tabs>
      <w:spacing w:after="0" w:line="240" w:lineRule="auto"/>
      <w:jc w:val="center"/>
      <w:rPr/>
    </w:pPr>
    <w:r w:rsidDel="00000000" w:rsidR="00000000" w:rsidRPr="00000000">
      <w:rPr/>
      <w:drawing>
        <wp:inline distB="0" distT="0" distL="0" distR="0">
          <wp:extent cx="2573539" cy="945981"/>
          <wp:effectExtent b="0" l="0" r="0" t="0"/>
          <wp:docPr descr="A close up of a logo&#10;&#10;Description automatically generated" id="2" name="image1.png"/>
          <a:graphic>
            <a:graphicData uri="http://schemas.openxmlformats.org/drawingml/2006/picture">
              <pic:pic>
                <pic:nvPicPr>
                  <pic:cNvPr descr="A close up of a logo&#10;&#10;Description automatically generated" id="0" name="image1.png"/>
                  <pic:cNvPicPr preferRelativeResize="0"/>
                </pic:nvPicPr>
                <pic:blipFill>
                  <a:blip r:embed="rId1"/>
                  <a:srcRect b="0" l="0" r="0" t="0"/>
                  <a:stretch>
                    <a:fillRect/>
                  </a:stretch>
                </pic:blipFill>
                <pic:spPr>
                  <a:xfrm>
                    <a:off x="0" y="0"/>
                    <a:ext cx="2573539" cy="94598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BalloonText">
    <w:name w:val="Balloon Text"/>
    <w:basedOn w:val="Normal"/>
    <w:link w:val="BalloonTextChar"/>
    <w:uiPriority w:val="99"/>
    <w:semiHidden w:val="1"/>
    <w:unhideWhenUsed w:val="1"/>
    <w:rsid w:val="0082213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82213B"/>
    <w:rPr>
      <w:rFonts w:ascii="Tahoma" w:cs="Tahoma" w:hAnsi="Tahoma"/>
      <w:sz w:val="16"/>
      <w:szCs w:val="16"/>
    </w:rPr>
  </w:style>
  <w:style w:type="paragraph" w:styleId="Header">
    <w:name w:val="header"/>
    <w:basedOn w:val="Normal"/>
    <w:link w:val="HeaderChar"/>
    <w:uiPriority w:val="99"/>
    <w:unhideWhenUsed w:val="1"/>
    <w:rsid w:val="0082213B"/>
    <w:pPr>
      <w:tabs>
        <w:tab w:val="center" w:pos="4680"/>
        <w:tab w:val="right" w:pos="9360"/>
      </w:tabs>
      <w:spacing w:after="0" w:line="240" w:lineRule="auto"/>
    </w:pPr>
  </w:style>
  <w:style w:type="character" w:styleId="HeaderChar" w:customStyle="1">
    <w:name w:val="Header Char"/>
    <w:basedOn w:val="DefaultParagraphFont"/>
    <w:link w:val="Header"/>
    <w:uiPriority w:val="99"/>
    <w:rsid w:val="0082213B"/>
  </w:style>
  <w:style w:type="paragraph" w:styleId="Footer">
    <w:name w:val="footer"/>
    <w:basedOn w:val="Normal"/>
    <w:link w:val="FooterChar"/>
    <w:uiPriority w:val="99"/>
    <w:unhideWhenUsed w:val="1"/>
    <w:rsid w:val="0082213B"/>
    <w:pPr>
      <w:tabs>
        <w:tab w:val="center" w:pos="4680"/>
        <w:tab w:val="right" w:pos="9360"/>
      </w:tabs>
      <w:spacing w:after="0" w:line="240" w:lineRule="auto"/>
    </w:pPr>
  </w:style>
  <w:style w:type="character" w:styleId="FooterChar" w:customStyle="1">
    <w:name w:val="Footer Char"/>
    <w:basedOn w:val="DefaultParagraphFont"/>
    <w:link w:val="Footer"/>
    <w:uiPriority w:val="99"/>
    <w:rsid w:val="0082213B"/>
  </w:style>
  <w:style w:type="character" w:styleId="Hyperlink">
    <w:name w:val="Hyperlink"/>
    <w:basedOn w:val="DefaultParagraphFont"/>
    <w:uiPriority w:val="99"/>
    <w:unhideWhenUsed w:val="1"/>
    <w:rsid w:val="0082213B"/>
    <w:rPr>
      <w:color w:val="0000ff" w:themeColor="hyperlink"/>
      <w:u w:val="single"/>
    </w:rPr>
  </w:style>
  <w:style w:type="paragraph" w:styleId="ListParagraph">
    <w:name w:val="List Paragraph"/>
    <w:basedOn w:val="Normal"/>
    <w:uiPriority w:val="34"/>
    <w:qFormat w:val="1"/>
    <w:rsid w:val="004A22EB"/>
    <w:pPr>
      <w:ind w:left="720"/>
      <w:contextualSpacing w:val="1"/>
    </w:pPr>
  </w:style>
  <w:style w:type="character" w:styleId="UnresolvedMention1" w:customStyle="1">
    <w:name w:val="Unresolved Mention1"/>
    <w:basedOn w:val="DefaultParagraphFont"/>
    <w:uiPriority w:val="99"/>
    <w:semiHidden w:val="1"/>
    <w:unhideWhenUsed w:val="1"/>
    <w:rsid w:val="00FA5C89"/>
    <w:rPr>
      <w:color w:val="605e5c"/>
      <w:shd w:color="auto" w:fill="e1dfdd" w:val="clear"/>
    </w:rPr>
  </w:style>
  <w:style w:type="character" w:styleId="Strong">
    <w:name w:val="Strong"/>
    <w:basedOn w:val="DefaultParagraphFont"/>
    <w:uiPriority w:val="22"/>
    <w:qFormat w:val="1"/>
    <w:rsid w:val="00AC5C2C"/>
    <w:rPr>
      <w:b w:val="1"/>
      <w:b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4.xml"/><Relationship Id="rId5" Type="http://schemas.openxmlformats.org/officeDocument/2006/relationships/styles" Target="styles.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hyperlink" Target="about:blank" TargetMode="External"/><Relationship Id="rId2" Type="http://schemas.openxmlformats.org/officeDocument/2006/relationships/hyperlink" Target="http://www.dualtadohert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lY99jCi7hDD+5dj0XAp6IOCC7Q==">AMUW2mXkmplaKmIVKCtlO636vtpmJtS9wqr6eNE57D5q53pN8Q1+Xii5wscxf4yPU9YZBdO0ky5BNOh0qz0Rma9C3LHdgy3y8vuvAWiHJe8HAXF17kAOVFA=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A1F0A6E4D19F2D4988D9FEDA7CAF75FF" ma:contentTypeVersion="12" ma:contentTypeDescription="Create a new document." ma:contentTypeScope="" ma:versionID="21767095ead7573081a07c4d67c003b3">
  <xsd:schema xmlns:xsd="http://www.w3.org/2001/XMLSchema" xmlns:xs="http://www.w3.org/2001/XMLSchema" xmlns:p="http://schemas.microsoft.com/office/2006/metadata/properties" xmlns:ns2="f6c1dfad-3291-4d8d-84eb-f2d9b82f8cfb" xmlns:ns3="f70344a5-293e-48e6-888a-06f1e3290144" targetNamespace="http://schemas.microsoft.com/office/2006/metadata/properties" ma:root="true" ma:fieldsID="ce3105475e5ba65843f9f52070ada9af" ns2:_="" ns3:_="">
    <xsd:import namespace="f6c1dfad-3291-4d8d-84eb-f2d9b82f8cfb"/>
    <xsd:import namespace="f70344a5-293e-48e6-888a-06f1e32901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1dfad-3291-4d8d-84eb-f2d9b82f8c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0344a5-293e-48e6-888a-06f1e329014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C4070732-14AF-4FA9-A3F7-4E9042648756}"/>
</file>

<file path=customXML/itemProps3.xml><?xml version="1.0" encoding="utf-8"?>
<ds:datastoreItem xmlns:ds="http://schemas.openxmlformats.org/officeDocument/2006/customXml" ds:itemID="{1752B07A-E20F-4C43-9107-1C3FECFBF863}"/>
</file>

<file path=customXML/itemProps4.xml><?xml version="1.0" encoding="utf-8"?>
<ds:datastoreItem xmlns:ds="http://schemas.openxmlformats.org/officeDocument/2006/customXml" ds:itemID="{C8DAF1E8-39E9-41E8-8301-78BFF689B8A0}"/>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Kranthi Sunkari</dc:creator>
  <dcterms:created xsi:type="dcterms:W3CDTF">2020-04-17T14:01:00Z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0x010100A1F0A6E4D19F2D4988D9FEDA7CAF75FF</vt:lpwstr>
  </property>
  <property fmtid="{D5CDD505-2E9C-101B-9397-08002B2CF9AE}" pid="3" name="Order">
    <vt:r8>95400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