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u w:val="single"/>
          <w:rtl w:val="0"/>
        </w:rPr>
        <w:t xml:space="preserve">12-month business plan template broken down into quarters for small established recruitment agencies: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Quarter 1 - Review &amp; Strategy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Goals: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0" w:afterAutospacing="0" w:before="30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Review the previous year's performance.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Refine and align your strategies for the coming year.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Plan for growth and expansion.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i w:val="1"/>
                <w:color w:val="37415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74151"/>
                <w:sz w:val="24"/>
                <w:szCs w:val="24"/>
                <w:u w:val="single"/>
                <w:rtl w:val="0"/>
              </w:rPr>
              <w:t xml:space="preserve">Performance Review: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Analyze the previous year's financials, successes, and challenges.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Evaluate the effectiveness of your recruitment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i w:val="1"/>
                <w:color w:val="37415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74151"/>
                <w:sz w:val="24"/>
                <w:szCs w:val="24"/>
                <w:u w:val="single"/>
                <w:rtl w:val="0"/>
              </w:rPr>
              <w:t xml:space="preserve">Goal Setting: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Set revenue and growth targets for the upcoming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Define specific goals for client acquisition, candidate placements, and market share.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Market Analysis: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Research market trends and changes in demand.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Identify emerging sectors or industries to target.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jc w:val="center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Quarter 2: Strengthening Brand and Outreach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Goals: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0" w:afterAutospacing="0" w:before="30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Strengthen your brand presence and expand your client reach.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Optimize marketing efforts to enhance client and candidate engagement.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i w:val="1"/>
                <w:color w:val="37415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Branding Enhancement: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Review and refresh branding materials if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Ensure consistent branding across all platforms.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i w:val="1"/>
                <w:color w:val="37415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Digital Marketing: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Optimize your website for SEO to increase online visibility.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Research and identify opportunities to bring marketing automation into your business to extend your network reach.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Client Relationships: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Schedule check-ins with key clients to understand their evolving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Seek client feedback and act on suggestions for improvement.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jc w:val="center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Quarter 3: Candidate Pipeline and Process Refinement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Goals: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0" w:afterAutospacing="0" w:before="30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Build a strong candidate pipeline and streamline your recruitment processes.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Focus on providing exceptional candidate experiences.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Candidate Engagement: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Develop targeted candidate engagement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Implement regular communication to keep candidates engaged.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Process Optimization: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Review your recruitment process for efficiency improvements.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Invest in technology to enhance applicant tracking and communication.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Training and Development: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Provide ongoing training for your recruitment team to stay updated with industry trends.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Enhance your team's skills in candidate assessment and relationship management.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jc w:val="center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Quarter 4: Scaling and Innovation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Goals: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0" w:afterAutospacing="0" w:before="30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Scale your business while embracing innovative approaches.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Explore new opportunities for revenue growth.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Scaling Strategy: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Evaluate the potential for expanding into new markets or geographic regions.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Explore partnerships or collaborations that could enhance your service offerings.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Innovation Initiatives: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Identify opportunities to leverage AI or automation for recruitment processes.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Offer new services, such as consulting on talent strategy or diversity hiring.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Client Retention and Upselling: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Develop strategies to retain existing clients and encourage repeat business.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4"/>
                <w:szCs w:val="24"/>
                <w:rtl w:val="0"/>
              </w:rPr>
              <w:t xml:space="preserve">Offer additional services to current clients based on their evolving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" w:cs="Roboto" w:eastAsia="Roboto" w:hAnsi="Roboto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Remember, a business plan should be flexible to adapt to changing market conditions and internal developments. Regularly review and adjust your plan to stay aligned with your goals and maintain a competitive edge.</w:t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Bdr>
        <w:top w:color="d9d9e3" w:space="0" w:sz="0" w:val="none"/>
        <w:left w:color="d9d9e3" w:space="0" w:sz="0" w:val="none"/>
        <w:bottom w:color="d9d9e3" w:space="0" w:sz="0" w:val="none"/>
        <w:right w:color="d9d9e3" w:space="0" w:sz="0" w:val="none"/>
        <w:between w:color="d9d9e3" w:space="0" w:sz="0" w:val="none"/>
      </w:pBdr>
      <w:shd w:fill="f7f7f8" w:val="clear"/>
      <w:spacing w:after="3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