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  <w:jc w:val="center"/>
      </w:pPr>
      <w:r>
        <w:rPr>
          <w:rFonts w:ascii="Calibri" w:cs="Calibri" w:eastAsia="Calibri" w:hAnsi="Calibri"/>
          <w:b/>
          <w:bCs/>
          <w:color w:val="1A2B4C"/>
          <w:spacing w:val="12"/>
          <w:sz w:val="36"/>
          <w:szCs w:val="36"/>
        </w:rPr>
        <w:t xml:space="preserve">FRANK DAGENHARDT III</w:t>
      </w:r>
    </w:p>
    <w:p>
      <w:pPr>
        <w:spacing w:after="80"/>
        <w:jc w:val="center"/>
      </w:pPr>
      <w:r>
        <w:rPr>
          <w:rFonts w:ascii="Calibri" w:cs="Calibri" w:eastAsia="Calibri" w:hAnsi="Calibri"/>
          <w:b/>
          <w:bCs/>
          <w:color w:val="B08D3E"/>
          <w:spacing w:val="10"/>
          <w:sz w:val="20"/>
          <w:szCs w:val="20"/>
        </w:rPr>
        <w:t xml:space="preserve">HIGH-TICKET SALES  •  TEAM LEADERSHIP  •  REVENUE GROWTH</w:t>
      </w:r>
    </w:p>
    <w:p>
      <w:pPr>
        <w:spacing w:after="60"/>
        <w:jc w:val="center"/>
      </w:pPr>
      <w:r>
        <w:rPr>
          <w:rFonts w:ascii="Calibri" w:cs="Calibri" w:eastAsia="Calibri" w:hAnsi="Calibri"/>
          <w:color w:val="6E6E6E"/>
          <w:sz w:val="19"/>
          <w:szCs w:val="19"/>
        </w:rPr>
        <w:t xml:space="preserve">Tampa, FL   •   (810) 819-6877   •   Frank.Dagen@yahoo.com</w:t>
      </w:r>
    </w:p>
    <w:p>
      <w:pPr>
        <w:pBdr>
          <w:bottom w:val="single" w:color="B08D3E" w:sz="8" w:space="1"/>
        </w:pBdr>
        <w:spacing w:after="60" w:before="20"/>
      </w:pPr>
    </w:p>
    <w:p>
      <w:pPr>
        <w:pBdr>
          <w:bottom w:val="single" w:color="B08D3E" w:sz="6" w:space="3"/>
        </w:pBdr>
        <w:spacing w:after="60" w:before="140"/>
      </w:pPr>
      <w:r>
        <w:rPr>
          <w:rFonts w:ascii="Calibri" w:cs="Calibri" w:eastAsia="Calibri" w:hAnsi="Calibri"/>
          <w:b/>
          <w:bCs/>
          <w:color w:val="1A2B4C"/>
          <w:spacing w:val="12"/>
          <w:sz w:val="21"/>
          <w:szCs w:val="21"/>
        </w:rPr>
        <w:t xml:space="preserve">EXECUTIVE SUMMARY</w:t>
      </w:r>
    </w:p>
    <w:p>
      <w:pPr>
        <w:spacing w:after="60"/>
      </w:pPr>
      <w:r>
        <w:rPr>
          <w:rFonts w:ascii="Calibri" w:cs="Calibri" w:eastAsia="Calibri" w:hAnsi="Calibri"/>
          <w:color w:val="3A3A3A"/>
          <w:sz w:val="21"/>
          <w:szCs w:val="21"/>
        </w:rPr>
        <w:t xml:space="preserve">Revenue leader with 5+ years closing high-ticket deals and running multi-location teams across fitness and healthcare sales. Took personal training revenue to the top of the division at LA Fitness (3 promotions in 90 days), scaled that into district- and regional-level leadership at Anytime Fitness, then converted the same consultative, relationship-driven closing approach into a $1M+ single-month result in physician partnership sales at MDVIP. Builds repeatable systems — sales playbooks, KPI accountability, objection-handling training — that lift performance beyond just personal output. Comfortable owning full-cycle sales, coaching a floor, or doing both at once.</w:t>
      </w:r>
    </w:p>
    <w:p>
      <w:pPr>
        <w:pBdr>
          <w:bottom w:val="single" w:color="B08D3E" w:sz="6" w:space="3"/>
        </w:pBdr>
        <w:spacing w:after="60" w:before="140"/>
      </w:pPr>
      <w:r>
        <w:rPr>
          <w:rFonts w:ascii="Calibri" w:cs="Calibri" w:eastAsia="Calibri" w:hAnsi="Calibri"/>
          <w:b/>
          <w:bCs/>
          <w:color w:val="1A2B4C"/>
          <w:spacing w:val="12"/>
          <w:sz w:val="21"/>
          <w:szCs w:val="21"/>
        </w:rPr>
        <w:t xml:space="preserve">CORE COMPETENCIES</w:t>
      </w:r>
    </w:p>
    <w:tbl>
      <w:tblPr>
        <w:tblW w:type="dxa" w:w="111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560"/>
        <w:gridCol w:w="5560"/>
      </w:tblGrid>
      <w:tr>
        <w:tc>
          <w:tcPr>
            <w:tcW w:type="dxa" w:w="5560"/>
            <w:shd w:fill="F4F1EA" w:val="clear"/>
            <w:tcMar>
              <w:top w:type="dxa" w:w="50"/>
              <w:left w:type="dxa" w:w="120"/>
              <w:bottom w:type="dxa" w:w="50"/>
              <w:right w:type="dxa" w:w="120"/>
            </w:tcMar>
          </w:tcPr>
          <w:p>
            <w:r>
              <w:rPr>
                <w:b/>
                <w:bCs/>
                <w:color w:val="B08D3E"/>
                <w:sz w:val="20"/>
                <w:szCs w:val="20"/>
              </w:rPr>
              <w:t xml:space="preserve">▸  </w:t>
            </w:r>
            <w:r>
              <w:rPr>
                <w:rFonts w:ascii="Calibri" w:cs="Calibri" w:eastAsia="Calibri" w:hAnsi="Calibri"/>
                <w:b/>
                <w:bCs/>
                <w:color w:val="3A3A3A"/>
                <w:sz w:val="20"/>
                <w:szCs w:val="20"/>
              </w:rPr>
              <w:t xml:space="preserve">High-Ticket Sales &amp; Closing</w:t>
            </w:r>
          </w:p>
        </w:tc>
        <w:tc>
          <w:tcPr>
            <w:tcW w:type="dxa" w:w="5560"/>
            <w:shd w:fill="F4F1EA" w:val="clear"/>
            <w:tcMar>
              <w:top w:type="dxa" w:w="50"/>
              <w:left w:type="dxa" w:w="120"/>
              <w:bottom w:type="dxa" w:w="50"/>
              <w:right w:type="dxa" w:w="120"/>
            </w:tcMar>
          </w:tcPr>
          <w:p>
            <w:r>
              <w:rPr>
                <w:b/>
                <w:bCs/>
                <w:color w:val="B08D3E"/>
                <w:sz w:val="20"/>
                <w:szCs w:val="20"/>
              </w:rPr>
              <w:t xml:space="preserve">▸  </w:t>
            </w:r>
            <w:r>
              <w:rPr>
                <w:rFonts w:ascii="Calibri" w:cs="Calibri" w:eastAsia="Calibri" w:hAnsi="Calibri"/>
                <w:b/>
                <w:bCs/>
                <w:color w:val="3A3A3A"/>
                <w:sz w:val="20"/>
                <w:szCs w:val="20"/>
              </w:rPr>
              <w:t xml:space="preserve">Team Leadership &amp; Coaching</w:t>
            </w:r>
          </w:p>
        </w:tc>
      </w:tr>
      <w:tr>
        <w:tc>
          <w:tcPr>
            <w:tcW w:type="dxa" w:w="5560"/>
            <w:shd w:fill="F4F1EA" w:val="clear"/>
            <w:tcMar>
              <w:top w:type="dxa" w:w="50"/>
              <w:left w:type="dxa" w:w="120"/>
              <w:bottom w:type="dxa" w:w="50"/>
              <w:right w:type="dxa" w:w="120"/>
            </w:tcMar>
          </w:tcPr>
          <w:p>
            <w:r>
              <w:rPr>
                <w:b/>
                <w:bCs/>
                <w:color w:val="B08D3E"/>
                <w:sz w:val="20"/>
                <w:szCs w:val="20"/>
              </w:rPr>
              <w:t xml:space="preserve">▸  </w:t>
            </w:r>
            <w:r>
              <w:rPr>
                <w:rFonts w:ascii="Calibri" w:cs="Calibri" w:eastAsia="Calibri" w:hAnsi="Calibri"/>
                <w:b/>
                <w:bCs/>
                <w:color w:val="3A3A3A"/>
                <w:sz w:val="20"/>
                <w:szCs w:val="20"/>
              </w:rPr>
              <w:t xml:space="preserve">Multi-Location / Territory Management</w:t>
            </w:r>
          </w:p>
        </w:tc>
        <w:tc>
          <w:tcPr>
            <w:tcW w:type="dxa" w:w="5560"/>
            <w:shd w:fill="F4F1EA" w:val="clear"/>
            <w:tcMar>
              <w:top w:type="dxa" w:w="50"/>
              <w:left w:type="dxa" w:w="120"/>
              <w:bottom w:type="dxa" w:w="50"/>
              <w:right w:type="dxa" w:w="120"/>
            </w:tcMar>
          </w:tcPr>
          <w:p>
            <w:r>
              <w:rPr>
                <w:b/>
                <w:bCs/>
                <w:color w:val="B08D3E"/>
                <w:sz w:val="20"/>
                <w:szCs w:val="20"/>
              </w:rPr>
              <w:t xml:space="preserve">▸  </w:t>
            </w:r>
            <w:r>
              <w:rPr>
                <w:rFonts w:ascii="Calibri" w:cs="Calibri" w:eastAsia="Calibri" w:hAnsi="Calibri"/>
                <w:b/>
                <w:bCs/>
                <w:color w:val="3A3A3A"/>
                <w:sz w:val="20"/>
                <w:szCs w:val="20"/>
              </w:rPr>
              <w:t xml:space="preserve">Consultative &amp; Solution Selling</w:t>
            </w:r>
          </w:p>
        </w:tc>
      </w:tr>
      <w:tr>
        <w:tc>
          <w:tcPr>
            <w:tcW w:type="dxa" w:w="5560"/>
            <w:shd w:fill="F4F1EA" w:val="clear"/>
            <w:tcMar>
              <w:top w:type="dxa" w:w="50"/>
              <w:left w:type="dxa" w:w="120"/>
              <w:bottom w:type="dxa" w:w="50"/>
              <w:right w:type="dxa" w:w="120"/>
            </w:tcMar>
          </w:tcPr>
          <w:p>
            <w:r>
              <w:rPr>
                <w:b/>
                <w:bCs/>
                <w:color w:val="B08D3E"/>
                <w:sz w:val="20"/>
                <w:szCs w:val="20"/>
              </w:rPr>
              <w:t xml:space="preserve">▸  </w:t>
            </w:r>
            <w:r>
              <w:rPr>
                <w:rFonts w:ascii="Calibri" w:cs="Calibri" w:eastAsia="Calibri" w:hAnsi="Calibri"/>
                <w:b/>
                <w:bCs/>
                <w:color w:val="3A3A3A"/>
                <w:sz w:val="20"/>
                <w:szCs w:val="20"/>
              </w:rPr>
              <w:t xml:space="preserve">Pipeline &amp; CRM Mgmt (Salesforce, HubSpot)</w:t>
            </w:r>
          </w:p>
        </w:tc>
        <w:tc>
          <w:tcPr>
            <w:tcW w:type="dxa" w:w="5560"/>
            <w:shd w:fill="F4F1EA" w:val="clear"/>
            <w:tcMar>
              <w:top w:type="dxa" w:w="50"/>
              <w:left w:type="dxa" w:w="120"/>
              <w:bottom w:type="dxa" w:w="50"/>
              <w:right w:type="dxa" w:w="120"/>
            </w:tcMar>
          </w:tcPr>
          <w:p>
            <w:r>
              <w:rPr>
                <w:b/>
                <w:bCs/>
                <w:color w:val="B08D3E"/>
                <w:sz w:val="20"/>
                <w:szCs w:val="20"/>
              </w:rPr>
              <w:t xml:space="preserve">▸  </w:t>
            </w:r>
            <w:r>
              <w:rPr>
                <w:rFonts w:ascii="Calibri" w:cs="Calibri" w:eastAsia="Calibri" w:hAnsi="Calibri"/>
                <w:b/>
                <w:bCs/>
                <w:color w:val="3A3A3A"/>
                <w:sz w:val="20"/>
                <w:szCs w:val="20"/>
              </w:rPr>
              <w:t xml:space="preserve">KPI Design &amp; Sales Playbook Development</w:t>
            </w:r>
          </w:p>
        </w:tc>
      </w:tr>
      <w:tr>
        <w:tc>
          <w:tcPr>
            <w:tcW w:type="dxa" w:w="5560"/>
            <w:shd w:fill="F4F1EA" w:val="clear"/>
            <w:tcMar>
              <w:top w:type="dxa" w:w="50"/>
              <w:left w:type="dxa" w:w="120"/>
              <w:bottom w:type="dxa" w:w="50"/>
              <w:right w:type="dxa" w:w="120"/>
            </w:tcMar>
          </w:tcPr>
          <w:p>
            <w:r>
              <w:rPr>
                <w:b/>
                <w:bCs/>
                <w:color w:val="B08D3E"/>
                <w:sz w:val="20"/>
                <w:szCs w:val="20"/>
              </w:rPr>
              <w:t xml:space="preserve">▸  </w:t>
            </w:r>
            <w:r>
              <w:rPr>
                <w:rFonts w:ascii="Calibri" w:cs="Calibri" w:eastAsia="Calibri" w:hAnsi="Calibri"/>
                <w:b/>
                <w:bCs/>
                <w:color w:val="3A3A3A"/>
                <w:sz w:val="20"/>
                <w:szCs w:val="20"/>
              </w:rPr>
              <w:t xml:space="preserve">Strategic Partnership Development</w:t>
            </w:r>
          </w:p>
        </w:tc>
        <w:tc>
          <w:tcPr>
            <w:tcW w:type="dxa" w:w="5560"/>
            <w:shd w:fill="F4F1EA" w:val="clear"/>
            <w:tcMar>
              <w:top w:type="dxa" w:w="50"/>
              <w:left w:type="dxa" w:w="120"/>
              <w:bottom w:type="dxa" w:w="50"/>
              <w:right w:type="dxa" w:w="120"/>
            </w:tcMar>
          </w:tcPr>
          <w:p>
            <w:r>
              <w:rPr>
                <w:b/>
                <w:bCs/>
                <w:color w:val="B08D3E"/>
                <w:sz w:val="20"/>
                <w:szCs w:val="20"/>
              </w:rPr>
              <w:t xml:space="preserve">▸  </w:t>
            </w:r>
            <w:r>
              <w:rPr>
                <w:rFonts w:ascii="Calibri" w:cs="Calibri" w:eastAsia="Calibri" w:hAnsi="Calibri"/>
                <w:b/>
                <w:bCs/>
                <w:color w:val="3A3A3A"/>
                <w:sz w:val="20"/>
                <w:szCs w:val="20"/>
              </w:rPr>
              <w:t xml:space="preserve">Objection Handling &amp; Sales Training</w:t>
            </w:r>
          </w:p>
        </w:tc>
      </w:tr>
    </w:tbl>
    <w:p>
      <w:pPr>
        <w:pBdr>
          <w:bottom w:val="single" w:color="B08D3E" w:sz="6" w:space="3"/>
        </w:pBdr>
        <w:spacing w:after="60" w:before="140"/>
      </w:pPr>
      <w:r>
        <w:rPr>
          <w:rFonts w:ascii="Calibri" w:cs="Calibri" w:eastAsia="Calibri" w:hAnsi="Calibri"/>
          <w:b/>
          <w:bCs/>
          <w:color w:val="1A2B4C"/>
          <w:spacing w:val="12"/>
          <w:sz w:val="21"/>
          <w:szCs w:val="21"/>
        </w:rPr>
        <w:t xml:space="preserve">PROFESSIONAL EXPERIENCE</w:t>
      </w:r>
    </w:p>
    <w:p>
      <w:pPr>
        <w:tabs>
          <w:tab w:val="right" w:pos="9026"/>
        </w:tabs>
        <w:spacing w:after="30" w:before="100"/>
      </w:pPr>
      <w:r>
        <w:rPr>
          <w:rFonts w:ascii="Calibri" w:cs="Calibri" w:eastAsia="Calibri" w:hAnsi="Calibri"/>
          <w:b/>
          <w:bCs/>
          <w:color w:val="1A2B4C"/>
          <w:sz w:val="23"/>
          <w:szCs w:val="23"/>
        </w:rPr>
        <w:t xml:space="preserve">Strategic Partnerships &amp; Territory Growth Manager</w:t>
      </w:r>
      <w:r>
        <w:rPr>
          <w:rFonts w:ascii="Calibri" w:cs="Calibri" w:eastAsia="Calibri" w:hAnsi="Calibri"/>
          <w:color w:val="B08D3E"/>
          <w:sz w:val="23"/>
          <w:szCs w:val="23"/>
        </w:rPr>
        <w:t xml:space="preserve">  |  </w:t>
      </w:r>
      <w:r>
        <w:rPr>
          <w:rFonts w:ascii="Calibri" w:cs="Calibri" w:eastAsia="Calibri" w:hAnsi="Calibri"/>
          <w:b/>
          <w:bCs/>
          <w:color w:val="3A3A3A"/>
          <w:sz w:val="23"/>
          <w:szCs w:val="23"/>
        </w:rPr>
        <w:t xml:space="preserve">MDVIP</w:t>
      </w:r>
      <w:r>
        <w:rPr>
          <w:rFonts w:ascii="Calibri" w:cs="Calibri" w:eastAsia="Calibri" w:hAnsi="Calibri"/>
          <w:i/>
          <w:iCs/>
          <w:color w:val="6E6E6E"/>
          <w:sz w:val="20"/>
          <w:szCs w:val="20"/>
        </w:rPr>
        <w:t xml:space="preserve">	April 2025 – Present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color w:val="3A3A3A"/>
          <w:sz w:val="21"/>
          <w:szCs w:val="21"/>
        </w:rPr>
        <w:t xml:space="preserve">Generated $1M+ in revenue within a single month</w:t>
      </w:r>
      <w:r>
        <w:rPr>
          <w:rFonts w:ascii="Calibri" w:cs="Calibri" w:eastAsia="Calibri" w:hAnsi="Calibri"/>
          <w:color w:val="3A3A3A"/>
          <w:sz w:val="21"/>
          <w:szCs w:val="21"/>
        </w:rPr>
        <w:t xml:space="preserve"> through physician partnerships and consultative patient acquisition — elite-level full-cycle closing execution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3A3A3A"/>
          <w:sz w:val="21"/>
          <w:szCs w:val="21"/>
        </w:rPr>
        <w:t xml:space="preserve">Run full-cycle sales with physician decision-makers and healthcare administrators, managing pipeline from prospecting through close in Salesforce/HubSpot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3A3A3A"/>
          <w:sz w:val="21"/>
          <w:szCs w:val="21"/>
        </w:rPr>
        <w:t xml:space="preserve">Build multi-channel referral networks and outreach strategies that accelerate territory penetration and consistently exceed quota</w:t>
      </w:r>
    </w:p>
    <w:p>
      <w:pPr>
        <w:tabs>
          <w:tab w:val="right" w:pos="9026"/>
        </w:tabs>
        <w:spacing w:after="30" w:before="100"/>
      </w:pPr>
      <w:r>
        <w:rPr>
          <w:rFonts w:ascii="Calibri" w:cs="Calibri" w:eastAsia="Calibri" w:hAnsi="Calibri"/>
          <w:b/>
          <w:bCs/>
          <w:color w:val="1A2B4C"/>
          <w:sz w:val="23"/>
          <w:szCs w:val="23"/>
        </w:rPr>
        <w:t xml:space="preserve">District Manager → Regional Manager</w:t>
      </w:r>
      <w:r>
        <w:rPr>
          <w:rFonts w:ascii="Calibri" w:cs="Calibri" w:eastAsia="Calibri" w:hAnsi="Calibri"/>
          <w:color w:val="B08D3E"/>
          <w:sz w:val="23"/>
          <w:szCs w:val="23"/>
        </w:rPr>
        <w:t xml:space="preserve">  |  </w:t>
      </w:r>
      <w:r>
        <w:rPr>
          <w:rFonts w:ascii="Calibri" w:cs="Calibri" w:eastAsia="Calibri" w:hAnsi="Calibri"/>
          <w:b/>
          <w:bCs/>
          <w:color w:val="3A3A3A"/>
          <w:sz w:val="23"/>
          <w:szCs w:val="23"/>
        </w:rPr>
        <w:t xml:space="preserve">Anytime Fitness</w:t>
      </w:r>
      <w:r>
        <w:rPr>
          <w:rFonts w:ascii="Calibri" w:cs="Calibri" w:eastAsia="Calibri" w:hAnsi="Calibri"/>
          <w:i/>
          <w:iCs/>
          <w:color w:val="6E6E6E"/>
          <w:sz w:val="20"/>
          <w:szCs w:val="20"/>
        </w:rPr>
        <w:t xml:space="preserve">	February 2023 – April 2025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color w:val="3A3A3A"/>
          <w:sz w:val="21"/>
          <w:szCs w:val="21"/>
        </w:rPr>
        <w:t xml:space="preserve">Promoted to Regional Manager</w:t>
      </w:r>
      <w:r>
        <w:rPr>
          <w:rFonts w:ascii="Calibri" w:cs="Calibri" w:eastAsia="Calibri" w:hAnsi="Calibri"/>
          <w:color w:val="3A3A3A"/>
          <w:sz w:val="21"/>
          <w:szCs w:val="21"/>
        </w:rPr>
        <w:t xml:space="preserve"> after driving cross-location sales consistency and performance standards as District Manager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3A3A3A"/>
          <w:sz w:val="21"/>
          <w:szCs w:val="21"/>
        </w:rPr>
        <w:t xml:space="preserve">Managed 3–5 locations at once — installing closing frameworks, coaching staff, and running B2B partnership programs with employers and healthcare networks to build high-value pipelines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3A3A3A"/>
          <w:sz w:val="21"/>
          <w:szCs w:val="21"/>
        </w:rPr>
        <w:t xml:space="preserve">Rebuilt underperforming units with KPI accountability systems and sales playbooks that were adopted district-wide</w:t>
      </w:r>
    </w:p>
    <w:p>
      <w:pPr>
        <w:tabs>
          <w:tab w:val="right" w:pos="9026"/>
        </w:tabs>
        <w:spacing w:after="30" w:before="100"/>
      </w:pPr>
      <w:r>
        <w:rPr>
          <w:rFonts w:ascii="Calibri" w:cs="Calibri" w:eastAsia="Calibri" w:hAnsi="Calibri"/>
          <w:b/>
          <w:bCs/>
          <w:color w:val="1A2B4C"/>
          <w:sz w:val="23"/>
          <w:szCs w:val="23"/>
        </w:rPr>
        <w:t xml:space="preserve">Personal Training Director</w:t>
      </w:r>
      <w:r>
        <w:rPr>
          <w:rFonts w:ascii="Calibri" w:cs="Calibri" w:eastAsia="Calibri" w:hAnsi="Calibri"/>
          <w:color w:val="B08D3E"/>
          <w:sz w:val="23"/>
          <w:szCs w:val="23"/>
        </w:rPr>
        <w:t xml:space="preserve">  |  </w:t>
      </w:r>
      <w:r>
        <w:rPr>
          <w:rFonts w:ascii="Calibri" w:cs="Calibri" w:eastAsia="Calibri" w:hAnsi="Calibri"/>
          <w:b/>
          <w:bCs/>
          <w:color w:val="3A3A3A"/>
          <w:sz w:val="23"/>
          <w:szCs w:val="23"/>
        </w:rPr>
        <w:t xml:space="preserve">LA Fitness</w:t>
      </w:r>
      <w:r>
        <w:rPr>
          <w:rFonts w:ascii="Calibri" w:cs="Calibri" w:eastAsia="Calibri" w:hAnsi="Calibri"/>
          <w:i/>
          <w:iCs/>
          <w:color w:val="6E6E6E"/>
          <w:sz w:val="20"/>
          <w:szCs w:val="20"/>
        </w:rPr>
        <w:t xml:space="preserve">	January 2022 – December 2022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color w:val="3A3A3A"/>
          <w:sz w:val="21"/>
          <w:szCs w:val="21"/>
        </w:rPr>
        <w:t xml:space="preserve">Promoted 3 times in 90 days</w:t>
      </w:r>
      <w:r>
        <w:rPr>
          <w:rFonts w:ascii="Calibri" w:cs="Calibri" w:eastAsia="Calibri" w:hAnsi="Calibri"/>
          <w:color w:val="3A3A3A"/>
          <w:sz w:val="21"/>
          <w:szCs w:val="21"/>
        </w:rPr>
        <w:t xml:space="preserve"> — one of the fastest advancement tracks in the division — on the strength of top revenue performance and floor leadership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3A3A3A"/>
          <w:sz w:val="21"/>
          <w:szCs w:val="21"/>
        </w:rPr>
        <w:t xml:space="preserve">Exceeded personal training revenue targets through consultative selling; trained the team on objection handling and closing systems still in use after promotion out of the role</w:t>
      </w:r>
    </w:p>
    <w:p>
      <w:pPr>
        <w:pBdr>
          <w:bottom w:val="single" w:color="B08D3E" w:sz="6" w:space="3"/>
        </w:pBdr>
        <w:spacing w:after="60" w:before="140"/>
      </w:pPr>
      <w:r>
        <w:rPr>
          <w:rFonts w:ascii="Calibri" w:cs="Calibri" w:eastAsia="Calibri" w:hAnsi="Calibri"/>
          <w:b/>
          <w:bCs/>
          <w:color w:val="1A2B4C"/>
          <w:spacing w:val="12"/>
          <w:sz w:val="21"/>
          <w:szCs w:val="21"/>
        </w:rPr>
        <w:t xml:space="preserve">KEY ACHIEVEMENTS</w:t>
      </w:r>
    </w:p>
    <w:tbl>
      <w:tblPr>
        <w:tblW w:type="dxa" w:w="111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780"/>
        <w:gridCol w:w="2780"/>
        <w:gridCol w:w="2780"/>
        <w:gridCol w:w="2780"/>
      </w:tblGrid>
      <w:tr>
        <w:tc>
          <w:tcPr>
            <w:tcW w:type="dxa" w:w="2780"/>
            <w:shd w:fill="1A2B4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4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6"/>
                <w:szCs w:val="26"/>
              </w:rPr>
              <w:t xml:space="preserve">$1M+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color w:val="D8CBA0"/>
                <w:sz w:val="16"/>
                <w:szCs w:val="16"/>
              </w:rPr>
              <w:t xml:space="preserve">Revenue in a Single Month</w:t>
            </w:r>
          </w:p>
        </w:tc>
        <w:tc>
          <w:tcPr>
            <w:tcW w:type="dxa" w:w="2780"/>
            <w:shd w:fill="1A2B4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4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6"/>
                <w:szCs w:val="26"/>
              </w:rPr>
              <w:t xml:space="preserve">120%+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color w:val="D8CBA0"/>
                <w:sz w:val="16"/>
                <w:szCs w:val="16"/>
              </w:rPr>
              <w:t xml:space="preserve">Quota Attainment</w:t>
            </w:r>
          </w:p>
        </w:tc>
        <w:tc>
          <w:tcPr>
            <w:tcW w:type="dxa" w:w="2780"/>
            <w:shd w:fill="1A2B4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4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6"/>
                <w:szCs w:val="26"/>
              </w:rPr>
              <w:t xml:space="preserve">3× / 90 Days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color w:val="D8CBA0"/>
                <w:sz w:val="16"/>
                <w:szCs w:val="16"/>
              </w:rPr>
              <w:t xml:space="preserve">Promoted at LA Fitness</w:t>
            </w:r>
          </w:p>
        </w:tc>
        <w:tc>
          <w:tcPr>
            <w:tcW w:type="dxa" w:w="2780"/>
            <w:shd w:fill="1A2B4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4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6"/>
                <w:szCs w:val="26"/>
              </w:rPr>
              <w:t xml:space="preserve">Regional Mgr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color w:val="D8CBA0"/>
                <w:sz w:val="16"/>
                <w:szCs w:val="16"/>
              </w:rPr>
              <w:t xml:space="preserve">Promoted at Anytime Fitness</w:t>
            </w:r>
          </w:p>
        </w:tc>
      </w:tr>
    </w:tbl>
    <w:p>
      <w:pPr>
        <w:pBdr>
          <w:bottom w:val="single" w:color="B08D3E" w:sz="6" w:space="3"/>
        </w:pBdr>
        <w:spacing w:after="60" w:before="140"/>
      </w:pPr>
      <w:r>
        <w:rPr>
          <w:rFonts w:ascii="Calibri" w:cs="Calibri" w:eastAsia="Calibri" w:hAnsi="Calibri"/>
          <w:b/>
          <w:bCs/>
          <w:color w:val="1A2B4C"/>
          <w:spacing w:val="12"/>
          <w:sz w:val="21"/>
          <w:szCs w:val="21"/>
        </w:rPr>
        <w:t xml:space="preserve">ENTREPRENEURIAL VENTURES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A3A3A"/>
          <w:sz w:val="20"/>
          <w:szCs w:val="20"/>
        </w:rPr>
        <w:t xml:space="preserve">Founder / Revenue Lead — built and scaled independent ventures alongside full-time sales roles, owning go-to-market and closing end-to-end. Reflects a closer's instinct for capturing revenue beyond an assigned book of business.</w:t>
      </w:r>
    </w:p>
    <w:p>
      <w:pPr>
        <w:pBdr>
          <w:bottom w:val="single" w:color="B08D3E" w:sz="6" w:space="3"/>
        </w:pBdr>
        <w:spacing w:after="60" w:before="140"/>
      </w:pPr>
      <w:r>
        <w:rPr>
          <w:rFonts w:ascii="Calibri" w:cs="Calibri" w:eastAsia="Calibri" w:hAnsi="Calibri"/>
          <w:b/>
          <w:bCs/>
          <w:color w:val="1A2B4C"/>
          <w:spacing w:val="12"/>
          <w:sz w:val="21"/>
          <w:szCs w:val="21"/>
        </w:rPr>
        <w:t xml:space="preserve">EDUCATION</w:t>
      </w:r>
    </w:p>
    <w:p>
      <w:pPr>
        <w:spacing w:after="20"/>
      </w:pPr>
      <w:r>
        <w:rPr>
          <w:rFonts w:ascii="Calibri" w:cs="Calibri" w:eastAsia="Calibri" w:hAnsi="Calibri"/>
          <w:b/>
          <w:bCs/>
          <w:color w:val="3A3A3A"/>
          <w:sz w:val="21"/>
          <w:szCs w:val="21"/>
        </w:rPr>
        <w:t xml:space="preserve">Central Michigan University</w:t>
      </w:r>
      <w:r>
        <w:rPr>
          <w:rFonts w:ascii="Calibri" w:cs="Calibri" w:eastAsia="Calibri" w:hAnsi="Calibri"/>
          <w:color w:val="3A3A3A"/>
          <w:sz w:val="21"/>
          <w:szCs w:val="21"/>
        </w:rPr>
        <w:t xml:space="preserve">  —  Marketing</w:t>
      </w:r>
    </w:p>
    <w:p>
      <w:r>
        <w:rPr>
          <w:rFonts w:ascii="Calibri" w:cs="Calibri" w:eastAsia="Calibri" w:hAnsi="Calibri"/>
          <w:b/>
          <w:bCs/>
          <w:color w:val="3A3A3A"/>
          <w:sz w:val="21"/>
          <w:szCs w:val="21"/>
        </w:rPr>
        <w:t xml:space="preserve">Washtenaw Community College</w:t>
      </w:r>
      <w:r>
        <w:rPr>
          <w:rFonts w:ascii="Calibri" w:cs="Calibri" w:eastAsia="Calibri" w:hAnsi="Calibri"/>
          <w:color w:val="3A3A3A"/>
          <w:sz w:val="21"/>
          <w:szCs w:val="21"/>
        </w:rPr>
        <w:t xml:space="preserve">  —  Digital Marketing &amp; Sales Principles</w:t>
      </w:r>
    </w:p>
    <w:sectPr>
      <w:pgSz w:w="12240" w:h="15840" w:orient="portrait"/>
      <w:pgMar w:top="560" w:right="560" w:bottom="560" w:left="5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260" w:hanging="200"/>
      </w:pPr>
      <w:rPr>
        <w:color w:val="B08D3E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2026-07-10T15:45:50.813Z</dcterms:created>
  <dcterms:modified xsi:type="dcterms:W3CDTF">2026-07-10T15:45:50.814Z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