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59E1" w14:textId="77777777" w:rsidR="00392441" w:rsidRPr="000C7749" w:rsidRDefault="002B5272">
      <w:pPr>
        <w:pStyle w:val="Title"/>
        <w:rPr>
          <w:rFonts w:ascii="Times New Roman" w:hAnsi="Times New Roman" w:cs="Times New Roman"/>
          <w:sz w:val="48"/>
          <w:szCs w:val="48"/>
        </w:rPr>
      </w:pPr>
      <w:r w:rsidRPr="000C7749">
        <w:rPr>
          <w:rFonts w:ascii="Times New Roman" w:hAnsi="Times New Roman" w:cs="Times New Roman"/>
          <w:sz w:val="48"/>
          <w:szCs w:val="48"/>
        </w:rPr>
        <w:t>Configuration Item Commissioning Procedure</w:t>
      </w:r>
    </w:p>
    <w:p w14:paraId="4C056A26" w14:textId="77777777" w:rsidR="00392441" w:rsidRPr="000C7749" w:rsidRDefault="002B5272" w:rsidP="000C7749">
      <w:pPr>
        <w:spacing w:before="100" w:beforeAutospacing="1" w:after="100" w:afterAutospacing="1"/>
        <w:outlineLvl w:val="1"/>
        <w:rPr>
          <w:rFonts w:ascii="Times New Roman" w:eastAsia="Times New Roman" w:hAnsi="Times New Roman" w:cs="Times New Roman"/>
          <w:b/>
          <w:bCs/>
          <w:sz w:val="36"/>
          <w:szCs w:val="36"/>
          <w:lang w:eastAsia="ru-RU"/>
        </w:rPr>
      </w:pPr>
      <w:r w:rsidRPr="000C7749">
        <w:rPr>
          <w:rFonts w:ascii="Times New Roman" w:eastAsia="Times New Roman" w:hAnsi="Times New Roman" w:cs="Times New Roman"/>
          <w:b/>
          <w:bCs/>
          <w:sz w:val="36"/>
          <w:szCs w:val="36"/>
          <w:lang w:eastAsia="ru-RU"/>
        </w:rPr>
        <w:t>1. General Provisions</w:t>
      </w:r>
    </w:p>
    <w:p w14:paraId="06C6075B"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This procedure establishes the order and rules for carrying out the configuration item (CI) commissioning process, including the stages of initiation, approval, procurement, acceptance, preparation, actual deployment, registration in the CMDB, and subsequent validation.</w:t>
      </w:r>
    </w:p>
    <w:p w14:paraId="7614CF79"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purpose of the process is to ensure controlled, transparent, and repeatable commissioning of CIs into the company's IT landscape, guaranteeing accurate record-keeping, clear assignment of responsibility, and proper use in operational processes.</w:t>
      </w:r>
    </w:p>
    <w:p w14:paraId="1768559D"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process is aimed at reducing the risk of asset loss, keeping CMDB data current, improving the overall quality of IT infrastructure management, and ensuring compliance with internal control, audit, and regulatory requirements.</w:t>
      </w:r>
    </w:p>
    <w:p w14:paraId="18A916DE"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This procedure applies to all types of CIs, including hardware, software, infrastructure components, systems, applications, and logical objects commissioned </w:t>
      </w:r>
      <w:proofErr w:type="gramStart"/>
      <w:r w:rsidRPr="000C7749">
        <w:rPr>
          <w:rFonts w:ascii="Times New Roman" w:hAnsi="Times New Roman" w:cs="Times New Roman"/>
          <w:sz w:val="24"/>
          <w:szCs w:val="24"/>
        </w:rPr>
        <w:t>in the course of</w:t>
      </w:r>
      <w:proofErr w:type="gramEnd"/>
      <w:r w:rsidRPr="000C7749">
        <w:rPr>
          <w:rFonts w:ascii="Times New Roman" w:hAnsi="Times New Roman" w:cs="Times New Roman"/>
          <w:sz w:val="24"/>
          <w:szCs w:val="24"/>
        </w:rPr>
        <w:t xml:space="preserve"> the company's operations, including those identified through discovery and auto-discovery tools.</w:t>
      </w:r>
    </w:p>
    <w:p w14:paraId="29DF0A48" w14:textId="77777777" w:rsidR="00392441" w:rsidRPr="00537EED"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process is end-to-end and covers interaction between the IT, procurement, warehouse accounting, and operations functions.</w:t>
      </w:r>
    </w:p>
    <w:p w14:paraId="46E33872" w14:textId="168FD16E" w:rsidR="000C7749" w:rsidRPr="000C7749"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pict w14:anchorId="15F94319">
          <v:rect id="_x0000_i1025" style="width:0;height:1.5pt" o:hralign="center" o:hrstd="t" o:hr="t" fillcolor="#a0a0a0" stroked="f"/>
        </w:pict>
      </w:r>
    </w:p>
    <w:p w14:paraId="6C9A3881"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2. Process Participants and Responsibilities</w:t>
      </w:r>
    </w:p>
    <w:p w14:paraId="7376B096" w14:textId="77777777"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Process Owner is responsible for developing, maintaining, and overseeing compliance with this procedure, as well as for the ongoing development of the process and the implementation of improvements.</w:t>
      </w:r>
    </w:p>
    <w:p w14:paraId="2B6150EC" w14:textId="5ACCEC64"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 xml:space="preserve">Process Initiator is the department or employee </w:t>
      </w:r>
      <w:r w:rsidR="009C026A">
        <w:rPr>
          <w:rFonts w:ascii="Times New Roman" w:hAnsi="Times New Roman" w:cs="Times New Roman"/>
          <w:sz w:val="24"/>
          <w:szCs w:val="24"/>
        </w:rPr>
        <w:t>who</w:t>
      </w:r>
      <w:r w:rsidRPr="009C026A">
        <w:rPr>
          <w:rFonts w:ascii="Times New Roman" w:hAnsi="Times New Roman" w:cs="Times New Roman"/>
          <w:sz w:val="24"/>
          <w:szCs w:val="24"/>
        </w:rPr>
        <w:t xml:space="preserve"> identifies the need to commission a new CI.</w:t>
      </w:r>
    </w:p>
    <w:p w14:paraId="4F6A2CE6" w14:textId="77777777"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 xml:space="preserve">Approval for commissioning a CI is carried out </w:t>
      </w:r>
      <w:proofErr w:type="gramStart"/>
      <w:r w:rsidRPr="009C026A">
        <w:rPr>
          <w:rFonts w:ascii="Times New Roman" w:hAnsi="Times New Roman" w:cs="Times New Roman"/>
          <w:sz w:val="24"/>
          <w:szCs w:val="24"/>
        </w:rPr>
        <w:t>on the basis of</w:t>
      </w:r>
      <w:proofErr w:type="gramEnd"/>
      <w:r w:rsidRPr="009C026A">
        <w:rPr>
          <w:rFonts w:ascii="Times New Roman" w:hAnsi="Times New Roman" w:cs="Times New Roman"/>
          <w:sz w:val="24"/>
          <w:szCs w:val="24"/>
        </w:rPr>
        <w:t xml:space="preserve"> the corresponding request.</w:t>
      </w:r>
    </w:p>
    <w:p w14:paraId="3749521D" w14:textId="415FB2E9" w:rsidR="00392441" w:rsidRPr="009C026A" w:rsidRDefault="009C026A">
      <w:pPr>
        <w:spacing w:after="160"/>
        <w:rPr>
          <w:rFonts w:ascii="Times New Roman" w:hAnsi="Times New Roman" w:cs="Times New Roman"/>
          <w:sz w:val="24"/>
          <w:szCs w:val="24"/>
        </w:rPr>
      </w:pPr>
      <w:r>
        <w:rPr>
          <w:rFonts w:ascii="Times New Roman" w:hAnsi="Times New Roman" w:cs="Times New Roman"/>
          <w:sz w:val="24"/>
          <w:szCs w:val="24"/>
        </w:rPr>
        <w:t>The procurement function</w:t>
      </w:r>
      <w:r w:rsidR="002B5272" w:rsidRPr="009C026A">
        <w:rPr>
          <w:rFonts w:ascii="Times New Roman" w:hAnsi="Times New Roman" w:cs="Times New Roman"/>
          <w:sz w:val="24"/>
          <w:szCs w:val="24"/>
        </w:rPr>
        <w:t xml:space="preserve"> is responsible for organizing the CI acquisition process, including liaising with suppliers, securing budget approval, and overseeing delivery.</w:t>
      </w:r>
    </w:p>
    <w:p w14:paraId="12E00538" w14:textId="77777777"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Warehouse Function ensures the physical receipt of the CI, verifies that the delivery matches the order, and registers and stores the item until it is handed over for deployment.</w:t>
      </w:r>
    </w:p>
    <w:p w14:paraId="3734F14A" w14:textId="77777777"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Technical Departments and CI Owners are responsible for preparing, installing, configuring, and commissioning the CI, as well as for its ongoing support thereafter.</w:t>
      </w:r>
    </w:p>
    <w:p w14:paraId="0519635A" w14:textId="5B8BAECE" w:rsidR="00392441" w:rsidRPr="009C026A" w:rsidRDefault="002B5272">
      <w:pPr>
        <w:spacing w:after="160"/>
        <w:rPr>
          <w:rFonts w:ascii="Times New Roman" w:hAnsi="Times New Roman" w:cs="Times New Roman"/>
          <w:sz w:val="24"/>
          <w:szCs w:val="24"/>
        </w:rPr>
      </w:pPr>
      <w:r w:rsidRPr="009C026A">
        <w:rPr>
          <w:rFonts w:ascii="Times New Roman" w:hAnsi="Times New Roman" w:cs="Times New Roman"/>
          <w:sz w:val="24"/>
          <w:szCs w:val="24"/>
        </w:rPr>
        <w:t xml:space="preserve">Configuration Manager is responsible for creating and maintaining CMDB </w:t>
      </w:r>
      <w:proofErr w:type="gramStart"/>
      <w:r w:rsidRPr="009C026A">
        <w:rPr>
          <w:rFonts w:ascii="Times New Roman" w:hAnsi="Times New Roman" w:cs="Times New Roman"/>
          <w:sz w:val="24"/>
          <w:szCs w:val="24"/>
        </w:rPr>
        <w:t>records, and</w:t>
      </w:r>
      <w:proofErr w:type="gramEnd"/>
      <w:r w:rsidRPr="009C026A">
        <w:rPr>
          <w:rFonts w:ascii="Times New Roman" w:hAnsi="Times New Roman" w:cs="Times New Roman"/>
          <w:sz w:val="24"/>
          <w:szCs w:val="24"/>
        </w:rPr>
        <w:t xml:space="preserve"> </w:t>
      </w:r>
      <w:r w:rsidR="009C026A">
        <w:rPr>
          <w:rFonts w:ascii="Times New Roman" w:hAnsi="Times New Roman" w:cs="Times New Roman"/>
          <w:sz w:val="24"/>
          <w:szCs w:val="24"/>
        </w:rPr>
        <w:t>ensuring</w:t>
      </w:r>
      <w:r w:rsidRPr="009C026A">
        <w:rPr>
          <w:rFonts w:ascii="Times New Roman" w:hAnsi="Times New Roman" w:cs="Times New Roman"/>
          <w:sz w:val="24"/>
          <w:szCs w:val="24"/>
        </w:rPr>
        <w:t xml:space="preserve"> the accuracy of CI attributes and relationships.</w:t>
      </w:r>
    </w:p>
    <w:p w14:paraId="44533511" w14:textId="54763632" w:rsidR="009C026A" w:rsidRPr="009C026A"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lastRenderedPageBreak/>
        <w:pict w14:anchorId="4727946F">
          <v:rect id="_x0000_i1026" style="width:0;height:1.5pt" o:hralign="center" o:hrstd="t" o:hr="t" fillcolor="#a0a0a0" stroked="f"/>
        </w:pict>
      </w:r>
    </w:p>
    <w:p w14:paraId="3A052167"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3. Process Triggers</w:t>
      </w:r>
    </w:p>
    <w:p w14:paraId="71DF3E9D" w14:textId="77777777" w:rsidR="00392441" w:rsidRPr="00537EED"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process is initiated whenever the need arises to commission a new configuration item. This includes the rollout of new systems and services, the procurement of hardware or software, project implementation, architectural changes, as well as the need to register an item in the CMDB or its identification through discovery and auto-discovery processes.</w:t>
      </w:r>
    </w:p>
    <w:p w14:paraId="22A324D3" w14:textId="10B7927F" w:rsidR="009C026A" w:rsidRPr="009C026A"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pict w14:anchorId="67C8782F">
          <v:rect id="_x0000_i1027" style="width:0;height:1.5pt" o:hralign="center" o:hrstd="t" o:hr="t" fillcolor="#a0a0a0" stroked="f"/>
        </w:pict>
      </w:r>
    </w:p>
    <w:p w14:paraId="1C71F0D8"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4. Process Inputs and Outputs</w:t>
      </w:r>
    </w:p>
    <w:p w14:paraId="5A313FD8"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Inputs to the process include budget requests, technical and architectural documentation, procurement data, delivery information, and the configuration item's parameters — including its characteristics, expected relationships, and owners — among them parameters derived from data obtained through discovery and auto-discovery processes.</w:t>
      </w:r>
    </w:p>
    <w:p w14:paraId="2E6B3635" w14:textId="77777777" w:rsidR="00392441" w:rsidRPr="00537EED"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Outputs of the process are a commissioned configuration item recorded in the CMDB with correct attributes and relationships, assigned owners, and made available for use in the company's operational processes.</w:t>
      </w:r>
    </w:p>
    <w:p w14:paraId="5AC2B95C" w14:textId="751ACC40" w:rsidR="009C026A" w:rsidRPr="009C026A"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pict w14:anchorId="7B4DDCC1">
          <v:rect id="_x0000_i1028" style="width:0;height:1.5pt" o:hralign="center" o:hrstd="t" o:hr="t" fillcolor="#a0a0a0" stroked="f"/>
        </w:pict>
      </w:r>
    </w:p>
    <w:p w14:paraId="620B68F1"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5. Process Description</w:t>
      </w:r>
    </w:p>
    <w:p w14:paraId="6AC5CFA6"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5.1. Initiation</w:t>
      </w:r>
    </w:p>
    <w:p w14:paraId="41BBF4F0"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At the initiation stage, the need to commission a new CI is identified. The initiator defines the purpose of the configuration item, its intended use, and its key parameters.</w:t>
      </w:r>
    </w:p>
    <w:p w14:paraId="62B068BD"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During this stage, a budget request is created in the ERP system, recording the CI description, the purpose of commissioning, expected timelines, and whether procurement is required. The parties responsible for the subsequent stages of the process are also tentatively identified at this point.</w:t>
      </w:r>
    </w:p>
    <w:p w14:paraId="03C72C9D" w14:textId="2BE8F21D"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0B07237C">
          <v:rect id="_x0000_i1029" style="width:0;height:1.5pt" o:hralign="center" o:hrstd="t" o:hr="t" fillcolor="#a0a0a0" stroked="f"/>
        </w:pict>
      </w:r>
    </w:p>
    <w:p w14:paraId="24AEF46D"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5.2. Approval and Change Management</w:t>
      </w:r>
    </w:p>
    <w:p w14:paraId="66E3C44D" w14:textId="2E4EC48C"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The request that has been created goes through an approval procedure at the level of the relevant functional department's management, as part of the change management process. At this stage, the justification for commissioning the CI, the accuracy of the </w:t>
      </w:r>
      <w:r w:rsidR="009C026A" w:rsidRPr="000C7749">
        <w:rPr>
          <w:rFonts w:ascii="Times New Roman" w:hAnsi="Times New Roman" w:cs="Times New Roman"/>
          <w:sz w:val="24"/>
          <w:szCs w:val="24"/>
        </w:rPr>
        <w:t>specified parameters</w:t>
      </w:r>
      <w:r w:rsidRPr="000C7749">
        <w:rPr>
          <w:rFonts w:ascii="Times New Roman" w:hAnsi="Times New Roman" w:cs="Times New Roman"/>
          <w:sz w:val="24"/>
          <w:szCs w:val="24"/>
        </w:rPr>
        <w:t>, and the risks and impact on the existing infrastructure are reviewed.</w:t>
      </w:r>
    </w:p>
    <w:p w14:paraId="4AEE9B7C"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During approval, the CI's characteristics, its place in the architecture, and its integration and operational requirements are clarified. The ERP request is revised as needed.</w:t>
      </w:r>
    </w:p>
    <w:p w14:paraId="3ECFB1E6"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lastRenderedPageBreak/>
        <w:t>The outcome of this stage is an approved ERP request, which serves as the basis for launching subsequent actions, including procurement and preparation of the CI.</w:t>
      </w:r>
    </w:p>
    <w:p w14:paraId="78AAC8FF" w14:textId="2211F549"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4AEDDBB1">
          <v:rect id="_x0000_i1030" style="width:0;height:1.5pt" o:hralign="center" o:hrstd="t" o:hr="t" fillcolor="#a0a0a0" stroked="f"/>
        </w:pict>
      </w:r>
    </w:p>
    <w:p w14:paraId="40E893D4"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5.3. Procurement</w:t>
      </w:r>
    </w:p>
    <w:p w14:paraId="357C0C99"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If commissioning the CI requires the purchase of hardware or software, a procurement process is initiated, carried out by the procurement department.</w:t>
      </w:r>
    </w:p>
    <w:p w14:paraId="72FC2897"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 procurement request is created and goes through approval from a budget and feasibility standpoint. The procurement department then selects a supplier, places the order, and arranges delivery.</w:t>
      </w:r>
    </w:p>
    <w:p w14:paraId="4EAE0EFB"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At this stage, the key procurement parameters are recorded, including cost, supplier, delivery terms, and order identification details, which are subsequently entered into the ERP system.</w:t>
      </w:r>
    </w:p>
    <w:p w14:paraId="2C2CDF36" w14:textId="3A674BD4"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507BDA01">
          <v:rect id="_x0000_i1031" style="width:0;height:1.5pt" o:hralign="center" o:hrstd="t" o:hr="t" fillcolor="#a0a0a0" stroked="f"/>
        </w:pict>
      </w:r>
    </w:p>
    <w:p w14:paraId="0681A335" w14:textId="77777777" w:rsidR="00392441" w:rsidRPr="000C7749" w:rsidRDefault="002B5272" w:rsidP="009C026A">
      <w:pPr>
        <w:spacing w:before="100" w:beforeAutospacing="1" w:after="100" w:afterAutospacing="1"/>
        <w:outlineLvl w:val="2"/>
        <w:rPr>
          <w:rFonts w:ascii="Times New Roman" w:hAnsi="Times New Roman" w:cs="Times New Roman"/>
          <w:sz w:val="24"/>
          <w:szCs w:val="24"/>
        </w:rPr>
      </w:pPr>
      <w:r w:rsidRPr="00537EED">
        <w:rPr>
          <w:rFonts w:ascii="Times New Roman" w:eastAsia="Times New Roman" w:hAnsi="Times New Roman" w:cs="Times New Roman"/>
          <w:b/>
          <w:bCs/>
          <w:sz w:val="27"/>
          <w:szCs w:val="27"/>
          <w:lang w:eastAsia="ru-RU"/>
        </w:rPr>
        <w:t>5.4. Acceptance and Warehousing</w:t>
      </w:r>
    </w:p>
    <w:p w14:paraId="365ECA92"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Once the CI arrives, it undergoes physical acceptance by the responsible warehouse employee together with a representative of the functional department. The delivery is checked against the order terms, completeness is verified, the absence of defects is confirmed, and identifying details, including serial numbers, are recorded.</w:t>
      </w:r>
    </w:p>
    <w:p w14:paraId="6D8E2438"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CI is registered in the accounting system (warehouse or ITAM), as well as in the ERP system, where the asset is registered and its key data recorded. The CI is assigned a unique identifier and given the status “In Warehouse.”</w:t>
      </w:r>
    </w:p>
    <w:p w14:paraId="011068BE" w14:textId="606BD20B"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An initial classification of the CI is also carried out by type, category, and association with a project or department.</w:t>
      </w:r>
    </w:p>
    <w:p w14:paraId="6D8EDFD1"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After the equipment has been placed in the warehouse, the functional department employee initiates a request to register the CI in the CMDB, recording the initial data about the configuration item.</w:t>
      </w:r>
    </w:p>
    <w:p w14:paraId="1D2D47DF"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At this stage, control is maintained over the presence and location of the CI until it is handed over for deployment.</w:t>
      </w:r>
    </w:p>
    <w:p w14:paraId="6D2AE716"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For software, acceptance is carried out by a representative of the functional department once procurement has been completed. The accuracy of the delivery is confirmed (licenses, usage rights, scope and composition). Data on the software, including licensing, procurement, and contractual details, is recorded in the ERP system and the accounting system (ITAM), and is also subject to registration in the CMDB, for which a CI registration request is likewise initiated with the relevant data entered.</w:t>
      </w:r>
    </w:p>
    <w:p w14:paraId="3770C718" w14:textId="210C7054"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7C92A68D">
          <v:rect id="_x0000_i1032" style="width:0;height:1.5pt" o:hralign="center" o:hrstd="t" o:hr="t" fillcolor="#a0a0a0" stroked="f"/>
        </w:pict>
      </w:r>
    </w:p>
    <w:p w14:paraId="21F03639"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5.5. Deployment</w:t>
      </w:r>
    </w:p>
    <w:p w14:paraId="175CECAB"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lastRenderedPageBreak/>
        <w:t>At this stage, the CI is commissioned, including the release of the equipment from the warehouse, its installation, configuration, and deployment into the live environment.</w:t>
      </w:r>
    </w:p>
    <w:p w14:paraId="62F02C4B" w14:textId="272CEC4A"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To receive the equipment, the functional department employee submits a request in the warehouse system, </w:t>
      </w:r>
      <w:r w:rsidR="009C026A">
        <w:rPr>
          <w:rFonts w:ascii="Times New Roman" w:hAnsi="Times New Roman" w:cs="Times New Roman"/>
          <w:sz w:val="24"/>
          <w:szCs w:val="24"/>
        </w:rPr>
        <w:t>based on</w:t>
      </w:r>
      <w:r w:rsidRPr="000C7749">
        <w:rPr>
          <w:rFonts w:ascii="Times New Roman" w:hAnsi="Times New Roman" w:cs="Times New Roman"/>
          <w:sz w:val="24"/>
          <w:szCs w:val="24"/>
        </w:rPr>
        <w:t xml:space="preserve"> which the CI is released from the warehouse. An installation request is then initiated, under which the data center performs the installation, connection, and basic configuration of the CI.</w:t>
      </w:r>
    </w:p>
    <w:p w14:paraId="32E020B9"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After installation, the equipment is integrated into the infrastructure, access is configured, and operability is verified. The CI becomes available for use and is handed over to the responsibility of the operations teams.</w:t>
      </w:r>
    </w:p>
    <w:p w14:paraId="5B542D20"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Once the CI is connected to the infrastructure, data about it can be obtained using the Device42 discovery tool. Based on the data obtained, the discovered CI is matched against the record previously created in the CMDB, confirming the link between the actual object in the infrastructure and its corresponding record.</w:t>
      </w:r>
    </w:p>
    <w:p w14:paraId="47540F3F"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For software, installation and initial launch are performed by the customer (the functional department). After installation, the software is linked to the relevant CIs, users, or departments, and registered in the accounting systems. Data from discovery tools may additionally be used to cross-check it against the information reflected in the CMDB.</w:t>
      </w:r>
    </w:p>
    <w:p w14:paraId="7ED9CFEE"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fact that the CI has been commissioned is formally recorded, and its inclusion in operational processes is ensured (monitoring, backup, incident management).</w:t>
      </w:r>
    </w:p>
    <w:p w14:paraId="2BD872F0" w14:textId="7FEBA43B"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29BE2DB1">
          <v:rect id="_x0000_i1033" style="width:0;height:1.5pt" o:hralign="center" o:hrstd="t" o:hr="t" fillcolor="#a0a0a0" stroked="f"/>
        </w:pict>
      </w:r>
    </w:p>
    <w:p w14:paraId="050ADAD2"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5.6. Updating the CI Record in the CMDB</w:t>
      </w:r>
    </w:p>
    <w:p w14:paraId="0C79596C"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Once the CI has </w:t>
      </w:r>
      <w:proofErr w:type="gramStart"/>
      <w:r w:rsidRPr="000C7749">
        <w:rPr>
          <w:rFonts w:ascii="Times New Roman" w:hAnsi="Times New Roman" w:cs="Times New Roman"/>
          <w:sz w:val="24"/>
          <w:szCs w:val="24"/>
        </w:rPr>
        <w:t>actually been</w:t>
      </w:r>
      <w:proofErr w:type="gramEnd"/>
      <w:r w:rsidRPr="000C7749">
        <w:rPr>
          <w:rFonts w:ascii="Times New Roman" w:hAnsi="Times New Roman" w:cs="Times New Roman"/>
          <w:sz w:val="24"/>
          <w:szCs w:val="24"/>
        </w:rPr>
        <w:t xml:space="preserve"> commissioned, its data in the CMDB is updated.</w:t>
      </w:r>
    </w:p>
    <w:p w14:paraId="26684161"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Configuration Manager ensures the accuracy and integrity of the CI data in the CMDB.</w:t>
      </w:r>
    </w:p>
    <w:p w14:paraId="08A0E21C"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CI's attributes are populated and updated by the operations team based on the actual data for the configuration item.</w:t>
      </w:r>
    </w:p>
    <w:p w14:paraId="1F0F04AC"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necessary attributes are entered and refined in the system, including identification data, technical characteristics, procurement details, location, owner, and commissioning date.</w:t>
      </w:r>
    </w:p>
    <w:p w14:paraId="1E32EC50"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Relationships between the CI and other configuration items, services, and infrastructure elements are established and configured.</w:t>
      </w:r>
    </w:p>
    <w:p w14:paraId="22A08AE3" w14:textId="77777777" w:rsidR="00392441"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The CMDB must reflect the current state of the IT landscape and serve as a single source of truth for operational and management processes.</w:t>
      </w:r>
    </w:p>
    <w:p w14:paraId="485CE613" w14:textId="467A5A03" w:rsidR="00634829" w:rsidRPr="000C7749" w:rsidRDefault="00000000">
      <w:pPr>
        <w:spacing w:after="160"/>
        <w:rPr>
          <w:rFonts w:ascii="Times New Roman" w:hAnsi="Times New Roman" w:cs="Times New Roman"/>
          <w:sz w:val="24"/>
          <w:szCs w:val="24"/>
        </w:rPr>
      </w:pPr>
      <w:r>
        <w:rPr>
          <w:rFonts w:ascii="Times New Roman" w:eastAsia="Times New Roman" w:hAnsi="Times New Roman" w:cs="Times New Roman"/>
          <w:sz w:val="24"/>
          <w:szCs w:val="24"/>
          <w:lang w:val="ru-RU" w:eastAsia="ru-RU"/>
        </w:rPr>
        <w:pict w14:anchorId="2EF34A69">
          <v:rect id="_x0000_i1034" style="width:0;height:1.5pt" o:hralign="center" o:hrstd="t" o:hr="t" fillcolor="#a0a0a0" stroked="f"/>
        </w:pict>
      </w:r>
    </w:p>
    <w:p w14:paraId="03FCE76F" w14:textId="77777777" w:rsidR="00392441" w:rsidRPr="00537EED" w:rsidRDefault="002B5272" w:rsidP="009C026A">
      <w:pPr>
        <w:spacing w:before="100" w:beforeAutospacing="1" w:after="100" w:afterAutospacing="1"/>
        <w:outlineLvl w:val="2"/>
        <w:rPr>
          <w:rFonts w:ascii="Times New Roman" w:eastAsia="Times New Roman" w:hAnsi="Times New Roman" w:cs="Times New Roman"/>
          <w:b/>
          <w:bCs/>
          <w:sz w:val="27"/>
          <w:szCs w:val="27"/>
          <w:lang w:eastAsia="ru-RU"/>
        </w:rPr>
      </w:pPr>
      <w:r w:rsidRPr="00537EED">
        <w:rPr>
          <w:rFonts w:ascii="Times New Roman" w:eastAsia="Times New Roman" w:hAnsi="Times New Roman" w:cs="Times New Roman"/>
          <w:b/>
          <w:bCs/>
          <w:sz w:val="27"/>
          <w:szCs w:val="27"/>
          <w:lang w:eastAsia="ru-RU"/>
        </w:rPr>
        <w:t>5.7. Validation and Request Closure</w:t>
      </w:r>
    </w:p>
    <w:p w14:paraId="18472CF2"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lastRenderedPageBreak/>
        <w:t>Once the work to commission the CI is complete and the necessary data has been reflected in the accounting systems, the accuracy and completeness of the CI data is verified, including the presence of key attributes, an assigned owner, and established relationships.</w:t>
      </w:r>
    </w:p>
    <w:p w14:paraId="7D940C6A"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Once the accuracy of the data is confirmed, the corresponding requests are closed. Closure is carried out by the </w:t>
      </w:r>
      <w:proofErr w:type="gramStart"/>
      <w:r w:rsidRPr="000C7749">
        <w:rPr>
          <w:rFonts w:ascii="Times New Roman" w:hAnsi="Times New Roman" w:cs="Times New Roman"/>
          <w:sz w:val="24"/>
          <w:szCs w:val="24"/>
        </w:rPr>
        <w:t>responsible party</w:t>
      </w:r>
      <w:proofErr w:type="gramEnd"/>
      <w:r w:rsidRPr="000C7749">
        <w:rPr>
          <w:rFonts w:ascii="Times New Roman" w:hAnsi="Times New Roman" w:cs="Times New Roman"/>
          <w:sz w:val="24"/>
          <w:szCs w:val="24"/>
        </w:rPr>
        <w:t>.</w:t>
      </w:r>
    </w:p>
    <w:p w14:paraId="33AD29CE" w14:textId="37E96BC1"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 xml:space="preserve">As part of </w:t>
      </w:r>
      <w:r w:rsidR="009C026A">
        <w:rPr>
          <w:rFonts w:ascii="Times New Roman" w:hAnsi="Times New Roman" w:cs="Times New Roman"/>
          <w:sz w:val="24"/>
          <w:szCs w:val="24"/>
        </w:rPr>
        <w:t xml:space="preserve">the </w:t>
      </w:r>
      <w:r w:rsidRPr="000C7749">
        <w:rPr>
          <w:rFonts w:ascii="Times New Roman" w:hAnsi="Times New Roman" w:cs="Times New Roman"/>
          <w:sz w:val="24"/>
          <w:szCs w:val="24"/>
        </w:rPr>
        <w:t>closure, all stakeholders are notified that the work has been completed and that the CI is available for use.</w:t>
      </w:r>
    </w:p>
    <w:p w14:paraId="1529A1E0" w14:textId="77777777" w:rsidR="00392441" w:rsidRPr="00537EED"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Data related to the CI is retained in the accounting systems and used in subsequent operational and management processes.</w:t>
      </w:r>
    </w:p>
    <w:p w14:paraId="22712BF7" w14:textId="09E24130" w:rsidR="009C026A" w:rsidRPr="009C026A"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pict w14:anchorId="6AB0560E">
          <v:rect id="_x0000_i1035" style="width:0;height:1.5pt" o:hralign="center" o:hrstd="t" o:hr="t" fillcolor="#a0a0a0" stroked="f"/>
        </w:pict>
      </w:r>
    </w:p>
    <w:p w14:paraId="7933C046"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6. Process Control</w:t>
      </w:r>
    </w:p>
    <w:p w14:paraId="51643C95"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Process control is based on indicators that characterize the completeness and timeliness with which each stage is carried out, as well as the quality of the data in the CMDB.</w:t>
      </w:r>
    </w:p>
    <w:p w14:paraId="0D75036A"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Key indicators include the share of CIs reflected in the CMDB within the established timeframe after commissioning, the completeness of attribute population, the accuracy of relationships, and the absence of discrepancies between the actual state of the infrastructure and the CMDB data.</w:t>
      </w:r>
    </w:p>
    <w:p w14:paraId="5D10A078" w14:textId="77777777" w:rsidR="00392441" w:rsidRPr="00537EED"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Data accuracy may be monitored both as part of process execution and through regular checks and audits aimed at identifying deviations and ensuring compliance with established requirements.</w:t>
      </w:r>
    </w:p>
    <w:p w14:paraId="320EB23B" w14:textId="1E242A43" w:rsidR="009C026A" w:rsidRPr="009C026A" w:rsidRDefault="00000000">
      <w:pPr>
        <w:spacing w:after="16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pict w14:anchorId="78D8543A">
          <v:rect id="_x0000_i1036" style="width:0;height:1.5pt" o:hralign="center" o:hrstd="t" o:hr="t" fillcolor="#a0a0a0" stroked="f"/>
        </w:pict>
      </w:r>
    </w:p>
    <w:p w14:paraId="61E906D0" w14:textId="77777777" w:rsidR="00392441" w:rsidRPr="009C026A" w:rsidRDefault="002B5272" w:rsidP="009C026A">
      <w:pPr>
        <w:spacing w:before="100" w:beforeAutospacing="1" w:after="100" w:afterAutospacing="1"/>
        <w:outlineLvl w:val="1"/>
        <w:rPr>
          <w:rFonts w:ascii="Times New Roman" w:eastAsia="Times New Roman" w:hAnsi="Times New Roman" w:cs="Times New Roman"/>
          <w:b/>
          <w:bCs/>
          <w:sz w:val="36"/>
          <w:szCs w:val="36"/>
          <w:lang w:eastAsia="ru-RU"/>
        </w:rPr>
      </w:pPr>
      <w:r w:rsidRPr="009C026A">
        <w:rPr>
          <w:rFonts w:ascii="Times New Roman" w:eastAsia="Times New Roman" w:hAnsi="Times New Roman" w:cs="Times New Roman"/>
          <w:b/>
          <w:bCs/>
          <w:sz w:val="36"/>
          <w:szCs w:val="36"/>
          <w:lang w:eastAsia="ru-RU"/>
        </w:rPr>
        <w:t>7. Final Provisions</w:t>
      </w:r>
    </w:p>
    <w:p w14:paraId="43B756FE"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This procedure is mandatory for all process participants. Failure to comply with its requirements is treated as a violation of the established order for managing IT assets and configurations.</w:t>
      </w:r>
    </w:p>
    <w:p w14:paraId="6B912AA8" w14:textId="77777777" w:rsidR="00392441" w:rsidRPr="000C7749" w:rsidRDefault="002B5272">
      <w:pPr>
        <w:spacing w:after="160"/>
        <w:rPr>
          <w:rFonts w:ascii="Times New Roman" w:hAnsi="Times New Roman" w:cs="Times New Roman"/>
          <w:sz w:val="24"/>
          <w:szCs w:val="24"/>
        </w:rPr>
      </w:pPr>
      <w:r w:rsidRPr="000C7749">
        <w:rPr>
          <w:rFonts w:ascii="Times New Roman" w:hAnsi="Times New Roman" w:cs="Times New Roman"/>
          <w:sz w:val="24"/>
          <w:szCs w:val="24"/>
        </w:rPr>
        <w:t>This procedure is subject to regular review and updating to reflect changes in the IT landscape, organizational structure, and business requirements.</w:t>
      </w:r>
    </w:p>
    <w:sectPr w:rsidR="00392441" w:rsidRPr="000C7749">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AE07" w14:textId="77777777" w:rsidR="00447568" w:rsidRDefault="00447568" w:rsidP="00537EED">
      <w:r>
        <w:separator/>
      </w:r>
    </w:p>
  </w:endnote>
  <w:endnote w:type="continuationSeparator" w:id="0">
    <w:p w14:paraId="424CC85C" w14:textId="77777777" w:rsidR="00447568" w:rsidRDefault="00447568" w:rsidP="0053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6044" w14:textId="77777777" w:rsidR="00447568" w:rsidRDefault="00447568" w:rsidP="00537EED">
      <w:r>
        <w:separator/>
      </w:r>
    </w:p>
  </w:footnote>
  <w:footnote w:type="continuationSeparator" w:id="0">
    <w:p w14:paraId="2EEC501D" w14:textId="77777777" w:rsidR="00447568" w:rsidRDefault="00447568" w:rsidP="0053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7671" w14:textId="695C6DC2" w:rsidR="00537EED" w:rsidRDefault="00537EED">
    <w:pPr>
      <w:pStyle w:val="Header"/>
    </w:pPr>
    <w:r>
      <w:rPr>
        <w:noProof/>
      </w:rPr>
      <w:drawing>
        <wp:anchor distT="0" distB="0" distL="114300" distR="114300" simplePos="0" relativeHeight="251658240" behindDoc="0" locked="0" layoutInCell="1" allowOverlap="1" wp14:anchorId="19EB9C8C" wp14:editId="56E5326E">
          <wp:simplePos x="0" y="0"/>
          <wp:positionH relativeFrom="column">
            <wp:posOffset>5265420</wp:posOffset>
          </wp:positionH>
          <wp:positionV relativeFrom="paragraph">
            <wp:posOffset>-220980</wp:posOffset>
          </wp:positionV>
          <wp:extent cx="1356360" cy="502984"/>
          <wp:effectExtent l="0" t="0" r="0" b="0"/>
          <wp:wrapThrough wrapText="bothSides">
            <wp:wrapPolygon edited="0">
              <wp:start x="2730" y="818"/>
              <wp:lineTo x="1517" y="5727"/>
              <wp:lineTo x="1213" y="13091"/>
              <wp:lineTo x="2124" y="18000"/>
              <wp:lineTo x="10921" y="18000"/>
              <wp:lineTo x="20022" y="14727"/>
              <wp:lineTo x="19416" y="4909"/>
              <wp:lineTo x="5157" y="818"/>
              <wp:lineTo x="2730" y="818"/>
            </wp:wrapPolygon>
          </wp:wrapThrough>
          <wp:docPr id="151001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19308" name="Picture 1510019308"/>
                  <pic:cNvPicPr/>
                </pic:nvPicPr>
                <pic:blipFill>
                  <a:blip r:embed="rId1">
                    <a:extLst>
                      <a:ext uri="{28A0092B-C50C-407E-A947-70E740481C1C}">
                        <a14:useLocalDpi xmlns:a14="http://schemas.microsoft.com/office/drawing/2010/main" val="0"/>
                      </a:ext>
                    </a:extLst>
                  </a:blip>
                  <a:stretch>
                    <a:fillRect/>
                  </a:stretch>
                </pic:blipFill>
                <pic:spPr>
                  <a:xfrm>
                    <a:off x="0" y="0"/>
                    <a:ext cx="1356360" cy="5029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07CD"/>
    <w:multiLevelType w:val="hybridMultilevel"/>
    <w:tmpl w:val="D742AF2E"/>
    <w:lvl w:ilvl="0" w:tplc="FC945090">
      <w:start w:val="1"/>
      <w:numFmt w:val="bullet"/>
      <w:lvlText w:val="●"/>
      <w:lvlJc w:val="left"/>
      <w:pPr>
        <w:ind w:left="720" w:hanging="360"/>
      </w:pPr>
    </w:lvl>
    <w:lvl w:ilvl="1" w:tplc="FD2635A2">
      <w:start w:val="1"/>
      <w:numFmt w:val="bullet"/>
      <w:lvlText w:val="○"/>
      <w:lvlJc w:val="left"/>
      <w:pPr>
        <w:ind w:left="1440" w:hanging="360"/>
      </w:pPr>
    </w:lvl>
    <w:lvl w:ilvl="2" w:tplc="E9D052EE">
      <w:start w:val="1"/>
      <w:numFmt w:val="bullet"/>
      <w:lvlText w:val="■"/>
      <w:lvlJc w:val="left"/>
      <w:pPr>
        <w:ind w:left="2160" w:hanging="360"/>
      </w:pPr>
    </w:lvl>
    <w:lvl w:ilvl="3" w:tplc="DD269EEC">
      <w:start w:val="1"/>
      <w:numFmt w:val="bullet"/>
      <w:lvlText w:val="●"/>
      <w:lvlJc w:val="left"/>
      <w:pPr>
        <w:ind w:left="2880" w:hanging="360"/>
      </w:pPr>
    </w:lvl>
    <w:lvl w:ilvl="4" w:tplc="5EF8AC58">
      <w:start w:val="1"/>
      <w:numFmt w:val="bullet"/>
      <w:lvlText w:val="○"/>
      <w:lvlJc w:val="left"/>
      <w:pPr>
        <w:ind w:left="3600" w:hanging="360"/>
      </w:pPr>
    </w:lvl>
    <w:lvl w:ilvl="5" w:tplc="419A1186">
      <w:start w:val="1"/>
      <w:numFmt w:val="bullet"/>
      <w:lvlText w:val="■"/>
      <w:lvlJc w:val="left"/>
      <w:pPr>
        <w:ind w:left="4320" w:hanging="360"/>
      </w:pPr>
    </w:lvl>
    <w:lvl w:ilvl="6" w:tplc="99446EB8">
      <w:start w:val="1"/>
      <w:numFmt w:val="bullet"/>
      <w:lvlText w:val="●"/>
      <w:lvlJc w:val="left"/>
      <w:pPr>
        <w:ind w:left="5040" w:hanging="360"/>
      </w:pPr>
    </w:lvl>
    <w:lvl w:ilvl="7" w:tplc="2B40C386">
      <w:start w:val="1"/>
      <w:numFmt w:val="bullet"/>
      <w:lvlText w:val="●"/>
      <w:lvlJc w:val="left"/>
      <w:pPr>
        <w:ind w:left="5760" w:hanging="360"/>
      </w:pPr>
    </w:lvl>
    <w:lvl w:ilvl="8" w:tplc="6908C5F4">
      <w:start w:val="1"/>
      <w:numFmt w:val="bullet"/>
      <w:lvlText w:val="●"/>
      <w:lvlJc w:val="left"/>
      <w:pPr>
        <w:ind w:left="6480" w:hanging="360"/>
      </w:pPr>
    </w:lvl>
  </w:abstractNum>
  <w:abstractNum w:abstractNumId="1" w15:restartNumberingAfterBreak="0">
    <w:nsid w:val="26EB2C9A"/>
    <w:multiLevelType w:val="hybridMultilevel"/>
    <w:tmpl w:val="A6F69C00"/>
    <w:lvl w:ilvl="0" w:tplc="21D4169A">
      <w:start w:val="1"/>
      <w:numFmt w:val="bullet"/>
      <w:lvlText w:val="•"/>
      <w:lvlJc w:val="left"/>
      <w:pPr>
        <w:ind w:left="720" w:hanging="360"/>
      </w:pPr>
    </w:lvl>
    <w:lvl w:ilvl="1" w:tplc="6D1EA018">
      <w:numFmt w:val="decimal"/>
      <w:lvlText w:val=""/>
      <w:lvlJc w:val="left"/>
    </w:lvl>
    <w:lvl w:ilvl="2" w:tplc="4872AA34">
      <w:numFmt w:val="decimal"/>
      <w:lvlText w:val=""/>
      <w:lvlJc w:val="left"/>
    </w:lvl>
    <w:lvl w:ilvl="3" w:tplc="FD9E623A">
      <w:numFmt w:val="decimal"/>
      <w:lvlText w:val=""/>
      <w:lvlJc w:val="left"/>
    </w:lvl>
    <w:lvl w:ilvl="4" w:tplc="D78819AE">
      <w:numFmt w:val="decimal"/>
      <w:lvlText w:val=""/>
      <w:lvlJc w:val="left"/>
    </w:lvl>
    <w:lvl w:ilvl="5" w:tplc="8F623030">
      <w:numFmt w:val="decimal"/>
      <w:lvlText w:val=""/>
      <w:lvlJc w:val="left"/>
    </w:lvl>
    <w:lvl w:ilvl="6" w:tplc="0ACED4C6">
      <w:numFmt w:val="decimal"/>
      <w:lvlText w:val=""/>
      <w:lvlJc w:val="left"/>
    </w:lvl>
    <w:lvl w:ilvl="7" w:tplc="693EC8EA">
      <w:numFmt w:val="decimal"/>
      <w:lvlText w:val=""/>
      <w:lvlJc w:val="left"/>
    </w:lvl>
    <w:lvl w:ilvl="8" w:tplc="4D485CE0">
      <w:numFmt w:val="decimal"/>
      <w:lvlText w:val=""/>
      <w:lvlJc w:val="left"/>
    </w:lvl>
  </w:abstractNum>
  <w:num w:numId="1" w16cid:durableId="1961569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41"/>
    <w:rsid w:val="000C7749"/>
    <w:rsid w:val="002B5272"/>
    <w:rsid w:val="00392441"/>
    <w:rsid w:val="00447568"/>
    <w:rsid w:val="00537EED"/>
    <w:rsid w:val="00634829"/>
    <w:rsid w:val="0094416C"/>
    <w:rsid w:val="009C026A"/>
    <w:rsid w:val="00E6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53EC"/>
  <w15:docId w15:val="{8AB204CD-24E7-43C5-91EC-8FD2C6BD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2E75B6"/>
      </w:pBdr>
      <w:spacing w:before="360" w:after="200"/>
      <w:outlineLvl w:val="0"/>
    </w:pPr>
    <w:rPr>
      <w:b/>
      <w:bCs/>
      <w:color w:val="1F1F1F"/>
      <w:sz w:val="28"/>
      <w:szCs w:val="28"/>
    </w:rPr>
  </w:style>
  <w:style w:type="paragraph" w:styleId="Heading2">
    <w:name w:val="heading 2"/>
    <w:uiPriority w:val="9"/>
    <w:unhideWhenUsed/>
    <w:qFormat/>
    <w:pPr>
      <w:spacing w:before="280" w:after="16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60"/>
    </w:pPr>
    <w:rPr>
      <w:b/>
      <w:bCs/>
      <w:color w:val="1F1F1F"/>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37EED"/>
    <w:pPr>
      <w:tabs>
        <w:tab w:val="center" w:pos="4677"/>
        <w:tab w:val="right" w:pos="9355"/>
      </w:tabs>
    </w:pPr>
  </w:style>
  <w:style w:type="character" w:customStyle="1" w:styleId="HeaderChar">
    <w:name w:val="Header Char"/>
    <w:basedOn w:val="DefaultParagraphFont"/>
    <w:link w:val="Header"/>
    <w:uiPriority w:val="99"/>
    <w:rsid w:val="00537EED"/>
  </w:style>
  <w:style w:type="paragraph" w:styleId="Footer">
    <w:name w:val="footer"/>
    <w:basedOn w:val="Normal"/>
    <w:link w:val="FooterChar"/>
    <w:uiPriority w:val="99"/>
    <w:unhideWhenUsed/>
    <w:rsid w:val="00537EED"/>
    <w:pPr>
      <w:tabs>
        <w:tab w:val="center" w:pos="4677"/>
        <w:tab w:val="right" w:pos="9355"/>
      </w:tabs>
    </w:pPr>
  </w:style>
  <w:style w:type="character" w:customStyle="1" w:styleId="FooterChar">
    <w:name w:val="Footer Char"/>
    <w:basedOn w:val="DefaultParagraphFont"/>
    <w:link w:val="Footer"/>
    <w:uiPriority w:val="99"/>
    <w:rsid w:val="0053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Evgeny Vasilyev</cp:lastModifiedBy>
  <cp:revision>3</cp:revision>
  <dcterms:created xsi:type="dcterms:W3CDTF">2026-06-30T11:20:00Z</dcterms:created>
  <dcterms:modified xsi:type="dcterms:W3CDTF">2026-06-30T13:35:00Z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84fe10c2-f6bf-44a0-a272-62b03c3c8785</vt:lpwstr>
  </property>
</Properties>
</file>