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2761" w14:textId="1411DE8C" w:rsidR="00DD32E7" w:rsidRDefault="00DD32E7" w:rsidP="00F83AA4">
      <w:pPr>
        <w:rPr>
          <w:bCs/>
          <w:sz w:val="24"/>
          <w:szCs w:val="24"/>
          <w:lang w:val="uk-UA"/>
        </w:rPr>
      </w:pPr>
      <w:r w:rsidRPr="00DD32E7">
        <w:rPr>
          <w:bCs/>
          <w:sz w:val="24"/>
          <w:szCs w:val="24"/>
          <w:lang w:val="uk-UA"/>
        </w:rPr>
        <w:t>Инструкции: Ниже приведен список проблем, которые иногда возникают у людей в результате сильного стресса. Пожалуйста, внимательно прочитайте каждую проблему, а затем обведите одну из цифр справа, чтобы указать, насколько сильно вас беспокоила эта проблема в прошлом месяце.</w:t>
      </w:r>
    </w:p>
    <w:p w14:paraId="478CBEFE" w14:textId="77777777" w:rsidR="00DD32E7" w:rsidRDefault="00DD32E7" w:rsidP="00F83AA4">
      <w:pPr>
        <w:rPr>
          <w:bCs/>
          <w:sz w:val="24"/>
          <w:szCs w:val="24"/>
          <w:lang w:val="uk-UA"/>
        </w:rPr>
      </w:pPr>
    </w:p>
    <w:p w14:paraId="61384EF3" w14:textId="0657C054" w:rsidR="00761E8F" w:rsidRPr="00F725D8" w:rsidRDefault="00761E8F" w:rsidP="00F83AA4">
      <w:pPr>
        <w:rPr>
          <w:bCs/>
          <w:sz w:val="24"/>
          <w:szCs w:val="24"/>
          <w:lang w:val="uk-UA"/>
        </w:rPr>
      </w:pPr>
      <w:r w:rsidRPr="00F725D8">
        <w:rPr>
          <w:bCs/>
          <w:sz w:val="24"/>
          <w:szCs w:val="24"/>
          <w:lang w:val="uk-UA"/>
        </w:rPr>
        <w:t>В течение последнего месяца насколько сильно Вас беспокоили:</w:t>
      </w:r>
    </w:p>
    <w:tbl>
      <w:tblPr>
        <w:tblW w:w="5317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8"/>
        <w:gridCol w:w="506"/>
        <w:gridCol w:w="506"/>
        <w:gridCol w:w="506"/>
        <w:gridCol w:w="506"/>
        <w:gridCol w:w="506"/>
      </w:tblGrid>
      <w:tr w:rsidR="00761E8F" w:rsidRPr="00F725D8" w14:paraId="1CFFC31C" w14:textId="77777777" w:rsidTr="00F725D8">
        <w:trPr>
          <w:cantSplit/>
          <w:trHeight w:val="1341"/>
          <w:tblHeader/>
        </w:trPr>
        <w:tc>
          <w:tcPr>
            <w:tcW w:w="3680" w:type="pct"/>
            <w:shd w:val="clear" w:color="auto" w:fill="auto"/>
          </w:tcPr>
          <w:p w14:paraId="20375A74" w14:textId="72255ED3" w:rsidR="00761E8F" w:rsidRPr="00DD32E7" w:rsidRDefault="00761E8F" w:rsidP="00CD17A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0695CD9D" w14:textId="77777777" w:rsidR="00761E8F" w:rsidRPr="00F725D8" w:rsidRDefault="00761E8F" w:rsidP="00CD17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Нисколько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3BFDBFBA" w14:textId="77777777" w:rsidR="00761E8F" w:rsidRPr="00F725D8" w:rsidRDefault="00761E8F" w:rsidP="00CD17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Немного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10B1052F" w14:textId="77777777" w:rsidR="00761E8F" w:rsidRPr="00F725D8" w:rsidRDefault="00761E8F" w:rsidP="00CD17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Умеренно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7220A1E8" w14:textId="77777777" w:rsidR="00761E8F" w:rsidRPr="00F725D8" w:rsidRDefault="00761E8F" w:rsidP="00CD17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Довольно сильно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14:paraId="68F02635" w14:textId="77777777" w:rsidR="00761E8F" w:rsidRPr="00F725D8" w:rsidRDefault="00761E8F" w:rsidP="00CD17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Чрезвы-чайно</w:t>
            </w:r>
          </w:p>
        </w:tc>
      </w:tr>
      <w:tr w:rsidR="00761E8F" w:rsidRPr="00F725D8" w14:paraId="01412B86" w14:textId="77777777" w:rsidTr="00F725D8">
        <w:tc>
          <w:tcPr>
            <w:tcW w:w="3680" w:type="pct"/>
            <w:shd w:val="clear" w:color="auto" w:fill="auto"/>
          </w:tcPr>
          <w:p w14:paraId="07615A3B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Повторяющиеся тревожные и нежелательные воспоминания о стрессовом событии?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CCF380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4A5B0B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37981ED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77A16F9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1D018E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666B1B01" w14:textId="77777777" w:rsidTr="00F725D8">
        <w:tc>
          <w:tcPr>
            <w:tcW w:w="3680" w:type="pct"/>
            <w:shd w:val="clear" w:color="auto" w:fill="auto"/>
          </w:tcPr>
          <w:p w14:paraId="7E6D7F8B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Повторяющиеся  тревожные сны о стрессовом событии?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9C2E37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9D42B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01460C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D2BD3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7B2B76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71A451D4" w14:textId="77777777" w:rsidTr="00F725D8">
        <w:tc>
          <w:tcPr>
            <w:tcW w:w="3680" w:type="pct"/>
            <w:shd w:val="clear" w:color="auto" w:fill="auto"/>
          </w:tcPr>
          <w:p w14:paraId="01DFCC85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вдруг чувствовали себя или действовали так, будто стрессовое событие происходит с Вами снова (как будто Вы «снова там» и переживаете все наяву)?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1B5B91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389CE92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8C6782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0FC161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1E7FA05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277DAC6C" w14:textId="77777777" w:rsidTr="00F725D8">
        <w:tc>
          <w:tcPr>
            <w:tcW w:w="3680" w:type="pct"/>
            <w:shd w:val="clear" w:color="auto" w:fill="auto"/>
          </w:tcPr>
          <w:p w14:paraId="1511A694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сильно расстраивались, когда что-то напоминало Вам о стрессовом событии?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130390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209BE42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AD49A3C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92DA25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6BB07A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2D996250" w14:textId="77777777" w:rsidTr="00F725D8">
        <w:tc>
          <w:tcPr>
            <w:tcW w:w="3680" w:type="pct"/>
            <w:shd w:val="clear" w:color="auto" w:fill="auto"/>
          </w:tcPr>
          <w:p w14:paraId="5C55D83A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У Вас возникали сильные физические ощущения, когда что-то напоминало Вам о стрессовом событии (например, сильное сердцебиение, затрудненное дыхание, потоотделение)?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4551112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E7CBDE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28D082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77E8879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C466EA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43262AD8" w14:textId="77777777" w:rsidTr="00F725D8">
        <w:tc>
          <w:tcPr>
            <w:tcW w:w="3680" w:type="pct"/>
            <w:shd w:val="clear" w:color="auto" w:fill="auto"/>
          </w:tcPr>
          <w:p w14:paraId="47E72BF3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старались избегать воспоминаний, мыслей или чувств, связанных со стрессовым событием?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A8DDCD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F5D526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A30469D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911CA3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A88011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349EC5C4" w14:textId="77777777" w:rsidTr="00F725D8">
        <w:tc>
          <w:tcPr>
            <w:tcW w:w="3680" w:type="pct"/>
            <w:shd w:val="clear" w:color="auto" w:fill="auto"/>
          </w:tcPr>
          <w:p w14:paraId="6E8C9D53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избегали внешних напоминаний о стрессовом событии (например, людей, мест, разговоров, действий, предметов или ситуаций)?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7C7D4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9DDE314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05D6682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A3266F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AA4CE1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7F5203BA" w14:textId="77777777" w:rsidTr="00F725D8">
        <w:tc>
          <w:tcPr>
            <w:tcW w:w="3680" w:type="pct"/>
            <w:shd w:val="clear" w:color="auto" w:fill="auto"/>
          </w:tcPr>
          <w:p w14:paraId="3F488CF0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Вам было трудно вспомнить важные эпизоды стрессового события?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D53ACCD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E19179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3AB54B2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EDD244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4C59C0C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19E32228" w14:textId="77777777" w:rsidTr="00F725D8">
        <w:tc>
          <w:tcPr>
            <w:tcW w:w="3680" w:type="pct"/>
            <w:shd w:val="clear" w:color="auto" w:fill="auto"/>
          </w:tcPr>
          <w:p w14:paraId="4A1AC2B7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резко отрицательно относились к себе, другим людям или миру в целом (например, у Вас были такие мысли: я плохой, со мной что-то серьезно не так, никому нельзя верить, всюду опасность)?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FACBC5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0C2825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10E2B2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799525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FF822F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5FE44F0B" w14:textId="77777777" w:rsidTr="00F725D8">
        <w:tc>
          <w:tcPr>
            <w:tcW w:w="3680" w:type="pct"/>
            <w:shd w:val="clear" w:color="auto" w:fill="auto"/>
          </w:tcPr>
          <w:p w14:paraId="1C6AEF98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винили себя или кого-то другого за стрессовое событие или то, что произошло после него?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D765E4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10ABAC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AB617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0C70CE4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6F46479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7281DEB9" w14:textId="77777777" w:rsidTr="00F725D8">
        <w:tc>
          <w:tcPr>
            <w:tcW w:w="3680" w:type="pct"/>
            <w:shd w:val="clear" w:color="auto" w:fill="auto"/>
          </w:tcPr>
          <w:p w14:paraId="5F6472F9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У Вас были резко негативные чувства, такие как страх, ужас, гнев, чувство вины или стыда (по отношению к себе или другим)?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B9BAB9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E12F11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7B6BC8C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86BF02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FE8988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0BC619F6" w14:textId="77777777" w:rsidTr="00F725D8">
        <w:tc>
          <w:tcPr>
            <w:tcW w:w="3680" w:type="pct"/>
            <w:shd w:val="clear" w:color="auto" w:fill="auto"/>
          </w:tcPr>
          <w:p w14:paraId="6D6F2595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Вы теряли интерес к тем занятиям, которые раньше приносили Вам удовольствие?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C01ACC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74D4A0B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B1E715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9EF25A4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683FB5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513DC7CA" w14:textId="77777777" w:rsidTr="00F725D8">
        <w:tc>
          <w:tcPr>
            <w:tcW w:w="3680" w:type="pct"/>
            <w:shd w:val="clear" w:color="auto" w:fill="auto"/>
          </w:tcPr>
          <w:p w14:paraId="7EB253F2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Чувствовали отчужденность, стену между собой и другими людьми?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A4B6C5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A872D9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EEC4B8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A1B305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0199A4D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42341146" w14:textId="77777777" w:rsidTr="00F725D8">
        <w:tc>
          <w:tcPr>
            <w:tcW w:w="3680" w:type="pct"/>
            <w:shd w:val="clear" w:color="auto" w:fill="auto"/>
          </w:tcPr>
          <w:p w14:paraId="416F1FBB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Вам было трудно переживать положительные эмоции (например, радоваться за своих близких, испытывать к ним любовь)?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F2110B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28B16C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CF558A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B581899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DB49C7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52B3448C" w14:textId="77777777" w:rsidTr="00F725D8">
        <w:tc>
          <w:tcPr>
            <w:tcW w:w="3680" w:type="pct"/>
            <w:shd w:val="clear" w:color="auto" w:fill="auto"/>
          </w:tcPr>
          <w:p w14:paraId="040F7B10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Раздраженное поведение, вспышки гнева, агрессивные действия (у Вас самих)?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0F0B8A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DE7CB9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079FDD4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30B7AAB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A6DC4F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038E5C04" w14:textId="77777777" w:rsidTr="00F725D8">
        <w:tc>
          <w:tcPr>
            <w:tcW w:w="3680" w:type="pct"/>
            <w:shd w:val="clear" w:color="auto" w:fill="auto"/>
          </w:tcPr>
          <w:p w14:paraId="00D82174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Часто рисковали или делали вещи, которые могли причинить Вам вред?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E8804E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33100BD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9F62A8D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3CB3F8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7513C38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51F7947E" w14:textId="77777777" w:rsidTr="00F725D8">
        <w:tc>
          <w:tcPr>
            <w:tcW w:w="3680" w:type="pct"/>
            <w:shd w:val="clear" w:color="auto" w:fill="auto"/>
          </w:tcPr>
          <w:p w14:paraId="718C2DCB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Находились в состоянии «чрезмерной настороженности», бдительности, напряженного ожидания?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9C5BA6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18C225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0E03D4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CB59389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CE9DF7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4D90C0D9" w14:textId="77777777" w:rsidTr="00F725D8">
        <w:tc>
          <w:tcPr>
            <w:tcW w:w="3680" w:type="pct"/>
            <w:shd w:val="clear" w:color="auto" w:fill="auto"/>
          </w:tcPr>
          <w:p w14:paraId="3C6D6C30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Были пугливы, нервно вздрагивали</w:t>
            </w:r>
            <w:r w:rsidRPr="00F725D8">
              <w:rPr>
                <w:rFonts w:ascii="Times New Roman" w:hAnsi="Times New Roman"/>
                <w:bCs/>
                <w:szCs w:val="24"/>
                <w:lang w:val="en-US"/>
              </w:rPr>
              <w:t>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CDC4B0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A36FA0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A219D27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696C221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0A2211E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773BA4F0" w14:textId="77777777" w:rsidTr="00F725D8">
        <w:tc>
          <w:tcPr>
            <w:tcW w:w="3680" w:type="pct"/>
            <w:shd w:val="clear" w:color="auto" w:fill="auto"/>
          </w:tcPr>
          <w:p w14:paraId="3D4F8363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Вам было трудно сосредоточиться?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E703D4A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2EC0EE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505B28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69DC3DF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D70270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  <w:tr w:rsidR="00761E8F" w:rsidRPr="00F725D8" w14:paraId="14FF0BF6" w14:textId="77777777" w:rsidTr="00F725D8">
        <w:tc>
          <w:tcPr>
            <w:tcW w:w="3680" w:type="pct"/>
            <w:shd w:val="clear" w:color="auto" w:fill="auto"/>
          </w:tcPr>
          <w:p w14:paraId="4197172A" w14:textId="77777777" w:rsidR="00761E8F" w:rsidRPr="00F725D8" w:rsidRDefault="00761E8F" w:rsidP="00761E8F">
            <w:pPr>
              <w:pStyle w:val="Heading11"/>
              <w:keepNext w:val="0"/>
              <w:keepLines w:val="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725D8">
              <w:rPr>
                <w:rFonts w:ascii="Times New Roman" w:hAnsi="Times New Roman"/>
                <w:bCs/>
                <w:szCs w:val="24"/>
                <w:lang w:val="ru-RU"/>
              </w:rPr>
              <w:t>Было трудно заснуть или продолжать спать?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C606EC9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A870EA0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A4908C3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EE1E566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B2A5B9C" w14:textId="77777777" w:rsidR="00761E8F" w:rsidRPr="00F725D8" w:rsidRDefault="00761E8F" w:rsidP="00CD17A4">
            <w:pPr>
              <w:widowControl w:val="0"/>
              <w:jc w:val="center"/>
              <w:rPr>
                <w:sz w:val="24"/>
                <w:szCs w:val="24"/>
              </w:rPr>
            </w:pPr>
            <w:r w:rsidRPr="00F725D8">
              <w:rPr>
                <w:sz w:val="24"/>
                <w:szCs w:val="24"/>
              </w:rPr>
              <w:t>4</w:t>
            </w:r>
          </w:p>
        </w:tc>
      </w:tr>
    </w:tbl>
    <w:p w14:paraId="2FF3AF9B" w14:textId="0AACD5FD" w:rsidR="00F81C58" w:rsidRPr="00F81C58" w:rsidRDefault="00F81C58" w:rsidP="00F81C58">
      <w:pPr>
        <w:spacing w:after="160" w:line="259" w:lineRule="auto"/>
        <w:rPr>
          <w:rFonts w:ascii="Arial" w:hAnsi="Arial" w:cs="Arial"/>
          <w:color w:val="2E2E2E"/>
          <w:sz w:val="26"/>
          <w:szCs w:val="26"/>
          <w:lang w:val="en-GB" w:eastAsia="en-GB"/>
        </w:rPr>
      </w:pPr>
      <w:r w:rsidRPr="00DD32E7">
        <w:rPr>
          <w:sz w:val="24"/>
          <w:szCs w:val="24"/>
          <w:lang w:val="en-GB"/>
        </w:rPr>
        <w:br w:type="page"/>
      </w:r>
      <w:r w:rsidRPr="00F81C58">
        <w:rPr>
          <w:rFonts w:ascii="Arial" w:hAnsi="Arial" w:cs="Arial"/>
          <w:color w:val="2E2E2E"/>
          <w:sz w:val="26"/>
          <w:szCs w:val="26"/>
          <w:lang w:val="en-GB" w:eastAsia="en-GB"/>
        </w:rPr>
        <w:lastRenderedPageBreak/>
        <w:t>Interpretation of the PCL-5 should be made by a clinician. The PCL-5 can be scored in different ways:</w:t>
      </w:r>
    </w:p>
    <w:p w14:paraId="2D2D816E" w14:textId="77777777" w:rsidR="00F81C58" w:rsidRPr="00F81C58" w:rsidRDefault="00F81C58" w:rsidP="00F81C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bookmarkStart w:id="0" w:name="_Hlk100854308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A total symptom severity score (range - 0-80) can be obtained by summing the scores for each of the 20 items.</w:t>
      </w:r>
    </w:p>
    <w:p w14:paraId="45CB2384" w14:textId="77777777" w:rsidR="00F81C58" w:rsidRPr="00F81C58" w:rsidRDefault="00F81C58" w:rsidP="00F81C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1232D">
        <w:rPr>
          <w:rFonts w:ascii="Arial" w:hAnsi="Arial" w:cs="Arial"/>
          <w:i/>
          <w:iCs/>
          <w:color w:val="2E2E2E"/>
          <w:sz w:val="24"/>
          <w:szCs w:val="24"/>
          <w:lang w:val="en-GB" w:eastAsia="en-GB"/>
        </w:rPr>
        <w:t>DSM-5</w:t>
      </w: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 symptom cluster severity scores can be obtained by summing the scores for the items within a given cluster, i.e., cluster B (items 1-5), cluster C (items 6-7), cluster D (items 8-14), and cluster E (items 15-20).</w:t>
      </w:r>
    </w:p>
    <w:p w14:paraId="1D1E4E88" w14:textId="77777777" w:rsidR="00F81C58" w:rsidRPr="00F81C58" w:rsidRDefault="00F81C58" w:rsidP="00F81C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A provisional PTSD diagnosis can be made by treating each item rated as 2 = "Moderately" or higher as a symptom endorsed, then following the </w:t>
      </w:r>
      <w:r w:rsidRPr="00F1232D">
        <w:rPr>
          <w:rFonts w:ascii="Arial" w:hAnsi="Arial" w:cs="Arial"/>
          <w:i/>
          <w:iCs/>
          <w:color w:val="2E2E2E"/>
          <w:sz w:val="24"/>
          <w:szCs w:val="24"/>
          <w:lang w:val="en-GB" w:eastAsia="en-GB"/>
        </w:rPr>
        <w:t>DSM-5</w:t>
      </w: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 diagnostic rule which requires at least: 1 B item (questions 1-5), 1 C item (questions 6-7), 2 D items (questions 8-14), 2 E items (questions 15-20).</w:t>
      </w:r>
    </w:p>
    <w:p w14:paraId="2EB76723" w14:textId="77777777" w:rsidR="00F81C58" w:rsidRPr="00F81C58" w:rsidRDefault="00F81C58" w:rsidP="00F81C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val="en-GB" w:eastAsia="en-GB"/>
        </w:rPr>
      </w:pP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Initial research suggests that a PCL-5 </w:t>
      </w:r>
      <w:proofErr w:type="spell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cutoff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score between 31-33 is indicative of probable PTSD across samples. However, additional research is needed. Further, because the </w:t>
      </w:r>
      <w:r w:rsidRPr="00A218A2">
        <w:rPr>
          <w:rFonts w:ascii="Arial" w:hAnsi="Arial" w:cs="Arial"/>
          <w:color w:val="2E2E2E"/>
          <w:sz w:val="24"/>
          <w:szCs w:val="24"/>
          <w:lang w:val="en-GB" w:eastAsia="en-GB"/>
        </w:rPr>
        <w:t>population</w:t>
      </w:r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and the purpose of the screening may warrant different </w:t>
      </w:r>
      <w:proofErr w:type="spell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cutoff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scores, users are encouraged to consider </w:t>
      </w:r>
      <w:proofErr w:type="gram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both of these</w:t>
      </w:r>
      <w:proofErr w:type="gram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factors when choosing a </w:t>
      </w:r>
      <w:proofErr w:type="spellStart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>cutoff</w:t>
      </w:r>
      <w:proofErr w:type="spellEnd"/>
      <w:r w:rsidRPr="00F81C58">
        <w:rPr>
          <w:rFonts w:ascii="Arial" w:hAnsi="Arial" w:cs="Arial"/>
          <w:color w:val="2E2E2E"/>
          <w:sz w:val="24"/>
          <w:szCs w:val="24"/>
          <w:lang w:val="en-GB" w:eastAsia="en-GB"/>
        </w:rPr>
        <w:t xml:space="preserve"> score.</w:t>
      </w:r>
    </w:p>
    <w:bookmarkEnd w:id="0"/>
    <w:p w14:paraId="42FB61B7" w14:textId="346C166B" w:rsidR="0088531B" w:rsidRDefault="0088531B">
      <w:pPr>
        <w:rPr>
          <w:sz w:val="24"/>
          <w:szCs w:val="24"/>
          <w:lang w:val="en-GB"/>
        </w:rPr>
      </w:pPr>
    </w:p>
    <w:p w14:paraId="2CB636EC" w14:textId="69AC8D43" w:rsidR="00DD32E7" w:rsidRDefault="00DD32E7">
      <w:pPr>
        <w:rPr>
          <w:rFonts w:ascii="Arial" w:hAnsi="Arial" w:cs="Arial"/>
          <w:color w:val="2E2E2E"/>
          <w:sz w:val="26"/>
          <w:szCs w:val="26"/>
          <w:lang w:val="en-GB" w:eastAsia="en-GB"/>
        </w:rPr>
      </w:pPr>
      <w:r w:rsidRPr="00DD32E7">
        <w:rPr>
          <w:rFonts w:ascii="Arial" w:hAnsi="Arial" w:cs="Arial"/>
          <w:color w:val="2E2E2E"/>
          <w:sz w:val="26"/>
          <w:szCs w:val="26"/>
          <w:lang w:eastAsia="en-GB"/>
        </w:rPr>
        <w:t xml:space="preserve">Интерпретация </w:t>
      </w:r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>PCL</w:t>
      </w:r>
      <w:r w:rsidRPr="00DD32E7">
        <w:rPr>
          <w:rFonts w:ascii="Arial" w:hAnsi="Arial" w:cs="Arial"/>
          <w:color w:val="2E2E2E"/>
          <w:sz w:val="26"/>
          <w:szCs w:val="26"/>
          <w:lang w:eastAsia="en-GB"/>
        </w:rPr>
        <w:t>-5 должна выполняться врачом</w:t>
      </w:r>
      <w:r>
        <w:rPr>
          <w:rFonts w:ascii="Arial" w:hAnsi="Arial" w:cs="Arial"/>
          <w:color w:val="2E2E2E"/>
          <w:sz w:val="26"/>
          <w:szCs w:val="26"/>
          <w:lang w:val="uk-UA" w:eastAsia="en-GB"/>
        </w:rPr>
        <w:t>-</w:t>
      </w:r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>кл</w:t>
      </w:r>
      <w:r>
        <w:rPr>
          <w:rFonts w:ascii="Arial" w:hAnsi="Arial" w:cs="Arial"/>
          <w:color w:val="2E2E2E"/>
          <w:sz w:val="26"/>
          <w:szCs w:val="26"/>
          <w:lang w:val="uk-UA" w:eastAsia="en-GB"/>
        </w:rPr>
        <w:t>и</w:t>
      </w:r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>н</w:t>
      </w:r>
      <w:r>
        <w:rPr>
          <w:rFonts w:ascii="Arial" w:hAnsi="Arial" w:cs="Arial"/>
          <w:color w:val="2E2E2E"/>
          <w:sz w:val="26"/>
          <w:szCs w:val="26"/>
          <w:lang w:val="uk-UA" w:eastAsia="en-GB"/>
        </w:rPr>
        <w:t>и</w:t>
      </w:r>
      <w:r w:rsidRPr="000A4531">
        <w:rPr>
          <w:rFonts w:ascii="Arial" w:hAnsi="Arial" w:cs="Arial"/>
          <w:color w:val="2E2E2E"/>
          <w:sz w:val="26"/>
          <w:szCs w:val="26"/>
          <w:lang w:eastAsia="en-GB"/>
        </w:rPr>
        <w:t>цист</w:t>
      </w:r>
      <w:r>
        <w:rPr>
          <w:rFonts w:ascii="Arial" w:hAnsi="Arial" w:cs="Arial"/>
          <w:color w:val="2E2E2E"/>
          <w:sz w:val="26"/>
          <w:szCs w:val="26"/>
          <w:lang w:val="uk-UA" w:eastAsia="en-GB"/>
        </w:rPr>
        <w:t>ом</w:t>
      </w:r>
      <w:r w:rsidRPr="00DD32E7">
        <w:rPr>
          <w:rFonts w:ascii="Arial" w:hAnsi="Arial" w:cs="Arial"/>
          <w:color w:val="2E2E2E"/>
          <w:sz w:val="26"/>
          <w:szCs w:val="26"/>
          <w:lang w:eastAsia="en-GB"/>
        </w:rPr>
        <w:t xml:space="preserve">. </w:t>
      </w:r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PCL-5 </w:t>
      </w:r>
      <w:proofErr w:type="spellStart"/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>можно</w:t>
      </w:r>
      <w:proofErr w:type="spellEnd"/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 </w:t>
      </w:r>
      <w:proofErr w:type="spellStart"/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>оценивать</w:t>
      </w:r>
      <w:proofErr w:type="spellEnd"/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 xml:space="preserve"> </w:t>
      </w:r>
      <w:proofErr w:type="spellStart"/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>по-разному</w:t>
      </w:r>
      <w:proofErr w:type="spellEnd"/>
      <w:r w:rsidRPr="00DD32E7">
        <w:rPr>
          <w:rFonts w:ascii="Arial" w:hAnsi="Arial" w:cs="Arial"/>
          <w:color w:val="2E2E2E"/>
          <w:sz w:val="26"/>
          <w:szCs w:val="26"/>
          <w:lang w:val="en-GB" w:eastAsia="en-GB"/>
        </w:rPr>
        <w:t>:</w:t>
      </w:r>
    </w:p>
    <w:p w14:paraId="6A6281C4" w14:textId="368117AD" w:rsidR="0082500F" w:rsidRPr="0082500F" w:rsidRDefault="0082500F" w:rsidP="0082500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eastAsia="en-GB"/>
        </w:rPr>
      </w:pP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>Общий балл тяжести симптомов (диапазон от 0 до 80) может быть получен путем суммирования баллов по каждому из 20 пунктов.</w:t>
      </w:r>
    </w:p>
    <w:p w14:paraId="601924F4" w14:textId="1197142E" w:rsidR="0082500F" w:rsidRPr="0082500F" w:rsidRDefault="0082500F" w:rsidP="0082500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eastAsia="en-GB"/>
        </w:rPr>
      </w:pP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 xml:space="preserve">Оценки тяжести кластера симптомов </w:t>
      </w:r>
      <w:r w:rsidRPr="0082500F">
        <w:rPr>
          <w:rFonts w:ascii="Arial" w:hAnsi="Arial" w:cs="Arial"/>
          <w:color w:val="2E2E2E"/>
          <w:sz w:val="24"/>
          <w:szCs w:val="24"/>
          <w:lang w:val="en-GB" w:eastAsia="en-GB"/>
        </w:rPr>
        <w:t>DSM</w:t>
      </w: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 xml:space="preserve">-5 можно получить путем суммирования баллов по пунктам в данном кластере, то есть кластер </w:t>
      </w:r>
      <w:r w:rsidRPr="0082500F">
        <w:rPr>
          <w:rFonts w:ascii="Arial" w:hAnsi="Arial" w:cs="Arial"/>
          <w:color w:val="2E2E2E"/>
          <w:sz w:val="24"/>
          <w:szCs w:val="24"/>
          <w:lang w:val="en-GB" w:eastAsia="en-GB"/>
        </w:rPr>
        <w:t>B</w:t>
      </w: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 xml:space="preserve"> (элементы 1-5), кластер </w:t>
      </w:r>
      <w:r w:rsidRPr="0082500F">
        <w:rPr>
          <w:rFonts w:ascii="Arial" w:hAnsi="Arial" w:cs="Arial"/>
          <w:color w:val="2E2E2E"/>
          <w:sz w:val="24"/>
          <w:szCs w:val="24"/>
          <w:lang w:val="en-GB" w:eastAsia="en-GB"/>
        </w:rPr>
        <w:t>C</w:t>
      </w: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 xml:space="preserve"> (элементы 6-7), кластер </w:t>
      </w:r>
      <w:r w:rsidRPr="0082500F">
        <w:rPr>
          <w:rFonts w:ascii="Arial" w:hAnsi="Arial" w:cs="Arial"/>
          <w:color w:val="2E2E2E"/>
          <w:sz w:val="24"/>
          <w:szCs w:val="24"/>
          <w:lang w:val="en-GB" w:eastAsia="en-GB"/>
        </w:rPr>
        <w:t>D</w:t>
      </w: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 xml:space="preserve"> (элементы 8-14), и кластер </w:t>
      </w:r>
      <w:r w:rsidRPr="0082500F">
        <w:rPr>
          <w:rFonts w:ascii="Arial" w:hAnsi="Arial" w:cs="Arial"/>
          <w:color w:val="2E2E2E"/>
          <w:sz w:val="24"/>
          <w:szCs w:val="24"/>
          <w:lang w:val="en-GB" w:eastAsia="en-GB"/>
        </w:rPr>
        <w:t>E</w:t>
      </w:r>
      <w:r w:rsidRPr="0082500F">
        <w:rPr>
          <w:rFonts w:ascii="Arial" w:hAnsi="Arial" w:cs="Arial"/>
          <w:color w:val="2E2E2E"/>
          <w:sz w:val="24"/>
          <w:szCs w:val="24"/>
          <w:lang w:eastAsia="en-GB"/>
        </w:rPr>
        <w:t xml:space="preserve"> (элементы 15-20).</w:t>
      </w:r>
    </w:p>
    <w:p w14:paraId="3FAB7BEF" w14:textId="48864DD8" w:rsidR="0082500F" w:rsidRPr="000B375C" w:rsidRDefault="000B375C" w:rsidP="0082500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eastAsia="en-GB"/>
        </w:rPr>
      </w:pP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 xml:space="preserve">Предварительный диагноз посттравматического стрессового расстройства можно поставить, рассматривая каждый пункт с оценкой 2 = «умеренно» или выше как одобренный симптом, а затем следуя диагностическому правилу </w:t>
      </w:r>
      <w:r w:rsidRPr="000B375C">
        <w:rPr>
          <w:rFonts w:ascii="Arial" w:hAnsi="Arial" w:cs="Arial"/>
          <w:color w:val="2E2E2E"/>
          <w:sz w:val="24"/>
          <w:szCs w:val="24"/>
          <w:lang w:val="en-GB" w:eastAsia="en-GB"/>
        </w:rPr>
        <w:t>DSM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 xml:space="preserve">-5, которое требует как минимум: 1 пункт 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из </w:t>
      </w:r>
      <w:r w:rsidRPr="000B375C">
        <w:rPr>
          <w:rFonts w:ascii="Arial" w:hAnsi="Arial" w:cs="Arial"/>
          <w:color w:val="2E2E2E"/>
          <w:sz w:val="24"/>
          <w:szCs w:val="24"/>
          <w:lang w:val="en-GB" w:eastAsia="en-GB"/>
        </w:rPr>
        <w:t>B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 xml:space="preserve"> (вопросы 1-5), 1 пункт 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из </w:t>
      </w:r>
      <w:r w:rsidRPr="000B375C">
        <w:rPr>
          <w:rFonts w:ascii="Arial" w:hAnsi="Arial" w:cs="Arial"/>
          <w:color w:val="2E2E2E"/>
          <w:sz w:val="24"/>
          <w:szCs w:val="24"/>
          <w:lang w:val="en-GB" w:eastAsia="en-GB"/>
        </w:rPr>
        <w:t>C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 xml:space="preserve"> (вопросы 6-7), 2 пункт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>а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из 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>Д (вопросы 8-14), 2 пункт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>а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color w:val="2E2E2E"/>
          <w:sz w:val="24"/>
          <w:szCs w:val="24"/>
          <w:lang w:val="uk-UA" w:eastAsia="en-GB"/>
        </w:rPr>
        <w:t xml:space="preserve">из </w:t>
      </w:r>
      <w:r w:rsidRPr="000B375C">
        <w:rPr>
          <w:rFonts w:ascii="Arial" w:hAnsi="Arial" w:cs="Arial"/>
          <w:color w:val="2E2E2E"/>
          <w:sz w:val="24"/>
          <w:szCs w:val="24"/>
          <w:lang w:eastAsia="en-GB"/>
        </w:rPr>
        <w:t>Е (вопросы 15-20).</w:t>
      </w:r>
    </w:p>
    <w:p w14:paraId="30BE4AC1" w14:textId="0E6F9C46" w:rsidR="0082500F" w:rsidRPr="00995939" w:rsidRDefault="00995939" w:rsidP="0082500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Arial" w:hAnsi="Arial" w:cs="Arial"/>
          <w:color w:val="2E2E2E"/>
          <w:sz w:val="24"/>
          <w:szCs w:val="24"/>
          <w:lang w:eastAsia="en-GB"/>
        </w:rPr>
      </w:pP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>Первоначальные исследования показывают, что порогов</w:t>
      </w:r>
      <w:r w:rsidR="003D2ED1">
        <w:rPr>
          <w:rFonts w:ascii="Arial" w:hAnsi="Arial" w:cs="Arial"/>
          <w:color w:val="2E2E2E"/>
          <w:sz w:val="24"/>
          <w:szCs w:val="24"/>
          <w:lang w:eastAsia="en-GB"/>
        </w:rPr>
        <w:t>ы</w:t>
      </w:r>
      <w:r w:rsidR="003D2ED1">
        <w:rPr>
          <w:rFonts w:ascii="Arial" w:hAnsi="Arial" w:cs="Arial"/>
          <w:color w:val="2E2E2E"/>
          <w:sz w:val="24"/>
          <w:szCs w:val="24"/>
          <w:lang w:val="uk-UA" w:eastAsia="en-GB"/>
        </w:rPr>
        <w:t>й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 xml:space="preserve"> </w:t>
      </w:r>
      <w:r w:rsidR="003D2ED1">
        <w:rPr>
          <w:rFonts w:ascii="Arial" w:hAnsi="Arial" w:cs="Arial"/>
          <w:color w:val="2E2E2E"/>
          <w:sz w:val="24"/>
          <w:szCs w:val="24"/>
          <w:lang w:val="uk-UA" w:eastAsia="en-GB"/>
        </w:rPr>
        <w:t>балл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 xml:space="preserve"> </w:t>
      </w:r>
      <w:r w:rsidRPr="00995939">
        <w:rPr>
          <w:rFonts w:ascii="Arial" w:hAnsi="Arial" w:cs="Arial"/>
          <w:color w:val="2E2E2E"/>
          <w:sz w:val="24"/>
          <w:szCs w:val="24"/>
          <w:lang w:val="en-GB" w:eastAsia="en-GB"/>
        </w:rPr>
        <w:t>PCL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 xml:space="preserve">-5 от 31 до 33 указывает на вероятное посттравматическое стрессовое расстройство в разных </w:t>
      </w:r>
      <w:bookmarkStart w:id="1" w:name="_Hlk100855166"/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>выборках</w:t>
      </w:r>
      <w:bookmarkEnd w:id="1"/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 xml:space="preserve">. Однако необходимы дополнительные исследования. Кроме того, поскольку </w:t>
      </w:r>
      <w:r w:rsidRPr="00A218A2">
        <w:rPr>
          <w:rFonts w:ascii="Arial" w:hAnsi="Arial" w:cs="Arial"/>
          <w:color w:val="2E2E2E"/>
          <w:sz w:val="24"/>
          <w:szCs w:val="24"/>
          <w:lang w:eastAsia="en-GB"/>
        </w:rPr>
        <w:t>популяция</w:t>
      </w:r>
      <w:r w:rsidRPr="00995939">
        <w:rPr>
          <w:rFonts w:ascii="Arial" w:hAnsi="Arial" w:cs="Arial"/>
          <w:color w:val="2E2E2E"/>
          <w:sz w:val="24"/>
          <w:szCs w:val="24"/>
          <w:lang w:eastAsia="en-GB"/>
        </w:rPr>
        <w:t xml:space="preserve"> и цель скрининга могут требовать разных пороговых баллов, пользователям рекомендуется учитывать оба этих фактора при выборе порогового балла.</w:t>
      </w:r>
      <w:r w:rsidR="0082500F" w:rsidRPr="00995939">
        <w:rPr>
          <w:rFonts w:ascii="Arial" w:hAnsi="Arial" w:cs="Arial"/>
          <w:color w:val="2E2E2E"/>
          <w:sz w:val="24"/>
          <w:szCs w:val="24"/>
          <w:lang w:eastAsia="en-GB"/>
        </w:rPr>
        <w:t>.</w:t>
      </w:r>
    </w:p>
    <w:p w14:paraId="1BB42E57" w14:textId="77777777" w:rsidR="0082500F" w:rsidRPr="00995939" w:rsidRDefault="0082500F">
      <w:pPr>
        <w:rPr>
          <w:rFonts w:ascii="Arial" w:hAnsi="Arial" w:cs="Arial"/>
          <w:color w:val="2E2E2E"/>
          <w:sz w:val="26"/>
          <w:szCs w:val="26"/>
          <w:lang w:eastAsia="en-GB"/>
        </w:rPr>
      </w:pPr>
    </w:p>
    <w:sectPr w:rsidR="0082500F" w:rsidRPr="00995939" w:rsidSect="00F81C5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48D5"/>
    <w:multiLevelType w:val="hybridMultilevel"/>
    <w:tmpl w:val="C666ADF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87B9C"/>
    <w:multiLevelType w:val="hybridMultilevel"/>
    <w:tmpl w:val="AF027368"/>
    <w:lvl w:ilvl="0" w:tplc="60E6CD6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963BF"/>
    <w:multiLevelType w:val="multilevel"/>
    <w:tmpl w:val="A2E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ED7A5E"/>
    <w:multiLevelType w:val="hybridMultilevel"/>
    <w:tmpl w:val="7B0E284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536140">
    <w:abstractNumId w:val="0"/>
  </w:num>
  <w:num w:numId="2" w16cid:durableId="1097823507">
    <w:abstractNumId w:val="2"/>
  </w:num>
  <w:num w:numId="3" w16cid:durableId="226454926">
    <w:abstractNumId w:val="1"/>
  </w:num>
  <w:num w:numId="4" w16cid:durableId="211113359">
    <w:abstractNumId w:val="3"/>
  </w:num>
  <w:num w:numId="5" w16cid:durableId="948664528">
    <w:abstractNumId w:val="5"/>
  </w:num>
  <w:num w:numId="6" w16cid:durableId="203718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A4"/>
    <w:rsid w:val="000B375C"/>
    <w:rsid w:val="003D0B04"/>
    <w:rsid w:val="003D2ED1"/>
    <w:rsid w:val="00761E8F"/>
    <w:rsid w:val="0082500F"/>
    <w:rsid w:val="00864E18"/>
    <w:rsid w:val="0088531B"/>
    <w:rsid w:val="00995939"/>
    <w:rsid w:val="00A218A2"/>
    <w:rsid w:val="00DD32E7"/>
    <w:rsid w:val="00F725D8"/>
    <w:rsid w:val="00F81C58"/>
    <w:rsid w:val="00F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3A79"/>
  <w15:chartTrackingRefBased/>
  <w15:docId w15:val="{505925F7-704A-4D49-9D2A-5D4A7E27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F83AA4"/>
    <w:pPr>
      <w:keepNext/>
      <w:keepLines/>
      <w:widowControl w:val="0"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rFonts w:ascii="Univers" w:hAnsi="Univers"/>
      <w:spacing w:val="-3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F81C5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81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Philip Hyland</cp:lastModifiedBy>
  <cp:revision>2</cp:revision>
  <dcterms:created xsi:type="dcterms:W3CDTF">2022-04-15T11:03:00Z</dcterms:created>
  <dcterms:modified xsi:type="dcterms:W3CDTF">2022-04-15T11:03:00Z</dcterms:modified>
</cp:coreProperties>
</file>