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Biodiversity Snapshot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create effective data visualizations to communicate conservation stories and understand how Indigenous communities use data science to protect biodiversity. Students will analyze camera trap data from the Peruvian Amazon, create multiple visualization types to reveal biodiversity patterns, and craft data stories that connect scientific findings to real-world conservation efforts and cultural preservation.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276610685"/>
                <w:dropDownList w:lastValue="Science">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d4edbc"/>
                    <w:shd w:fill="11734b" w:val="clear"/>
                  </w:rPr>
                  <w:t xml:space="preserve">Science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917372596"/>
                <w:dropDownList w:lastValue="6-8">
                  <w:listItem w:displayText="K-2" w:value="K-2"/>
                  <w:listItem w:displayText="3-5" w:value="3-5"/>
                  <w:listItem w:displayText="6-8" w:value="6-8"/>
                  <w:listItem w:displayText="9-10" w:value="9-10"/>
                  <w:listItem w:displayText="11-12" w:value="11-12"/>
                </w:dropDownList>
              </w:sdtPr>
              <w:sdtContent>
                <w:r w:rsidDel="00000000" w:rsidR="00000000" w:rsidRPr="00000000">
                  <w:rPr>
                    <w:color w:val="473821"/>
                    <w:shd w:fill="ffe5a0" w:val="clear"/>
                  </w:rPr>
                  <w:t xml:space="preserve">6-8</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1706640381"/>
                <w:dropDownList w:lastValue="E - Visualizations and Communication">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d4edbc"/>
                    <w:shd w:fill="11734b" w:val="clear"/>
                  </w:rPr>
                  <w:t xml:space="preserve">E - Visualizations and Communication</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343566255"/>
                <w:dropDownList w:lastValue="E1 - Representations and Dynamic Visualization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E1 - Representations and Dynamic Visualizations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E.1.1 - Sense-making with visualizations</w:t>
            </w:r>
          </w:p>
          <w:p w:rsidR="00000000" w:rsidDel="00000000" w:rsidP="00000000" w:rsidRDefault="00000000" w:rsidRPr="00000000" w14:paraId="00000013">
            <w:pPr>
              <w:spacing w:line="240" w:lineRule="auto"/>
              <w:rPr/>
            </w:pPr>
            <w:r w:rsidDel="00000000" w:rsidR="00000000" w:rsidRPr="00000000">
              <w:rPr>
                <w:rtl w:val="0"/>
              </w:rPr>
              <w:t xml:space="preserve">E.1.2 - Investigate with visualizations</w:t>
            </w:r>
          </w:p>
          <w:p w:rsidR="00000000" w:rsidDel="00000000" w:rsidP="00000000" w:rsidRDefault="00000000" w:rsidRPr="00000000" w14:paraId="00000014">
            <w:pPr>
              <w:spacing w:line="240" w:lineRule="auto"/>
              <w:rPr/>
            </w:pPr>
            <w:r w:rsidDel="00000000" w:rsidR="00000000" w:rsidRPr="00000000">
              <w:rPr>
                <w:rtl w:val="0"/>
              </w:rPr>
              <w:t xml:space="preserve">E.1.3 - Clear design for user interpretation</w:t>
            </w:r>
          </w:p>
          <w:p w:rsidR="00000000" w:rsidDel="00000000" w:rsidP="00000000" w:rsidRDefault="00000000" w:rsidRPr="00000000" w14:paraId="00000015">
            <w:pPr>
              <w:spacing w:line="240" w:lineRule="auto"/>
              <w:rPr/>
            </w:pPr>
            <w:r w:rsidDel="00000000" w:rsidR="00000000" w:rsidRPr="00000000">
              <w:rPr>
                <w:rtl w:val="0"/>
              </w:rPr>
              <w:t xml:space="preserve">E.1.4 - Graphical literacy</w:t>
            </w:r>
          </w:p>
          <w:p w:rsidR="00000000" w:rsidDel="00000000" w:rsidP="00000000" w:rsidRDefault="00000000" w:rsidRPr="00000000" w14:paraId="00000016">
            <w:pPr>
              <w:spacing w:line="240" w:lineRule="auto"/>
              <w:rPr/>
            </w:pPr>
            <w:r w:rsidDel="00000000" w:rsidR="00000000" w:rsidRPr="00000000">
              <w:rPr>
                <w:rtl w:val="0"/>
              </w:rPr>
              <w:t xml:space="preserve">E.1.5 - Representational fluency</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6-8.E.1.1a, 6-8.E.1.1b, 6-8.E.1.1c</w:t>
            </w:r>
          </w:p>
          <w:p w:rsidR="00000000" w:rsidDel="00000000" w:rsidP="00000000" w:rsidRDefault="00000000" w:rsidRPr="00000000" w14:paraId="00000019">
            <w:pPr>
              <w:spacing w:line="240" w:lineRule="auto"/>
              <w:rPr/>
            </w:pPr>
            <w:r w:rsidDel="00000000" w:rsidR="00000000" w:rsidRPr="00000000">
              <w:rPr>
                <w:rtl w:val="0"/>
              </w:rPr>
              <w:t xml:space="preserve">6-8.E.1.2a, 6-8.E.1.2b, 6-8.E.1.2c</w:t>
            </w:r>
          </w:p>
          <w:p w:rsidR="00000000" w:rsidDel="00000000" w:rsidP="00000000" w:rsidRDefault="00000000" w:rsidRPr="00000000" w14:paraId="0000001A">
            <w:pPr>
              <w:spacing w:line="240" w:lineRule="auto"/>
              <w:rPr/>
            </w:pPr>
            <w:r w:rsidDel="00000000" w:rsidR="00000000" w:rsidRPr="00000000">
              <w:rPr>
                <w:rtl w:val="0"/>
              </w:rPr>
              <w:t xml:space="preserve">6-8.E.1.3a, 6-8.E.1.3b</w:t>
            </w:r>
          </w:p>
          <w:p w:rsidR="00000000" w:rsidDel="00000000" w:rsidP="00000000" w:rsidRDefault="00000000" w:rsidRPr="00000000" w14:paraId="0000001B">
            <w:pPr>
              <w:spacing w:line="240" w:lineRule="auto"/>
              <w:rPr/>
            </w:pPr>
            <w:r w:rsidDel="00000000" w:rsidR="00000000" w:rsidRPr="00000000">
              <w:rPr>
                <w:rtl w:val="0"/>
              </w:rPr>
              <w:t xml:space="preserve">6-8.E.1.4a, 6-8.E.1.4b, 6-8.E.1.4c</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sdt>
              <w:sdtPr>
                <w:alias w:val="Substrand"/>
                <w:id w:val="-801331858"/>
                <w:dropDownList w:lastValue="E2 - Data Storytelling">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E2 - Data Storytelling</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E.2.1 - Connect narratives and data visualizations</w:t>
            </w:r>
          </w:p>
          <w:p w:rsidR="00000000" w:rsidDel="00000000" w:rsidP="00000000" w:rsidRDefault="00000000" w:rsidRPr="00000000" w14:paraId="00000020">
            <w:pPr>
              <w:spacing w:line="240" w:lineRule="auto"/>
              <w:rPr/>
            </w:pPr>
            <w:r w:rsidDel="00000000" w:rsidR="00000000" w:rsidRPr="00000000">
              <w:rPr>
                <w:rtl w:val="0"/>
              </w:rPr>
              <w:t xml:space="preserve">E.2.2 - Write data stories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6-8.E.2.1a, 6-8.E.2.1b</w:t>
            </w:r>
          </w:p>
          <w:p w:rsidR="00000000" w:rsidDel="00000000" w:rsidP="00000000" w:rsidRDefault="00000000" w:rsidRPr="00000000" w14:paraId="00000023">
            <w:pPr>
              <w:spacing w:line="240" w:lineRule="auto"/>
              <w:rPr/>
            </w:pPr>
            <w:r w:rsidDel="00000000" w:rsidR="00000000" w:rsidRPr="00000000">
              <w:rPr>
                <w:rtl w:val="0"/>
              </w:rPr>
              <w:t xml:space="preserve">6-8.E.2.2a, 6-8.E.2.2b, 6-8.E.2.2c</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sdt>
              <w:sdtPr>
                <w:alias w:val="Substrand"/>
                <w:id w:val="-137815074"/>
                <w:dropDownList w:lastValue="E3 - Acting on Data to Benefit Society">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d4edbc"/>
                    <w:shd w:fill="11734b" w:val="clear"/>
                  </w:rPr>
                  <w:t xml:space="preserve">E3 - Acting on Data to Benefit Society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E.3.1 - Intent and authorship of analyses</w:t>
            </w:r>
          </w:p>
          <w:p w:rsidR="00000000" w:rsidDel="00000000" w:rsidP="00000000" w:rsidRDefault="00000000" w:rsidRPr="00000000" w14:paraId="00000028">
            <w:pPr>
              <w:spacing w:line="240" w:lineRule="auto"/>
              <w:rPr/>
            </w:pPr>
            <w:r w:rsidDel="00000000" w:rsidR="00000000" w:rsidRPr="00000000">
              <w:rPr>
                <w:rtl w:val="0"/>
              </w:rPr>
              <w:t xml:space="preserve">E.3.2 - Advocacy with Data Arguments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6-8.E.3.1a, 6-8.E.3.1b</w:t>
            </w:r>
          </w:p>
          <w:p w:rsidR="00000000" w:rsidDel="00000000" w:rsidP="00000000" w:rsidRDefault="00000000" w:rsidRPr="00000000" w14:paraId="0000002B">
            <w:pPr>
              <w:spacing w:line="240" w:lineRule="auto"/>
              <w:rPr/>
            </w:pPr>
            <w:r w:rsidDel="00000000" w:rsidR="00000000" w:rsidRPr="00000000">
              <w:rPr>
                <w:rtl w:val="0"/>
              </w:rPr>
              <w:t xml:space="preserve">6-8.E.3.2a, 6-8.E.3.2b</w:t>
            </w:r>
          </w:p>
        </w:tc>
      </w:tr>
    </w:tbl>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sdt>
              <w:sdtPr>
                <w:alias w:val="Code"/>
                <w:id w:val="-469372226"/>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sdt>
              <w:sdtPr>
                <w:alias w:val="Tool"/>
                <w:id w:val="-2066656296"/>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Utilizes higher statistical functions</w:t>
            </w:r>
          </w:p>
        </w:tc>
      </w:tr>
    </w:tbl>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i w:val="1"/>
              </w:rPr>
            </w:pPr>
            <w:r w:rsidDel="00000000" w:rsidR="00000000" w:rsidRPr="00000000">
              <w:rPr>
                <w:i w:val="1"/>
                <w:rtl w:val="0"/>
              </w:rPr>
              <w:t xml:space="preserve">Camera trap data from Maijuna Indigenous territory in Peruvian Amazon, documenting mammal visits to mineral licks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hyperlink r:id="rId6">
              <w:r w:rsidDel="00000000" w:rsidR="00000000" w:rsidRPr="00000000">
                <w:rPr>
                  <w:color w:val="1155cc"/>
                  <w:u w:val="single"/>
                  <w:rtl w:val="0"/>
                </w:rPr>
                <w:t xml:space="preserve">https://about.dataclassroom.com/ready-to-teach/snapshot-of-biodiversity</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Data storytelling worksheet, visualization design guide, conservation communication templates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Background on Maijuna culture and conservation, visualization best practices guide, discussion prompts about Indigenous data sovereignty</w:t>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t xml:space="preserve">The Morpho Institute and Dr. Brian Griffiths (George Mason University) working with FECONAMAI (Maijuna Federation)</w:t>
            </w:r>
          </w:p>
        </w:tc>
      </w:tr>
    </w:tbl>
    <w:p w:rsidR="00000000" w:rsidDel="00000000" w:rsidP="00000000" w:rsidRDefault="00000000" w:rsidRPr="00000000" w14:paraId="00000043">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44">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i w:val="1"/>
              </w:rPr>
            </w:pPr>
            <w:r w:rsidDel="00000000" w:rsidR="00000000" w:rsidRPr="00000000">
              <w:rPr>
                <w:i w:val="1"/>
                <w:rtl w:val="0"/>
              </w:rPr>
              <w:t xml:space="preserve">Students will learn to create clear, compelling data visualizations that tell stories about biodiversity and conservation, understanding how Indigenous communities use data science to protect their ancestral lands while developing skills in visual communication and advocacy through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4A">
            <w:pPr>
              <w:numPr>
                <w:ilvl w:val="0"/>
                <w:numId w:val="8"/>
              </w:numPr>
              <w:shd w:fill="ffffff" w:val="clear"/>
              <w:spacing w:after="0" w:afterAutospacing="0" w:before="240" w:lineRule="auto"/>
              <w:ind w:left="720" w:hanging="360"/>
            </w:pPr>
            <w:r w:rsidDel="00000000" w:rsidR="00000000" w:rsidRPr="00000000">
              <w:rPr>
                <w:i w:val="1"/>
                <w:rtl w:val="0"/>
              </w:rPr>
              <w:t xml:space="preserve">Create multiple types of data visualizations to explore biodiversity patterns</w:t>
            </w:r>
          </w:p>
          <w:p w:rsidR="00000000" w:rsidDel="00000000" w:rsidP="00000000" w:rsidRDefault="00000000" w:rsidRPr="00000000" w14:paraId="0000004B">
            <w:pPr>
              <w:numPr>
                <w:ilvl w:val="0"/>
                <w:numId w:val="8"/>
              </w:numPr>
              <w:shd w:fill="ffffff" w:val="clear"/>
              <w:spacing w:after="0" w:afterAutospacing="0" w:before="0" w:beforeAutospacing="0" w:lineRule="auto"/>
              <w:ind w:left="720" w:hanging="360"/>
            </w:pPr>
            <w:r w:rsidDel="00000000" w:rsidR="00000000" w:rsidRPr="00000000">
              <w:rPr>
                <w:i w:val="1"/>
                <w:rtl w:val="0"/>
              </w:rPr>
              <w:t xml:space="preserve">Design clear, well-labeled visualizations that communicate effectively to different audiences</w:t>
            </w:r>
          </w:p>
          <w:p w:rsidR="00000000" w:rsidDel="00000000" w:rsidP="00000000" w:rsidRDefault="00000000" w:rsidRPr="00000000" w14:paraId="0000004C">
            <w:pPr>
              <w:numPr>
                <w:ilvl w:val="0"/>
                <w:numId w:val="8"/>
              </w:numPr>
              <w:shd w:fill="ffffff" w:val="clear"/>
              <w:spacing w:after="0" w:afterAutospacing="0" w:before="0" w:beforeAutospacing="0" w:lineRule="auto"/>
              <w:ind w:left="720" w:hanging="360"/>
            </w:pPr>
            <w:r w:rsidDel="00000000" w:rsidR="00000000" w:rsidRPr="00000000">
              <w:rPr>
                <w:i w:val="1"/>
                <w:rtl w:val="0"/>
              </w:rPr>
              <w:t xml:space="preserve">Compare different visualization types and explain what each reveals or obscures</w:t>
            </w:r>
          </w:p>
          <w:p w:rsidR="00000000" w:rsidDel="00000000" w:rsidP="00000000" w:rsidRDefault="00000000" w:rsidRPr="00000000" w14:paraId="0000004D">
            <w:pPr>
              <w:numPr>
                <w:ilvl w:val="0"/>
                <w:numId w:val="8"/>
              </w:numPr>
              <w:shd w:fill="ffffff" w:val="clear"/>
              <w:spacing w:after="0" w:afterAutospacing="0" w:before="0" w:beforeAutospacing="0" w:lineRule="auto"/>
              <w:ind w:left="720" w:hanging="360"/>
            </w:pPr>
            <w:r w:rsidDel="00000000" w:rsidR="00000000" w:rsidRPr="00000000">
              <w:rPr>
                <w:i w:val="1"/>
                <w:rtl w:val="0"/>
              </w:rPr>
              <w:t xml:space="preserve">Connect data visualizations to compelling narratives about conservation and culture</w:t>
            </w:r>
          </w:p>
          <w:p w:rsidR="00000000" w:rsidDel="00000000" w:rsidP="00000000" w:rsidRDefault="00000000" w:rsidRPr="00000000" w14:paraId="0000004E">
            <w:pPr>
              <w:numPr>
                <w:ilvl w:val="0"/>
                <w:numId w:val="8"/>
              </w:numPr>
              <w:shd w:fill="ffffff" w:val="clear"/>
              <w:spacing w:after="0" w:afterAutospacing="0" w:before="0" w:beforeAutospacing="0" w:lineRule="auto"/>
              <w:ind w:left="720" w:hanging="360"/>
            </w:pPr>
            <w:r w:rsidDel="00000000" w:rsidR="00000000" w:rsidRPr="00000000">
              <w:rPr>
                <w:i w:val="1"/>
                <w:rtl w:val="0"/>
              </w:rPr>
              <w:t xml:space="preserve">Evaluate the purpose and effectiveness of data stories in advocacy contexts</w:t>
            </w:r>
          </w:p>
          <w:p w:rsidR="00000000" w:rsidDel="00000000" w:rsidP="00000000" w:rsidRDefault="00000000" w:rsidRPr="00000000" w14:paraId="0000004F">
            <w:pPr>
              <w:numPr>
                <w:ilvl w:val="0"/>
                <w:numId w:val="8"/>
              </w:numPr>
              <w:shd w:fill="ffffff" w:val="clear"/>
              <w:spacing w:after="0" w:afterAutospacing="0" w:before="0" w:beforeAutospacing="0" w:lineRule="auto"/>
              <w:ind w:left="720" w:hanging="360"/>
            </w:pPr>
            <w:r w:rsidDel="00000000" w:rsidR="00000000" w:rsidRPr="00000000">
              <w:rPr>
                <w:i w:val="1"/>
                <w:rtl w:val="0"/>
              </w:rPr>
              <w:t xml:space="preserve">Understand how Indigenous communities use data science for environmental protection</w:t>
            </w:r>
          </w:p>
          <w:p w:rsidR="00000000" w:rsidDel="00000000" w:rsidP="00000000" w:rsidRDefault="00000000" w:rsidRPr="00000000" w14:paraId="00000050">
            <w:pPr>
              <w:numPr>
                <w:ilvl w:val="0"/>
                <w:numId w:val="8"/>
              </w:numPr>
              <w:shd w:fill="ffffff" w:val="clear"/>
              <w:spacing w:after="240" w:before="0" w:beforeAutospacing="0" w:lineRule="auto"/>
              <w:ind w:left="720" w:hanging="360"/>
            </w:pPr>
            <w:r w:rsidDel="00000000" w:rsidR="00000000" w:rsidRPr="00000000">
              <w:rPr>
                <w:i w:val="1"/>
                <w:rtl w:val="0"/>
              </w:rPr>
              <w:t xml:space="preserve">Adapt data communication for different stakeholders and purposes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numPr>
                <w:ilvl w:val="0"/>
                <w:numId w:val="10"/>
              </w:numPr>
              <w:ind w:left="720" w:hanging="360"/>
              <w:rPr>
                <w:i w:val="1"/>
              </w:rPr>
            </w:pPr>
            <w:r w:rsidDel="00000000" w:rsidR="00000000" w:rsidRPr="00000000">
              <w:rPr>
                <w:i w:val="1"/>
                <w:rtl w:val="0"/>
              </w:rPr>
              <w:t xml:space="preserve">Basic understanding of ecosystems and biodiversity concepts</w:t>
            </w:r>
          </w:p>
          <w:p w:rsidR="00000000" w:rsidDel="00000000" w:rsidP="00000000" w:rsidRDefault="00000000" w:rsidRPr="00000000" w14:paraId="00000053">
            <w:pPr>
              <w:numPr>
                <w:ilvl w:val="0"/>
                <w:numId w:val="10"/>
              </w:numPr>
              <w:ind w:left="720" w:hanging="360"/>
              <w:rPr>
                <w:i w:val="1"/>
              </w:rPr>
            </w:pPr>
            <w:r w:rsidDel="00000000" w:rsidR="00000000" w:rsidRPr="00000000">
              <w:rPr>
                <w:i w:val="1"/>
                <w:rtl w:val="0"/>
              </w:rPr>
              <w:t xml:space="preserve">Ability to create simple bar graphs and interpret basic charts</w:t>
            </w:r>
          </w:p>
          <w:p w:rsidR="00000000" w:rsidDel="00000000" w:rsidP="00000000" w:rsidRDefault="00000000" w:rsidRPr="00000000" w14:paraId="00000054">
            <w:pPr>
              <w:numPr>
                <w:ilvl w:val="0"/>
                <w:numId w:val="10"/>
              </w:numPr>
              <w:ind w:left="720" w:hanging="360"/>
              <w:rPr>
                <w:i w:val="1"/>
              </w:rPr>
            </w:pPr>
            <w:r w:rsidDel="00000000" w:rsidR="00000000" w:rsidRPr="00000000">
              <w:rPr>
                <w:i w:val="1"/>
                <w:rtl w:val="0"/>
              </w:rPr>
              <w:t xml:space="preserve">Understanding of categories and frequency counting</w:t>
            </w:r>
          </w:p>
          <w:p w:rsidR="00000000" w:rsidDel="00000000" w:rsidP="00000000" w:rsidRDefault="00000000" w:rsidRPr="00000000" w14:paraId="00000055">
            <w:pPr>
              <w:numPr>
                <w:ilvl w:val="0"/>
                <w:numId w:val="10"/>
              </w:numPr>
              <w:ind w:left="720" w:hanging="360"/>
              <w:rPr>
                <w:i w:val="1"/>
              </w:rPr>
            </w:pPr>
            <w:r w:rsidDel="00000000" w:rsidR="00000000" w:rsidRPr="00000000">
              <w:rPr>
                <w:i w:val="1"/>
                <w:rtl w:val="0"/>
              </w:rPr>
              <w:t xml:space="preserve">Familiarity with map reading and geographic concepts</w:t>
            </w:r>
          </w:p>
          <w:p w:rsidR="00000000" w:rsidDel="00000000" w:rsidP="00000000" w:rsidRDefault="00000000" w:rsidRPr="00000000" w14:paraId="00000056">
            <w:pPr>
              <w:numPr>
                <w:ilvl w:val="0"/>
                <w:numId w:val="10"/>
              </w:numPr>
              <w:ind w:left="720" w:hanging="360"/>
              <w:rPr>
                <w:i w:val="1"/>
              </w:rPr>
            </w:pPr>
            <w:r w:rsidDel="00000000" w:rsidR="00000000" w:rsidRPr="00000000">
              <w:rPr>
                <w:i w:val="1"/>
                <w:rtl w:val="0"/>
              </w:rPr>
              <w:t xml:space="preserve">Basic awareness of environmental conservation issues</w:t>
            </w:r>
          </w:p>
          <w:p w:rsidR="00000000" w:rsidDel="00000000" w:rsidP="00000000" w:rsidRDefault="00000000" w:rsidRPr="00000000" w14:paraId="00000057">
            <w:pPr>
              <w:numPr>
                <w:ilvl w:val="0"/>
                <w:numId w:val="10"/>
              </w:numPr>
              <w:ind w:left="720" w:hanging="360"/>
              <w:rPr>
                <w:i w:val="1"/>
              </w:rPr>
            </w:pPr>
            <w:r w:rsidDel="00000000" w:rsidR="00000000" w:rsidRPr="00000000">
              <w:rPr>
                <w:i w:val="1"/>
                <w:rtl w:val="0"/>
              </w:rPr>
              <w:t xml:space="preserve">Understanding that different audiences may need different types of information</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58">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A">
            <w:pPr>
              <w:jc w:val="left"/>
              <w:rPr>
                <w:b w:val="1"/>
              </w:rPr>
            </w:pPr>
            <w:r w:rsidDel="00000000" w:rsidR="00000000" w:rsidRPr="00000000">
              <w:rPr>
                <w:b w:val="1"/>
                <w:rtl w:val="0"/>
              </w:rPr>
              <w:t xml:space="preserve">Lesson Hook &amp; Warm-up</w:t>
            </w:r>
          </w:p>
          <w:p w:rsidR="00000000" w:rsidDel="00000000" w:rsidP="00000000" w:rsidRDefault="00000000" w:rsidRPr="00000000" w14:paraId="0000005B">
            <w:pPr>
              <w:jc w:val="left"/>
              <w:rPr>
                <w:b w:val="1"/>
              </w:rPr>
            </w:pPr>
            <w:r w:rsidDel="00000000" w:rsidR="00000000" w:rsidRPr="00000000">
              <w:rPr>
                <w:rtl w:val="0"/>
              </w:rPr>
            </w:r>
          </w:p>
          <w:p w:rsidR="00000000" w:rsidDel="00000000" w:rsidP="00000000" w:rsidRDefault="00000000" w:rsidRPr="00000000" w14:paraId="0000005C">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b w:val="1"/>
                <w:rtl w:val="0"/>
              </w:rPr>
              <w:t xml:space="preserve">Student Facing: </w:t>
            </w:r>
            <w:r w:rsidDel="00000000" w:rsidR="00000000" w:rsidRPr="00000000">
              <w:rPr>
                <w:rtl w:val="0"/>
              </w:rPr>
              <w:t xml:space="preserve">Imagine you're helping an Indigenous community in the Amazon rainforest use camera traps to monitor wildlife that's essential for their culture and survival. The animals they depend on for food and cultural practices might be declining due to deforestation and climate change. How can you create visualizations that tell this story powerfully enough to help protect nearly a million acres of rainforest? Today you'll learn to create data visualizations that don't just show numbers - they tell conservation stories that can change the world.</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Teacher Facing: </w:t>
            </w:r>
            <w:r w:rsidDel="00000000" w:rsidR="00000000" w:rsidRPr="00000000">
              <w:rPr>
                <w:rtl w:val="0"/>
              </w:rPr>
              <w:t xml:space="preserve">Connect to students' awareness of environmental issues while introducing the important role of Indigenous communities in conservation. Emphasize that they'll be learning to create visualizations that serve real purposes for real people protecting their lands and culture.</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jc w:val="left"/>
              <w:rPr>
                <w:b w:val="1"/>
              </w:rPr>
            </w:pPr>
            <w:r w:rsidDel="00000000" w:rsidR="00000000" w:rsidRPr="00000000">
              <w:rPr>
                <w:b w:val="1"/>
                <w:rtl w:val="0"/>
              </w:rPr>
              <w:t xml:space="preserve">Understanding the Conservation Context</w:t>
            </w:r>
          </w:p>
          <w:p w:rsidR="00000000" w:rsidDel="00000000" w:rsidP="00000000" w:rsidRDefault="00000000" w:rsidRPr="00000000" w14:paraId="00000061">
            <w:pPr>
              <w:jc w:val="left"/>
              <w:rPr>
                <w:b w:val="1"/>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b w:val="1"/>
              </w:rPr>
            </w:pPr>
            <w:r w:rsidDel="00000000" w:rsidR="00000000" w:rsidRPr="00000000">
              <w:rPr>
                <w:b w:val="1"/>
                <w:rtl w:val="0"/>
              </w:rPr>
              <w:t xml:space="preserve">Student Facing:</w:t>
            </w:r>
          </w:p>
          <w:p w:rsidR="00000000" w:rsidDel="00000000" w:rsidP="00000000" w:rsidRDefault="00000000" w:rsidRPr="00000000" w14:paraId="00000064">
            <w:pPr>
              <w:numPr>
                <w:ilvl w:val="0"/>
                <w:numId w:val="11"/>
              </w:numPr>
              <w:spacing w:after="0" w:afterAutospacing="0" w:before="240" w:lineRule="auto"/>
              <w:ind w:left="720" w:hanging="360"/>
            </w:pPr>
            <w:r w:rsidDel="00000000" w:rsidR="00000000" w:rsidRPr="00000000">
              <w:rPr>
                <w:rtl w:val="0"/>
              </w:rPr>
              <w:t xml:space="preserve">Learn about the Maijuna people and their role as guardians of nearly a million acres of Amazon rainforest</w:t>
            </w:r>
          </w:p>
          <w:p w:rsidR="00000000" w:rsidDel="00000000" w:rsidP="00000000" w:rsidRDefault="00000000" w:rsidRPr="00000000" w14:paraId="00000065">
            <w:pPr>
              <w:numPr>
                <w:ilvl w:val="0"/>
                <w:numId w:val="11"/>
              </w:numPr>
              <w:spacing w:after="0" w:afterAutospacing="0" w:before="0" w:beforeAutospacing="0" w:lineRule="auto"/>
              <w:ind w:left="720" w:hanging="360"/>
            </w:pPr>
            <w:r w:rsidDel="00000000" w:rsidR="00000000" w:rsidRPr="00000000">
              <w:rPr>
                <w:rtl w:val="0"/>
              </w:rPr>
              <w:t xml:space="preserve">Understand how camera traps at mineral licks help monitor important game species</w:t>
            </w:r>
          </w:p>
          <w:p w:rsidR="00000000" w:rsidDel="00000000" w:rsidP="00000000" w:rsidRDefault="00000000" w:rsidRPr="00000000" w14:paraId="00000066">
            <w:pPr>
              <w:numPr>
                <w:ilvl w:val="0"/>
                <w:numId w:val="11"/>
              </w:numPr>
              <w:spacing w:after="0" w:afterAutospacing="0" w:before="0" w:beforeAutospacing="0" w:lineRule="auto"/>
              <w:ind w:left="720" w:hanging="360"/>
            </w:pPr>
            <w:r w:rsidDel="00000000" w:rsidR="00000000" w:rsidRPr="00000000">
              <w:rPr>
                <w:rtl w:val="0"/>
              </w:rPr>
              <w:t xml:space="preserve">Explore the cultural significance of different animals in Maijuna traditions (examining names in Máíhiki language)</w:t>
            </w:r>
          </w:p>
          <w:p w:rsidR="00000000" w:rsidDel="00000000" w:rsidP="00000000" w:rsidRDefault="00000000" w:rsidRPr="00000000" w14:paraId="00000067">
            <w:pPr>
              <w:numPr>
                <w:ilvl w:val="0"/>
                <w:numId w:val="11"/>
              </w:numPr>
              <w:spacing w:after="0" w:afterAutospacing="0" w:before="0" w:beforeAutospacing="0" w:lineRule="auto"/>
              <w:ind w:left="720" w:hanging="360"/>
            </w:pPr>
            <w:r w:rsidDel="00000000" w:rsidR="00000000" w:rsidRPr="00000000">
              <w:rPr>
                <w:rtl w:val="0"/>
              </w:rPr>
              <w:t xml:space="preserve">Identify the conservation challenges: deforestation, climate change, illegal logging</w:t>
            </w:r>
          </w:p>
          <w:p w:rsidR="00000000" w:rsidDel="00000000" w:rsidP="00000000" w:rsidRDefault="00000000" w:rsidRPr="00000000" w14:paraId="00000068">
            <w:pPr>
              <w:numPr>
                <w:ilvl w:val="0"/>
                <w:numId w:val="11"/>
              </w:numPr>
              <w:spacing w:after="240" w:before="0" w:beforeAutospacing="0" w:lineRule="auto"/>
              <w:ind w:left="720" w:hanging="360"/>
            </w:pPr>
            <w:r w:rsidDel="00000000" w:rsidR="00000000" w:rsidRPr="00000000">
              <w:rPr>
                <w:rtl w:val="0"/>
              </w:rPr>
              <w:t xml:space="preserve">Discuss how data visualization can support Indigenous-led conservation efforts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b w:val="1"/>
              </w:rPr>
            </w:pPr>
            <w:r w:rsidDel="00000000" w:rsidR="00000000" w:rsidRPr="00000000">
              <w:rPr>
                <w:b w:val="1"/>
                <w:rtl w:val="0"/>
              </w:rPr>
              <w:t xml:space="preserve">Teacher Facing</w:t>
            </w:r>
          </w:p>
          <w:p w:rsidR="00000000" w:rsidDel="00000000" w:rsidP="00000000" w:rsidRDefault="00000000" w:rsidRPr="00000000" w14:paraId="0000006B">
            <w:pPr>
              <w:rPr/>
            </w:pPr>
            <w:r w:rsidDel="00000000" w:rsidR="00000000" w:rsidRPr="00000000">
              <w:rPr>
                <w:rtl w:val="0"/>
              </w:rPr>
              <w:t xml:space="preserve">Help students understand the cultural and ecological context behind the data, emphasizing respect for Indigenous knowledge and the importance of community-led conservation. This context will inform how they design their visualizations later.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jc w:val="left"/>
              <w:rPr>
                <w:b w:val="1"/>
              </w:rPr>
            </w:pPr>
            <w:r w:rsidDel="00000000" w:rsidR="00000000" w:rsidRPr="00000000">
              <w:rPr>
                <w:b w:val="1"/>
                <w:rtl w:val="0"/>
              </w:rPr>
              <w:t xml:space="preserve">Creating and Comparing Multiple Visualization Types</w:t>
            </w:r>
          </w:p>
          <w:p w:rsidR="00000000" w:rsidDel="00000000" w:rsidP="00000000" w:rsidRDefault="00000000" w:rsidRPr="00000000" w14:paraId="0000006D">
            <w:pPr>
              <w:jc w:val="left"/>
              <w:rPr>
                <w:b w:val="1"/>
              </w:rPr>
            </w:pPr>
            <w:r w:rsidDel="00000000" w:rsidR="00000000" w:rsidRPr="00000000">
              <w:rPr>
                <w:rtl w:val="0"/>
              </w:rPr>
            </w:r>
          </w:p>
          <w:p w:rsidR="00000000" w:rsidDel="00000000" w:rsidP="00000000" w:rsidRDefault="00000000" w:rsidRPr="00000000" w14:paraId="0000006E">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b w:val="1"/>
              </w:rPr>
            </w:pPr>
            <w:r w:rsidDel="00000000" w:rsidR="00000000" w:rsidRPr="00000000">
              <w:rPr>
                <w:b w:val="1"/>
                <w:rtl w:val="0"/>
              </w:rPr>
              <w:t xml:space="preserve">Student Facing</w:t>
            </w:r>
          </w:p>
          <w:p w:rsidR="00000000" w:rsidDel="00000000" w:rsidP="00000000" w:rsidRDefault="00000000" w:rsidRPr="00000000" w14:paraId="00000070">
            <w:pPr>
              <w:numPr>
                <w:ilvl w:val="0"/>
                <w:numId w:val="7"/>
              </w:numPr>
              <w:spacing w:after="0" w:afterAutospacing="0" w:before="240" w:lineRule="auto"/>
              <w:ind w:left="720" w:hanging="360"/>
            </w:pPr>
            <w:r w:rsidDel="00000000" w:rsidR="00000000" w:rsidRPr="00000000">
              <w:rPr>
                <w:rtl w:val="0"/>
              </w:rPr>
              <w:t xml:space="preserve">Create a frequency plot showing how often each species visits mineral licks overall</w:t>
            </w:r>
          </w:p>
          <w:p w:rsidR="00000000" w:rsidDel="00000000" w:rsidP="00000000" w:rsidRDefault="00000000" w:rsidRPr="00000000" w14:paraId="00000071">
            <w:pPr>
              <w:numPr>
                <w:ilvl w:val="0"/>
                <w:numId w:val="7"/>
              </w:numPr>
              <w:spacing w:after="0" w:afterAutospacing="0" w:before="0" w:beforeAutospacing="0" w:lineRule="auto"/>
              <w:ind w:left="720" w:hanging="360"/>
            </w:pPr>
            <w:r w:rsidDel="00000000" w:rsidR="00000000" w:rsidRPr="00000000">
              <w:rPr>
                <w:rtl w:val="0"/>
              </w:rPr>
              <w:t xml:space="preserve">Design a stacked bar chart showing species diversity at different mineral lick sites</w:t>
            </w:r>
          </w:p>
          <w:p w:rsidR="00000000" w:rsidDel="00000000" w:rsidP="00000000" w:rsidRDefault="00000000" w:rsidRPr="00000000" w14:paraId="00000072">
            <w:pPr>
              <w:numPr>
                <w:ilvl w:val="0"/>
                <w:numId w:val="7"/>
              </w:numPr>
              <w:spacing w:after="0" w:afterAutospacing="0" w:before="0" w:beforeAutospacing="0" w:lineRule="auto"/>
              <w:ind w:left="720" w:hanging="360"/>
            </w:pPr>
            <w:r w:rsidDel="00000000" w:rsidR="00000000" w:rsidRPr="00000000">
              <w:rPr>
                <w:rtl w:val="0"/>
              </w:rPr>
              <w:t xml:space="preserve">Make a categorical bubble plot displaying the same data in a different visual format</w:t>
            </w:r>
          </w:p>
          <w:p w:rsidR="00000000" w:rsidDel="00000000" w:rsidP="00000000" w:rsidRDefault="00000000" w:rsidRPr="00000000" w14:paraId="00000073">
            <w:pPr>
              <w:numPr>
                <w:ilvl w:val="0"/>
                <w:numId w:val="7"/>
              </w:numPr>
              <w:spacing w:after="0" w:afterAutospacing="0" w:before="0" w:beforeAutospacing="0" w:lineRule="auto"/>
              <w:ind w:left="720" w:hanging="360"/>
            </w:pPr>
            <w:r w:rsidDel="00000000" w:rsidR="00000000" w:rsidRPr="00000000">
              <w:rPr>
                <w:rtl w:val="0"/>
              </w:rPr>
              <w:t xml:space="preserve">Compare these three visualizations: What does each one reveal or emphasize? What might each obscure?</w:t>
            </w:r>
          </w:p>
          <w:p w:rsidR="00000000" w:rsidDel="00000000" w:rsidP="00000000" w:rsidRDefault="00000000" w:rsidRPr="00000000" w14:paraId="00000074">
            <w:pPr>
              <w:numPr>
                <w:ilvl w:val="0"/>
                <w:numId w:val="7"/>
              </w:numPr>
              <w:spacing w:after="240" w:before="0" w:beforeAutospacing="0" w:lineRule="auto"/>
              <w:ind w:left="720" w:hanging="360"/>
            </w:pPr>
            <w:r w:rsidDel="00000000" w:rsidR="00000000" w:rsidRPr="00000000">
              <w:rPr>
                <w:rtl w:val="0"/>
              </w:rPr>
              <w:t xml:space="preserve">Choose appropriate colors and labels to make your visualizations clear and accessible</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b w:val="1"/>
              </w:rPr>
            </w:pPr>
            <w:r w:rsidDel="00000000" w:rsidR="00000000" w:rsidRPr="00000000">
              <w:rPr>
                <w:b w:val="1"/>
                <w:rtl w:val="0"/>
              </w:rPr>
              <w:t xml:space="preserve">Teacher Facing</w:t>
            </w:r>
          </w:p>
          <w:p w:rsidR="00000000" w:rsidDel="00000000" w:rsidP="00000000" w:rsidRDefault="00000000" w:rsidRPr="00000000" w14:paraId="00000077">
            <w:pPr>
              <w:rPr/>
            </w:pPr>
            <w:r w:rsidDel="00000000" w:rsidR="00000000" w:rsidRPr="00000000">
              <w:rPr>
                <w:rtl w:val="0"/>
              </w:rPr>
              <w:t xml:space="preserve">Guide students through creating multiple visualization types for the same data, helping them understand that different visual approaches reveal different aspects of the story. Emphasize design principles like clear labeling, appropriate color choices, and accessibility.</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ind w:left="0" w:firstLine="0"/>
              <w:jc w:val="left"/>
              <w:rPr>
                <w:b w:val="1"/>
              </w:rPr>
            </w:pPr>
            <w:r w:rsidDel="00000000" w:rsidR="00000000" w:rsidRPr="00000000">
              <w:rPr>
                <w:b w:val="1"/>
                <w:rtl w:val="0"/>
              </w:rPr>
              <w:t xml:space="preserve">Visual Design for Clear Communication</w:t>
            </w:r>
          </w:p>
          <w:p w:rsidR="00000000" w:rsidDel="00000000" w:rsidP="00000000" w:rsidRDefault="00000000" w:rsidRPr="00000000" w14:paraId="00000079">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A">
            <w:pPr>
              <w:spacing w:after="0" w:before="0" w:line="240" w:lineRule="auto"/>
              <w:ind w:left="0" w:firstLine="0"/>
              <w:jc w:val="left"/>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C">
            <w:pPr>
              <w:numPr>
                <w:ilvl w:val="0"/>
                <w:numId w:val="3"/>
              </w:numPr>
              <w:spacing w:after="0" w:afterAutospacing="0" w:before="240" w:lineRule="auto"/>
              <w:ind w:left="720" w:hanging="360"/>
            </w:pPr>
            <w:r w:rsidDel="00000000" w:rsidR="00000000" w:rsidRPr="00000000">
              <w:rPr>
                <w:rtl w:val="0"/>
              </w:rPr>
              <w:t xml:space="preserve">Add clear, descriptive titles to your visualizations that explain what the data shows</w:t>
            </w:r>
          </w:p>
          <w:p w:rsidR="00000000" w:rsidDel="00000000" w:rsidP="00000000" w:rsidRDefault="00000000" w:rsidRPr="00000000" w14:paraId="0000007D">
            <w:pPr>
              <w:numPr>
                <w:ilvl w:val="0"/>
                <w:numId w:val="3"/>
              </w:numPr>
              <w:spacing w:after="0" w:afterAutospacing="0" w:before="0" w:beforeAutospacing="0" w:lineRule="auto"/>
              <w:ind w:left="720" w:hanging="360"/>
            </w:pPr>
            <w:r w:rsidDel="00000000" w:rsidR="00000000" w:rsidRPr="00000000">
              <w:rPr>
                <w:rtl w:val="0"/>
              </w:rPr>
              <w:t xml:space="preserve">Ensure all axes are properly labeled with units and variable names</w:t>
            </w:r>
          </w:p>
          <w:p w:rsidR="00000000" w:rsidDel="00000000" w:rsidP="00000000" w:rsidRDefault="00000000" w:rsidRPr="00000000" w14:paraId="0000007E">
            <w:pPr>
              <w:numPr>
                <w:ilvl w:val="0"/>
                <w:numId w:val="3"/>
              </w:numPr>
              <w:spacing w:after="0" w:afterAutospacing="0" w:before="0" w:beforeAutospacing="0" w:lineRule="auto"/>
              <w:ind w:left="720" w:hanging="360"/>
            </w:pPr>
            <w:r w:rsidDel="00000000" w:rsidR="00000000" w:rsidRPr="00000000">
              <w:rPr>
                <w:rtl w:val="0"/>
              </w:rPr>
              <w:t xml:space="preserve">Choose color schemes that are accessible and meaningful (consider cultural significance)</w:t>
            </w:r>
          </w:p>
          <w:p w:rsidR="00000000" w:rsidDel="00000000" w:rsidP="00000000" w:rsidRDefault="00000000" w:rsidRPr="00000000" w14:paraId="0000007F">
            <w:pPr>
              <w:numPr>
                <w:ilvl w:val="0"/>
                <w:numId w:val="3"/>
              </w:numPr>
              <w:spacing w:after="0" w:afterAutospacing="0" w:before="0" w:beforeAutospacing="0" w:lineRule="auto"/>
              <w:ind w:left="720" w:hanging="360"/>
            </w:pPr>
            <w:r w:rsidDel="00000000" w:rsidR="00000000" w:rsidRPr="00000000">
              <w:rPr>
                <w:rtl w:val="0"/>
              </w:rPr>
              <w:t xml:space="preserve">Add data source citations to ensure transparency and credibility</w:t>
            </w:r>
          </w:p>
          <w:p w:rsidR="00000000" w:rsidDel="00000000" w:rsidP="00000000" w:rsidRDefault="00000000" w:rsidRPr="00000000" w14:paraId="00000080">
            <w:pPr>
              <w:numPr>
                <w:ilvl w:val="0"/>
                <w:numId w:val="3"/>
              </w:numPr>
              <w:spacing w:after="240" w:before="0" w:beforeAutospacing="0" w:lineRule="auto"/>
              <w:ind w:left="720" w:hanging="360"/>
            </w:pPr>
            <w:r w:rsidDel="00000000" w:rsidR="00000000" w:rsidRPr="00000000">
              <w:rPr>
                <w:rtl w:val="0"/>
              </w:rPr>
              <w:t xml:space="preserve">Create a legend or key that helps viewers understand your visual choices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b w:val="1"/>
                <w:rtl w:val="0"/>
              </w:rPr>
              <w:t xml:space="preserve">Teacher Facing: </w:t>
            </w:r>
            <w:r w:rsidDel="00000000" w:rsidR="00000000" w:rsidRPr="00000000">
              <w:rPr>
                <w:rtl w:val="0"/>
              </w:rPr>
              <w:t xml:space="preserve">Help students understand that effective data visualization requires attention to design details that make charts accessible and trustworthy. Discuss how color choices and labeling affect interpretation.</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ind w:left="0" w:firstLine="0"/>
              <w:jc w:val="left"/>
              <w:rPr>
                <w:b w:val="1"/>
              </w:rPr>
            </w:pPr>
            <w:r w:rsidDel="00000000" w:rsidR="00000000" w:rsidRPr="00000000">
              <w:rPr>
                <w:b w:val="1"/>
                <w:rtl w:val="0"/>
              </w:rPr>
              <w:t xml:space="preserve">Investigating Relationships Through Visualization</w:t>
            </w:r>
          </w:p>
          <w:p w:rsidR="00000000" w:rsidDel="00000000" w:rsidP="00000000" w:rsidRDefault="00000000" w:rsidRPr="00000000" w14:paraId="00000084">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85">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87">
            <w:pPr>
              <w:numPr>
                <w:ilvl w:val="0"/>
                <w:numId w:val="4"/>
              </w:numPr>
              <w:spacing w:after="0" w:afterAutospacing="0" w:before="240" w:lineRule="auto"/>
              <w:ind w:left="720" w:hanging="360"/>
            </w:pPr>
            <w:r w:rsidDel="00000000" w:rsidR="00000000" w:rsidRPr="00000000">
              <w:rPr>
                <w:rtl w:val="0"/>
              </w:rPr>
              <w:t xml:space="preserve">Create scatter plots examining the relationship between mineral lick size and animal visits for each species</w:t>
            </w:r>
          </w:p>
          <w:p w:rsidR="00000000" w:rsidDel="00000000" w:rsidP="00000000" w:rsidRDefault="00000000" w:rsidRPr="00000000" w14:paraId="00000088">
            <w:pPr>
              <w:numPr>
                <w:ilvl w:val="0"/>
                <w:numId w:val="4"/>
              </w:numPr>
              <w:spacing w:after="0" w:afterAutospacing="0" w:before="0" w:beforeAutospacing="0" w:lineRule="auto"/>
              <w:ind w:left="720" w:hanging="360"/>
            </w:pPr>
            <w:r w:rsidDel="00000000" w:rsidR="00000000" w:rsidRPr="00000000">
              <w:rPr>
                <w:rtl w:val="0"/>
              </w:rPr>
              <w:t xml:space="preserve">Add regression lines to help visualize relationships</w:t>
            </w:r>
          </w:p>
          <w:p w:rsidR="00000000" w:rsidDel="00000000" w:rsidP="00000000" w:rsidRDefault="00000000" w:rsidRPr="00000000" w14:paraId="00000089">
            <w:pPr>
              <w:numPr>
                <w:ilvl w:val="0"/>
                <w:numId w:val="4"/>
              </w:numPr>
              <w:spacing w:after="0" w:afterAutospacing="0" w:before="0" w:beforeAutospacing="0" w:lineRule="auto"/>
              <w:ind w:left="720" w:hanging="360"/>
            </w:pPr>
            <w:r w:rsidDel="00000000" w:rsidR="00000000" w:rsidRPr="00000000">
              <w:rPr>
                <w:rtl w:val="0"/>
              </w:rPr>
              <w:t xml:space="preserve">Compare patterns: Do all species show the same relationship with lick size?</w:t>
            </w:r>
          </w:p>
          <w:p w:rsidR="00000000" w:rsidDel="00000000" w:rsidP="00000000" w:rsidRDefault="00000000" w:rsidRPr="00000000" w14:paraId="0000008A">
            <w:pPr>
              <w:numPr>
                <w:ilvl w:val="0"/>
                <w:numId w:val="4"/>
              </w:numPr>
              <w:spacing w:after="0" w:afterAutospacing="0" w:before="0" w:beforeAutospacing="0" w:lineRule="auto"/>
              <w:ind w:left="720" w:hanging="360"/>
            </w:pPr>
            <w:r w:rsidDel="00000000" w:rsidR="00000000" w:rsidRPr="00000000">
              <w:rPr>
                <w:rtl w:val="0"/>
              </w:rPr>
              <w:t xml:space="preserve">Focus on tapirs: How is their relationship with lick size different from other species?</w:t>
            </w:r>
          </w:p>
          <w:p w:rsidR="00000000" w:rsidDel="00000000" w:rsidP="00000000" w:rsidRDefault="00000000" w:rsidRPr="00000000" w14:paraId="0000008B">
            <w:pPr>
              <w:numPr>
                <w:ilvl w:val="0"/>
                <w:numId w:val="4"/>
              </w:numPr>
              <w:spacing w:after="240" w:before="0" w:beforeAutospacing="0" w:lineRule="auto"/>
              <w:ind w:left="720" w:hanging="360"/>
            </w:pPr>
            <w:r w:rsidDel="00000000" w:rsidR="00000000" w:rsidRPr="00000000">
              <w:rPr>
                <w:rtl w:val="0"/>
              </w:rPr>
              <w:t xml:space="preserve">Use your visualizations to generate hypotheses about why these patterns exist</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b w:val="1"/>
                <w:rtl w:val="0"/>
              </w:rPr>
              <w:t xml:space="preserve">Teacher Facing: </w:t>
            </w:r>
            <w:r w:rsidDel="00000000" w:rsidR="00000000" w:rsidRPr="00000000">
              <w:rPr>
                <w:rtl w:val="0"/>
              </w:rPr>
              <w:t xml:space="preserve">Guide students through more complex visualizations that reveal relationships between variables. Help them understand how scatter plots can reveal patterns that aren't visible in frequency charts, and encourage scientific thinking about why patterns might exist.</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rPr>
                <w:b w:val="1"/>
              </w:rPr>
            </w:pPr>
            <w:r w:rsidDel="00000000" w:rsidR="00000000" w:rsidRPr="00000000">
              <w:rPr>
                <w:b w:val="1"/>
                <w:rtl w:val="0"/>
              </w:rPr>
              <w:t xml:space="preserve">Crafting Data Stories for Conservation</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25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b w:val="1"/>
              </w:rPr>
            </w:pPr>
            <w:r w:rsidDel="00000000" w:rsidR="00000000" w:rsidRPr="00000000">
              <w:rPr>
                <w:b w:val="1"/>
                <w:rtl w:val="0"/>
              </w:rPr>
              <w:t xml:space="preserve">Student Facing</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numPr>
                <w:ilvl w:val="0"/>
                <w:numId w:val="6"/>
              </w:numPr>
              <w:spacing w:after="0" w:afterAutospacing="0" w:before="240" w:lineRule="auto"/>
              <w:ind w:left="720" w:hanging="360"/>
            </w:pPr>
            <w:r w:rsidDel="00000000" w:rsidR="00000000" w:rsidRPr="00000000">
              <w:rPr>
                <w:rtl w:val="0"/>
              </w:rPr>
              <w:t xml:space="preserve">Write a data story connecting your visualizations to the Maijuna conservation goals</w:t>
            </w:r>
          </w:p>
          <w:p w:rsidR="00000000" w:rsidDel="00000000" w:rsidP="00000000" w:rsidRDefault="00000000" w:rsidRPr="00000000" w14:paraId="00000094">
            <w:pPr>
              <w:numPr>
                <w:ilvl w:val="0"/>
                <w:numId w:val="6"/>
              </w:numPr>
              <w:spacing w:after="0" w:afterAutospacing="0" w:before="0" w:beforeAutospacing="0" w:lineRule="auto"/>
              <w:ind w:left="720" w:hanging="360"/>
            </w:pPr>
            <w:r w:rsidDel="00000000" w:rsidR="00000000" w:rsidRPr="00000000">
              <w:rPr>
                <w:rtl w:val="0"/>
              </w:rPr>
              <w:t xml:space="preserve">Explain what your data reveals about biodiversity in this protected area</w:t>
            </w:r>
          </w:p>
          <w:p w:rsidR="00000000" w:rsidDel="00000000" w:rsidP="00000000" w:rsidRDefault="00000000" w:rsidRPr="00000000" w14:paraId="00000095">
            <w:pPr>
              <w:numPr>
                <w:ilvl w:val="0"/>
                <w:numId w:val="6"/>
              </w:numPr>
              <w:spacing w:after="0" w:afterAutospacing="0" w:before="0" w:beforeAutospacing="0" w:lineRule="auto"/>
              <w:ind w:left="720" w:hanging="360"/>
            </w:pPr>
            <w:r w:rsidDel="00000000" w:rsidR="00000000" w:rsidRPr="00000000">
              <w:rPr>
                <w:rtl w:val="0"/>
              </w:rPr>
              <w:t xml:space="preserve">Address potential threats: What do these patterns suggest about ecosystem health?</w:t>
            </w:r>
          </w:p>
          <w:p w:rsidR="00000000" w:rsidDel="00000000" w:rsidP="00000000" w:rsidRDefault="00000000" w:rsidRPr="00000000" w14:paraId="00000096">
            <w:pPr>
              <w:numPr>
                <w:ilvl w:val="0"/>
                <w:numId w:val="6"/>
              </w:numPr>
              <w:spacing w:after="0" w:afterAutospacing="0" w:before="0" w:beforeAutospacing="0" w:lineRule="auto"/>
              <w:ind w:left="720" w:hanging="360"/>
            </w:pPr>
            <w:r w:rsidDel="00000000" w:rsidR="00000000" w:rsidRPr="00000000">
              <w:rPr>
                <w:rtl w:val="0"/>
              </w:rPr>
              <w:t xml:space="preserve">Connect to cultural significance: How do these findings relate to Maijuna traditions and survival?</w:t>
            </w:r>
          </w:p>
          <w:p w:rsidR="00000000" w:rsidDel="00000000" w:rsidP="00000000" w:rsidRDefault="00000000" w:rsidRPr="00000000" w14:paraId="00000097">
            <w:pPr>
              <w:numPr>
                <w:ilvl w:val="0"/>
                <w:numId w:val="6"/>
              </w:numPr>
              <w:spacing w:after="240" w:before="0" w:beforeAutospacing="0" w:lineRule="auto"/>
              <w:ind w:left="720" w:hanging="360"/>
            </w:pPr>
            <w:r w:rsidDel="00000000" w:rsidR="00000000" w:rsidRPr="00000000">
              <w:rPr>
                <w:rtl w:val="0"/>
              </w:rPr>
              <w:t xml:space="preserve">Include limitations: What doesn't this data tell us, and what additional research is needed?</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b w:val="1"/>
              </w:rPr>
            </w:pPr>
            <w:r w:rsidDel="00000000" w:rsidR="00000000" w:rsidRPr="00000000">
              <w:rPr>
                <w:b w:val="1"/>
                <w:rtl w:val="0"/>
              </w:rPr>
              <w:t xml:space="preserve">Teacher Facing</w:t>
            </w:r>
          </w:p>
          <w:p w:rsidR="00000000" w:rsidDel="00000000" w:rsidP="00000000" w:rsidRDefault="00000000" w:rsidRPr="00000000" w14:paraId="0000009A">
            <w:pPr>
              <w:rPr/>
            </w:pPr>
            <w:r w:rsidDel="00000000" w:rsidR="00000000" w:rsidRPr="00000000">
              <w:rPr>
                <w:rtl w:val="0"/>
              </w:rPr>
              <w:t xml:space="preserve">Help students understand how to connect quantitative findings to broader narratives about conservation and culture. Emphasize the importance of acknowledging data limitations and avoiding oversimplified conclusions.</w:t>
            </w:r>
          </w:p>
        </w:tc>
      </w:tr>
      <w:tr>
        <w:trPr>
          <w:cantSplit w:val="0"/>
          <w:trHeight w:val="518.70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B">
            <w:pPr>
              <w:rPr>
                <w:b w:val="1"/>
              </w:rPr>
            </w:pPr>
            <w:r w:rsidDel="00000000" w:rsidR="00000000" w:rsidRPr="00000000">
              <w:rPr>
                <w:b w:val="1"/>
                <w:rtl w:val="0"/>
              </w:rPr>
              <w:t xml:space="preserve">Adapting Communication for Different Audiences</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20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b w:val="1"/>
              </w:rPr>
            </w:pPr>
            <w:r w:rsidDel="00000000" w:rsidR="00000000" w:rsidRPr="00000000">
              <w:rPr>
                <w:b w:val="1"/>
                <w:rtl w:val="0"/>
              </w:rPr>
              <w:t xml:space="preserve">Student Facing</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numPr>
                <w:ilvl w:val="0"/>
                <w:numId w:val="2"/>
              </w:numPr>
              <w:spacing w:after="0" w:afterAutospacing="0" w:before="240" w:lineRule="auto"/>
              <w:ind w:left="720" w:hanging="360"/>
            </w:pPr>
            <w:r w:rsidDel="00000000" w:rsidR="00000000" w:rsidRPr="00000000">
              <w:rPr>
                <w:rtl w:val="0"/>
              </w:rPr>
              <w:t xml:space="preserve">Adapt your data story for three different audiences:</w:t>
            </w:r>
          </w:p>
          <w:p w:rsidR="00000000" w:rsidDel="00000000" w:rsidP="00000000" w:rsidRDefault="00000000" w:rsidRPr="00000000" w14:paraId="000000A1">
            <w:pPr>
              <w:numPr>
                <w:ilvl w:val="1"/>
                <w:numId w:val="2"/>
              </w:numPr>
              <w:spacing w:after="0" w:afterAutospacing="0" w:before="0" w:beforeAutospacing="0" w:lineRule="auto"/>
              <w:ind w:left="1440" w:hanging="360"/>
            </w:pPr>
            <w:r w:rsidDel="00000000" w:rsidR="00000000" w:rsidRPr="00000000">
              <w:rPr>
                <w:rtl w:val="0"/>
              </w:rPr>
              <w:t xml:space="preserve">Maijuna community members planning conservation strategies</w:t>
            </w:r>
          </w:p>
          <w:p w:rsidR="00000000" w:rsidDel="00000000" w:rsidP="00000000" w:rsidRDefault="00000000" w:rsidRPr="00000000" w14:paraId="000000A2">
            <w:pPr>
              <w:numPr>
                <w:ilvl w:val="1"/>
                <w:numId w:val="2"/>
              </w:numPr>
              <w:spacing w:after="0" w:afterAutospacing="0" w:before="0" w:beforeAutospacing="0" w:lineRule="auto"/>
              <w:ind w:left="1440" w:hanging="360"/>
            </w:pPr>
            <w:r w:rsidDel="00000000" w:rsidR="00000000" w:rsidRPr="00000000">
              <w:rPr>
                <w:rtl w:val="0"/>
              </w:rPr>
              <w:t xml:space="preserve">Government officials making policy decisions about forest protection</w:t>
            </w:r>
          </w:p>
          <w:p w:rsidR="00000000" w:rsidDel="00000000" w:rsidP="00000000" w:rsidRDefault="00000000" w:rsidRPr="00000000" w14:paraId="000000A3">
            <w:pPr>
              <w:numPr>
                <w:ilvl w:val="1"/>
                <w:numId w:val="2"/>
              </w:numPr>
              <w:spacing w:after="0" w:afterAutospacing="0" w:before="0" w:beforeAutospacing="0" w:lineRule="auto"/>
              <w:ind w:left="1440" w:hanging="360"/>
            </w:pPr>
            <w:r w:rsidDel="00000000" w:rsidR="00000000" w:rsidRPr="00000000">
              <w:rPr>
                <w:rtl w:val="0"/>
              </w:rPr>
              <w:t xml:space="preserve">Other students learning about biodiversity and conservation</w:t>
            </w:r>
          </w:p>
          <w:p w:rsidR="00000000" w:rsidDel="00000000" w:rsidP="00000000" w:rsidRDefault="00000000" w:rsidRPr="00000000" w14:paraId="000000A4">
            <w:pPr>
              <w:numPr>
                <w:ilvl w:val="0"/>
                <w:numId w:val="2"/>
              </w:numPr>
              <w:spacing w:after="0" w:afterAutospacing="0" w:before="0" w:beforeAutospacing="0" w:lineRule="auto"/>
              <w:ind w:left="720" w:hanging="360"/>
            </w:pPr>
            <w:r w:rsidDel="00000000" w:rsidR="00000000" w:rsidRPr="00000000">
              <w:rPr>
                <w:rtl w:val="0"/>
              </w:rPr>
              <w:t xml:space="preserve">Consider what each audience needs to know and what evidence will be most compelling</w:t>
            </w:r>
          </w:p>
          <w:p w:rsidR="00000000" w:rsidDel="00000000" w:rsidP="00000000" w:rsidRDefault="00000000" w:rsidRPr="00000000" w14:paraId="000000A5">
            <w:pPr>
              <w:numPr>
                <w:ilvl w:val="0"/>
                <w:numId w:val="2"/>
              </w:numPr>
              <w:spacing w:after="0" w:afterAutospacing="0" w:before="0" w:beforeAutospacing="0" w:lineRule="auto"/>
              <w:ind w:left="720" w:hanging="360"/>
            </w:pPr>
            <w:r w:rsidDel="00000000" w:rsidR="00000000" w:rsidRPr="00000000">
              <w:rPr>
                <w:rtl w:val="0"/>
              </w:rPr>
              <w:t xml:space="preserve">Adjust your language, emphasis, and visual choices for each audience</w:t>
            </w:r>
          </w:p>
          <w:p w:rsidR="00000000" w:rsidDel="00000000" w:rsidP="00000000" w:rsidRDefault="00000000" w:rsidRPr="00000000" w14:paraId="000000A6">
            <w:pPr>
              <w:numPr>
                <w:ilvl w:val="0"/>
                <w:numId w:val="2"/>
              </w:numPr>
              <w:spacing w:after="240" w:before="0" w:beforeAutospacing="0" w:lineRule="auto"/>
              <w:ind w:left="720" w:hanging="360"/>
            </w:pPr>
            <w:r w:rsidDel="00000000" w:rsidR="00000000" w:rsidRPr="00000000">
              <w:rPr>
                <w:rtl w:val="0"/>
              </w:rPr>
              <w:t xml:space="preserve">Practice presenting your findings clearly and persuasively</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b w:val="1"/>
              </w:rPr>
            </w:pPr>
            <w:r w:rsidDel="00000000" w:rsidR="00000000" w:rsidRPr="00000000">
              <w:rPr>
                <w:b w:val="1"/>
                <w:rtl w:val="0"/>
              </w:rPr>
              <w:t xml:space="preserve">Teacher Facing</w:t>
            </w:r>
          </w:p>
          <w:p w:rsidR="00000000" w:rsidDel="00000000" w:rsidP="00000000" w:rsidRDefault="00000000" w:rsidRPr="00000000" w14:paraId="000000A9">
            <w:pPr>
              <w:rPr/>
            </w:pPr>
            <w:r w:rsidDel="00000000" w:rsidR="00000000" w:rsidRPr="00000000">
              <w:rPr>
                <w:rtl w:val="0"/>
              </w:rPr>
              <w:t xml:space="preserve">Guide students through the important skill of adapting scientific communication for different stakeholders. Help them understand that effective advocacy requires understanding your audience's needs, interests, and decision-making processes.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A">
            <w:pPr>
              <w:jc w:val="left"/>
              <w:rPr>
                <w:b w:val="1"/>
              </w:rPr>
            </w:pPr>
            <w:r w:rsidDel="00000000" w:rsidR="00000000" w:rsidRPr="00000000">
              <w:rPr>
                <w:b w:val="1"/>
                <w:rtl w:val="0"/>
              </w:rPr>
              <w:t xml:space="preserve">Lesson Synthesis </w:t>
            </w:r>
          </w:p>
          <w:p w:rsidR="00000000" w:rsidDel="00000000" w:rsidP="00000000" w:rsidRDefault="00000000" w:rsidRPr="00000000" w14:paraId="000000AB">
            <w:pPr>
              <w:jc w:val="left"/>
              <w:rPr>
                <w:b w:val="1"/>
              </w:rPr>
            </w:pPr>
            <w:r w:rsidDel="00000000" w:rsidR="00000000" w:rsidRPr="00000000">
              <w:rPr>
                <w:rtl w:val="0"/>
              </w:rPr>
            </w:r>
          </w:p>
          <w:p w:rsidR="00000000" w:rsidDel="00000000" w:rsidP="00000000" w:rsidRDefault="00000000" w:rsidRPr="00000000" w14:paraId="000000AC">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AE">
            <w:pPr>
              <w:spacing w:after="240" w:before="240" w:lineRule="auto"/>
              <w:rPr/>
            </w:pPr>
            <w:r w:rsidDel="00000000" w:rsidR="00000000" w:rsidRPr="00000000">
              <w:rPr>
                <w:rtl w:val="0"/>
              </w:rPr>
              <w:t xml:space="preserve">Reflect on your visualization and communication work:</w:t>
            </w:r>
          </w:p>
          <w:p w:rsidR="00000000" w:rsidDel="00000000" w:rsidP="00000000" w:rsidRDefault="00000000" w:rsidRPr="00000000" w14:paraId="000000AF">
            <w:pPr>
              <w:numPr>
                <w:ilvl w:val="0"/>
                <w:numId w:val="9"/>
              </w:numPr>
              <w:spacing w:after="0" w:afterAutospacing="0" w:before="240" w:lineRule="auto"/>
              <w:ind w:left="720" w:hanging="360"/>
            </w:pPr>
            <w:r w:rsidDel="00000000" w:rsidR="00000000" w:rsidRPr="00000000">
              <w:rPr>
                <w:rtl w:val="0"/>
              </w:rPr>
              <w:t xml:space="preserve">How do different visualization types reveal different aspects of biodiversity patterns?</w:t>
            </w:r>
          </w:p>
          <w:p w:rsidR="00000000" w:rsidDel="00000000" w:rsidP="00000000" w:rsidRDefault="00000000" w:rsidRPr="00000000" w14:paraId="000000B0">
            <w:pPr>
              <w:numPr>
                <w:ilvl w:val="0"/>
                <w:numId w:val="9"/>
              </w:numPr>
              <w:spacing w:after="0" w:afterAutospacing="0" w:before="0" w:beforeAutospacing="0" w:lineRule="auto"/>
              <w:ind w:left="720" w:hanging="360"/>
            </w:pPr>
            <w:r w:rsidDel="00000000" w:rsidR="00000000" w:rsidRPr="00000000">
              <w:rPr>
                <w:rtl w:val="0"/>
              </w:rPr>
              <w:t xml:space="preserve">What design choices make data visualizations more effective and trustworthy?</w:t>
            </w:r>
          </w:p>
          <w:p w:rsidR="00000000" w:rsidDel="00000000" w:rsidP="00000000" w:rsidRDefault="00000000" w:rsidRPr="00000000" w14:paraId="000000B1">
            <w:pPr>
              <w:numPr>
                <w:ilvl w:val="0"/>
                <w:numId w:val="9"/>
              </w:numPr>
              <w:spacing w:after="0" w:afterAutospacing="0" w:before="0" w:beforeAutospacing="0" w:lineRule="auto"/>
              <w:ind w:left="720" w:hanging="360"/>
            </w:pPr>
            <w:r w:rsidDel="00000000" w:rsidR="00000000" w:rsidRPr="00000000">
              <w:rPr>
                <w:rtl w:val="0"/>
              </w:rPr>
              <w:t xml:space="preserve">How can data visualization support Indigenous-led conservation efforts?</w:t>
            </w:r>
          </w:p>
          <w:p w:rsidR="00000000" w:rsidDel="00000000" w:rsidP="00000000" w:rsidRDefault="00000000" w:rsidRPr="00000000" w14:paraId="000000B2">
            <w:pPr>
              <w:numPr>
                <w:ilvl w:val="0"/>
                <w:numId w:val="9"/>
              </w:numPr>
              <w:spacing w:after="0" w:afterAutospacing="0" w:before="0" w:beforeAutospacing="0" w:lineRule="auto"/>
              <w:ind w:left="720" w:hanging="360"/>
            </w:pPr>
            <w:r w:rsidDel="00000000" w:rsidR="00000000" w:rsidRPr="00000000">
              <w:rPr>
                <w:rtl w:val="0"/>
              </w:rPr>
              <w:t xml:space="preserve">What responsibilities do we have when communicating other communities' data and stories?</w:t>
            </w:r>
          </w:p>
          <w:p w:rsidR="00000000" w:rsidDel="00000000" w:rsidP="00000000" w:rsidRDefault="00000000" w:rsidRPr="00000000" w14:paraId="000000B3">
            <w:pPr>
              <w:numPr>
                <w:ilvl w:val="0"/>
                <w:numId w:val="9"/>
              </w:numPr>
              <w:spacing w:after="240" w:before="0" w:beforeAutospacing="0" w:lineRule="auto"/>
              <w:ind w:left="720" w:hanging="360"/>
            </w:pPr>
            <w:r w:rsidDel="00000000" w:rsidR="00000000" w:rsidRPr="00000000">
              <w:rPr>
                <w:rtl w:val="0"/>
              </w:rPr>
              <w:t xml:space="preserve">How might these visualization skills apply to other environmental or social issues?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b w:val="1"/>
              </w:rPr>
            </w:pPr>
            <w:r w:rsidDel="00000000" w:rsidR="00000000" w:rsidRPr="00000000">
              <w:rPr>
                <w:b w:val="1"/>
                <w:rtl w:val="0"/>
              </w:rPr>
              <w:t xml:space="preserve">Teacher Facing</w:t>
            </w:r>
          </w:p>
          <w:p w:rsidR="00000000" w:rsidDel="00000000" w:rsidP="00000000" w:rsidRDefault="00000000" w:rsidRPr="00000000" w14:paraId="000000B6">
            <w:pPr>
              <w:rPr/>
            </w:pPr>
            <w:r w:rsidDel="00000000" w:rsidR="00000000" w:rsidRPr="00000000">
              <w:rPr>
                <w:rtl w:val="0"/>
              </w:rPr>
              <w:t xml:space="preserve">Help students connect their technical skills to broader themes about environmental justice, Indigenous rights, and the power of data communication to support positive change.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7">
            <w:pPr>
              <w:rPr>
                <w:b w:val="1"/>
              </w:rPr>
            </w:pPr>
            <w:r w:rsidDel="00000000" w:rsidR="00000000" w:rsidRPr="00000000">
              <w:rPr>
                <w:b w:val="1"/>
                <w:rtl w:val="0"/>
              </w:rPr>
              <w:t xml:space="preserve">Closing Activity: Conservation Action Planning</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BB">
            <w:pPr>
              <w:numPr>
                <w:ilvl w:val="0"/>
                <w:numId w:val="1"/>
              </w:numPr>
              <w:spacing w:after="0" w:afterAutospacing="0" w:before="240" w:lineRule="auto"/>
              <w:ind w:left="720" w:hanging="360"/>
            </w:pPr>
            <w:r w:rsidDel="00000000" w:rsidR="00000000" w:rsidRPr="00000000">
              <w:rPr>
                <w:rtl w:val="0"/>
              </w:rPr>
              <w:t xml:space="preserve">Brainstorm how your data visualizations could be used to support Maijuna conservation goals</w:t>
            </w:r>
          </w:p>
          <w:p w:rsidR="00000000" w:rsidDel="00000000" w:rsidP="00000000" w:rsidRDefault="00000000" w:rsidRPr="00000000" w14:paraId="000000BC">
            <w:pPr>
              <w:numPr>
                <w:ilvl w:val="0"/>
                <w:numId w:val="1"/>
              </w:numPr>
              <w:spacing w:after="0" w:afterAutospacing="0" w:before="0" w:beforeAutospacing="0" w:lineRule="auto"/>
              <w:ind w:left="720" w:hanging="360"/>
            </w:pPr>
            <w:r w:rsidDel="00000000" w:rsidR="00000000" w:rsidRPr="00000000">
              <w:rPr>
                <w:rtl w:val="0"/>
              </w:rPr>
              <w:t xml:space="preserve">Consider other data that would strengthen the conservation story (economic data, forest cover data, etc.)</w:t>
            </w:r>
          </w:p>
          <w:p w:rsidR="00000000" w:rsidDel="00000000" w:rsidP="00000000" w:rsidRDefault="00000000" w:rsidRPr="00000000" w14:paraId="000000BD">
            <w:pPr>
              <w:numPr>
                <w:ilvl w:val="0"/>
                <w:numId w:val="1"/>
              </w:numPr>
              <w:spacing w:after="0" w:afterAutospacing="0" w:before="0" w:beforeAutospacing="0" w:lineRule="auto"/>
              <w:ind w:left="720" w:hanging="360"/>
            </w:pPr>
            <w:r w:rsidDel="00000000" w:rsidR="00000000" w:rsidRPr="00000000">
              <w:rPr>
                <w:rtl w:val="0"/>
              </w:rPr>
              <w:t xml:space="preserve">Discuss how citizen science and technology can support Indigenous-led conservation</w:t>
            </w:r>
          </w:p>
          <w:p w:rsidR="00000000" w:rsidDel="00000000" w:rsidP="00000000" w:rsidRDefault="00000000" w:rsidRPr="00000000" w14:paraId="000000BE">
            <w:pPr>
              <w:numPr>
                <w:ilvl w:val="0"/>
                <w:numId w:val="1"/>
              </w:numPr>
              <w:spacing w:after="0" w:afterAutospacing="0" w:before="0" w:beforeAutospacing="0" w:lineRule="auto"/>
              <w:ind w:left="720" w:hanging="360"/>
            </w:pPr>
            <w:r w:rsidDel="00000000" w:rsidR="00000000" w:rsidRPr="00000000">
              <w:rPr>
                <w:rtl w:val="0"/>
              </w:rPr>
              <w:t xml:space="preserve">Identify local environmental issues where similar data visualization and storytelling approaches could make a difference</w:t>
            </w:r>
          </w:p>
          <w:p w:rsidR="00000000" w:rsidDel="00000000" w:rsidP="00000000" w:rsidRDefault="00000000" w:rsidRPr="00000000" w14:paraId="000000BF">
            <w:pPr>
              <w:numPr>
                <w:ilvl w:val="0"/>
                <w:numId w:val="1"/>
              </w:numPr>
              <w:spacing w:after="240" w:before="0" w:beforeAutospacing="0" w:lineRule="auto"/>
              <w:ind w:left="720" w:hanging="360"/>
            </w:pPr>
            <w:r w:rsidDel="00000000" w:rsidR="00000000" w:rsidRPr="00000000">
              <w:rPr>
                <w:rtl w:val="0"/>
              </w:rPr>
              <w:t xml:space="preserve">Plan how you might share these conservation stories with your community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b w:val="1"/>
              </w:rPr>
            </w:pPr>
            <w:r w:rsidDel="00000000" w:rsidR="00000000" w:rsidRPr="00000000">
              <w:rPr>
                <w:b w:val="1"/>
                <w:rtl w:val="0"/>
              </w:rPr>
              <w:t xml:space="preserve">Teacher Facing</w:t>
            </w:r>
          </w:p>
          <w:p w:rsidR="00000000" w:rsidDel="00000000" w:rsidP="00000000" w:rsidRDefault="00000000" w:rsidRPr="00000000" w14:paraId="000000C2">
            <w:pPr>
              <w:rPr/>
            </w:pPr>
            <w:r w:rsidDel="00000000" w:rsidR="00000000" w:rsidRPr="00000000">
              <w:rPr>
                <w:rtl w:val="0"/>
              </w:rPr>
              <w:t xml:space="preserve">Connect the lesson to actionable steps students can take to support conservation and Indigenous rights. Encourage them to think about how their data science skills can contribute to positive environmental and social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jc w:val="left"/>
              <w:rPr/>
            </w:pPr>
            <w:r w:rsidDel="00000000" w:rsidR="00000000" w:rsidRPr="00000000">
              <w:rPr>
                <w:rtl w:val="0"/>
              </w:rPr>
              <w:t xml:space="preserve">Students can research other Indigenous-led conservation projects, create visualizations about local biodiversity or environmental issues, design citizen science projects for their community, or advocate for environmental protection using data storytelling techniques.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numPr>
                <w:ilvl w:val="0"/>
                <w:numId w:val="5"/>
              </w:numPr>
              <w:ind w:left="720" w:hanging="360"/>
            </w:pPr>
            <w:r w:rsidDel="00000000" w:rsidR="00000000" w:rsidRPr="00000000">
              <w:rPr>
                <w:rtl w:val="0"/>
              </w:rPr>
              <w:t xml:space="preserve">The Morpho Institute: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https://morphoinstitute.org</w:t>
              </w:r>
            </w:hyperlink>
            <w:r w:rsidDel="00000000" w:rsidR="00000000" w:rsidRPr="00000000">
              <w:rPr>
                <w:rtl w:val="0"/>
              </w:rPr>
            </w:r>
          </w:p>
          <w:p w:rsidR="00000000" w:rsidDel="00000000" w:rsidP="00000000" w:rsidRDefault="00000000" w:rsidRPr="00000000" w14:paraId="000000C7">
            <w:pPr>
              <w:numPr>
                <w:ilvl w:val="0"/>
                <w:numId w:val="5"/>
              </w:numPr>
              <w:ind w:left="720" w:hanging="360"/>
            </w:pPr>
            <w:r w:rsidDel="00000000" w:rsidR="00000000" w:rsidRPr="00000000">
              <w:rPr>
                <w:rtl w:val="0"/>
              </w:rPr>
              <w:t xml:space="preserve">FECONAMAI (Maijuna Federation) community-led conservation efforts</w:t>
            </w:r>
          </w:p>
          <w:p w:rsidR="00000000" w:rsidDel="00000000" w:rsidP="00000000" w:rsidRDefault="00000000" w:rsidRPr="00000000" w14:paraId="000000C8">
            <w:pPr>
              <w:numPr>
                <w:ilvl w:val="0"/>
                <w:numId w:val="5"/>
              </w:numPr>
              <w:ind w:left="720" w:hanging="360"/>
            </w:pPr>
            <w:r w:rsidDel="00000000" w:rsidR="00000000" w:rsidRPr="00000000">
              <w:rPr>
                <w:rtl w:val="0"/>
              </w:rPr>
              <w:t xml:space="preserve">Dr. Brian Griffiths research on Amazonian conservation and Indigenous communities</w:t>
            </w:r>
          </w:p>
          <w:p w:rsidR="00000000" w:rsidDel="00000000" w:rsidP="00000000" w:rsidRDefault="00000000" w:rsidRPr="00000000" w14:paraId="000000C9">
            <w:pPr>
              <w:numPr>
                <w:ilvl w:val="0"/>
                <w:numId w:val="5"/>
              </w:numPr>
              <w:ind w:left="720" w:hanging="360"/>
            </w:pPr>
            <w:r w:rsidDel="00000000" w:rsidR="00000000" w:rsidRPr="00000000">
              <w:rPr>
                <w:rtl w:val="0"/>
              </w:rPr>
              <w:t xml:space="preserve">Primary research papers on mineral lick ecology and camera trap methodology</w:t>
            </w:r>
          </w:p>
          <w:p w:rsidR="00000000" w:rsidDel="00000000" w:rsidP="00000000" w:rsidRDefault="00000000" w:rsidRPr="00000000" w14:paraId="000000CA">
            <w:pPr>
              <w:numPr>
                <w:ilvl w:val="0"/>
                <w:numId w:val="5"/>
              </w:numPr>
              <w:ind w:left="720" w:hanging="360"/>
            </w:pPr>
            <w:r w:rsidDel="00000000" w:rsidR="00000000" w:rsidRPr="00000000">
              <w:rPr>
                <w:rtl w:val="0"/>
              </w:rPr>
              <w:t xml:space="preserve">Indigenous data sovereignty and ethical research practices</w:t>
            </w:r>
          </w:p>
          <w:p w:rsidR="00000000" w:rsidDel="00000000" w:rsidP="00000000" w:rsidRDefault="00000000" w:rsidRPr="00000000" w14:paraId="000000CB">
            <w:pPr>
              <w:numPr>
                <w:ilvl w:val="0"/>
                <w:numId w:val="5"/>
              </w:numPr>
              <w:ind w:left="720" w:hanging="360"/>
            </w:pPr>
            <w:r w:rsidDel="00000000" w:rsidR="00000000" w:rsidRPr="00000000">
              <w:rPr>
                <w:rtl w:val="0"/>
              </w:rPr>
              <w:t xml:space="preserve">DataClassroom:</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CC">
            <w:pPr>
              <w:numPr>
                <w:ilvl w:val="0"/>
                <w:numId w:val="5"/>
              </w:numPr>
              <w:ind w:left="720" w:hanging="360"/>
            </w:pPr>
            <w:r w:rsidDel="00000000" w:rsidR="00000000" w:rsidRPr="00000000">
              <w:rPr>
                <w:rtl w:val="0"/>
              </w:rPr>
              <w:t xml:space="preserve">Original lesson:</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https://about.dataclassroom.com/ready-to-teach/snapshot-of-biodiversity</w:t>
              </w:r>
            </w:hyperlink>
            <w:r w:rsidDel="00000000" w:rsidR="00000000" w:rsidRPr="00000000">
              <w:rPr>
                <w:rtl w:val="0"/>
              </w:rPr>
            </w:r>
          </w:p>
        </w:tc>
      </w:tr>
    </w:tbl>
    <w:p w:rsidR="00000000" w:rsidDel="00000000" w:rsidP="00000000" w:rsidRDefault="00000000" w:rsidRPr="00000000" w14:paraId="000000CD">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bout.dataclassroom.com/ready-to-teach/snapshot-of-biodiversity" TargetMode="External"/><Relationship Id="rId10" Type="http://schemas.openxmlformats.org/officeDocument/2006/relationships/hyperlink" Target="https://about.dataclassroom.com" TargetMode="External"/><Relationship Id="rId12" Type="http://schemas.openxmlformats.org/officeDocument/2006/relationships/hyperlink" Target="https://about.dataclassroom.com/ready-to-teach/snapshot-of-biodiversity" TargetMode="External"/><Relationship Id="rId9" Type="http://schemas.openxmlformats.org/officeDocument/2006/relationships/hyperlink" Target="https://about.dataclassroom.com" TargetMode="External"/><Relationship Id="rId5" Type="http://schemas.openxmlformats.org/officeDocument/2006/relationships/styles" Target="styles.xml"/><Relationship Id="rId6" Type="http://schemas.openxmlformats.org/officeDocument/2006/relationships/hyperlink" Target="https://about.dataclassroom.com/ready-to-teach/snapshot-of-biodiversity" TargetMode="External"/><Relationship Id="rId7" Type="http://schemas.openxmlformats.org/officeDocument/2006/relationships/hyperlink" Target="https://morphoinstitute.org" TargetMode="External"/><Relationship Id="rId8" Type="http://schemas.openxmlformats.org/officeDocument/2006/relationships/hyperlink" Target="https://morpho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