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1BE0" w14:textId="5AD9E976" w:rsidR="00752E09" w:rsidRDefault="154E8E53" w:rsidP="00752E09">
      <w:pPr>
        <w:spacing w:beforeAutospacing="1" w:afterAutospacing="1"/>
        <w:jc w:val="center"/>
        <w:rPr>
          <w:rFonts w:ascii="Book Antiqua" w:eastAsia="Times New Roman" w:hAnsi="Book Antiqua" w:cs="Times New Roman"/>
          <w:b/>
          <w:bCs/>
          <w:sz w:val="18"/>
          <w:szCs w:val="18"/>
        </w:rPr>
      </w:pPr>
      <w:r>
        <w:rPr>
          <w:noProof/>
        </w:rPr>
        <w:drawing>
          <wp:inline distT="0" distB="0" distL="0" distR="0" wp14:anchorId="20BF7B2C" wp14:editId="3CD73819">
            <wp:extent cx="3257550" cy="501162"/>
            <wp:effectExtent l="0" t="0" r="0" b="0"/>
            <wp:docPr id="1364566373" name="drawing">
              <a:extLst xmlns:a="http://schemas.openxmlformats.org/drawingml/2006/main">
                <a:ext uri="{FF2B5EF4-FFF2-40B4-BE49-F238E27FC236}">
                  <a16:creationId xmlns:a16="http://schemas.microsoft.com/office/drawing/2014/main" id="{D53126A8-EF5D-415D-A43A-AEFF7581DD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66373" name="Picture 1364566373"/>
                    <pic:cNvPicPr/>
                  </pic:nvPicPr>
                  <pic:blipFill>
                    <a:blip r:embed="rId11">
                      <a:extLst>
                        <a:ext uri="{28A0092B-C50C-407E-A947-70E740481C1C}">
                          <a14:useLocalDpi xmlns:a14="http://schemas.microsoft.com/office/drawing/2010/main"/>
                        </a:ext>
                      </a:extLst>
                    </a:blip>
                    <a:stretch>
                      <a:fillRect/>
                    </a:stretch>
                  </pic:blipFill>
                  <pic:spPr>
                    <a:xfrm>
                      <a:off x="0" y="0"/>
                      <a:ext cx="3257550" cy="501162"/>
                    </a:xfrm>
                    <a:prstGeom prst="rect">
                      <a:avLst/>
                    </a:prstGeom>
                  </pic:spPr>
                </pic:pic>
              </a:graphicData>
            </a:graphic>
          </wp:inline>
        </w:drawing>
      </w:r>
    </w:p>
    <w:p w14:paraId="29D388FA" w14:textId="1586A9F0" w:rsidR="000F2C9F" w:rsidRPr="000257E9" w:rsidRDefault="0A1030E2" w:rsidP="000257E9">
      <w:pPr>
        <w:spacing w:beforeAutospacing="1" w:afterAutospacing="1"/>
        <w:jc w:val="center"/>
        <w:rPr>
          <w:b/>
          <w:sz w:val="18"/>
        </w:rPr>
      </w:pPr>
      <w:r w:rsidRPr="000257E9">
        <w:rPr>
          <w:b/>
        </w:rPr>
        <w:t>REFERRAL PROGRAM AGREEMENT</w:t>
      </w:r>
    </w:p>
    <w:p w14:paraId="4DBDF7D1" w14:textId="3706C16C" w:rsidR="009C2898" w:rsidRPr="000257E9" w:rsidRDefault="0A1030E2" w:rsidP="522AA375">
      <w:pPr>
        <w:spacing w:before="100" w:beforeAutospacing="1" w:after="100" w:afterAutospacing="1"/>
      </w:pPr>
      <w:r w:rsidRPr="000257E9">
        <w:rPr>
          <w:b/>
        </w:rPr>
        <w:t xml:space="preserve"> </w:t>
      </w:r>
    </w:p>
    <w:p w14:paraId="4872823B" w14:textId="532DE617" w:rsidR="000F2C9F" w:rsidRDefault="009C2898" w:rsidP="1DEEED2F">
      <w:pPr>
        <w:tabs>
          <w:tab w:val="center" w:pos="5121"/>
        </w:tabs>
        <w:spacing w:line="259" w:lineRule="auto"/>
      </w:pPr>
      <w:r w:rsidRPr="1DEEED2F">
        <w:t xml:space="preserve">This </w:t>
      </w:r>
      <w:r w:rsidR="006111BF">
        <w:t>Referral Program</w:t>
      </w:r>
      <w:r>
        <w:t xml:space="preserve"> </w:t>
      </w:r>
      <w:r w:rsidRPr="1DEEED2F">
        <w:t xml:space="preserve">Agreement </w:t>
      </w:r>
      <w:r>
        <w:t>(the “</w:t>
      </w:r>
      <w:r w:rsidRPr="1DEEED2F">
        <w:rPr>
          <w:i/>
          <w:iCs/>
          <w:u w:val="single"/>
        </w:rPr>
        <w:t>Agreement</w:t>
      </w:r>
      <w:r w:rsidRPr="1DEEED2F">
        <w:t>”)</w:t>
      </w:r>
      <w:r>
        <w:t xml:space="preserve"> is </w:t>
      </w:r>
      <w:r w:rsidRPr="1DEEED2F">
        <w:t xml:space="preserve">entered into as of </w:t>
      </w:r>
      <w:r w:rsidR="7853FD3B" w:rsidRPr="1DEEED2F">
        <w:t>M</w:t>
      </w:r>
      <w:r w:rsidR="4E2F4A3A" w:rsidRPr="1DEEED2F">
        <w:t>arch</w:t>
      </w:r>
      <w:r w:rsidR="3E9DBA92" w:rsidRPr="1DEEED2F">
        <w:t xml:space="preserve"> 16th</w:t>
      </w:r>
      <w:r w:rsidR="000257E9" w:rsidRPr="1DEEED2F">
        <w:t>, 20</w:t>
      </w:r>
      <w:r w:rsidR="7B46193F" w:rsidRPr="1DEEED2F">
        <w:t>26</w:t>
      </w:r>
      <w:r w:rsidR="000257E9" w:rsidRPr="1DEEED2F">
        <w:t xml:space="preserve"> </w:t>
      </w:r>
      <w:r w:rsidRPr="1DEEED2F">
        <w:t>(the “</w:t>
      </w:r>
      <w:r w:rsidRPr="1DEEED2F">
        <w:rPr>
          <w:i/>
          <w:iCs/>
          <w:u w:val="single"/>
        </w:rPr>
        <w:t>Effective Date</w:t>
      </w:r>
      <w:r w:rsidRPr="1DEEED2F">
        <w:t xml:space="preserve">”), </w:t>
      </w:r>
      <w:r>
        <w:t xml:space="preserve">between </w:t>
      </w:r>
      <w:r w:rsidRPr="1DEEED2F">
        <w:rPr>
          <w:b/>
          <w:bCs/>
        </w:rPr>
        <w:t>Dynascale Technologies, Inc.</w:t>
      </w:r>
      <w:r w:rsidRPr="1DEEED2F">
        <w:t xml:space="preserve"> (“</w:t>
      </w:r>
      <w:r w:rsidR="00964E43" w:rsidRPr="1DEEED2F">
        <w:rPr>
          <w:i/>
          <w:iCs/>
          <w:u w:val="single"/>
        </w:rPr>
        <w:t>Dynascale</w:t>
      </w:r>
      <w:r w:rsidRPr="1DEEED2F">
        <w:t xml:space="preserve">”), with offices located at 5940 S Rainbow Road, Las Vegas, NV 89119 and </w:t>
      </w:r>
      <w:r w:rsidR="002E46CB" w:rsidRPr="1DEEED2F">
        <w:rPr>
          <w:b/>
          <w:bCs/>
        </w:rPr>
        <w:t>Referral Partner</w:t>
      </w:r>
      <w:r w:rsidRPr="1DEEED2F">
        <w:t xml:space="preserve"> with offices located at </w:t>
      </w:r>
      <w:r w:rsidR="15FE633C" w:rsidRPr="48E84E4B">
        <w:rPr>
          <w:b/>
          <w:bCs/>
        </w:rPr>
        <w:t xml:space="preserve">AdvisureIQ </w:t>
      </w:r>
      <w:r w:rsidR="15FE633C" w:rsidRPr="48E84E4B">
        <w:rPr>
          <w:rFonts w:ascii="Roboto" w:eastAsia="Roboto" w:hAnsi="Roboto" w:cs="Roboto"/>
          <w:b/>
          <w:bCs/>
          <w:color w:val="1F1F1F"/>
          <w:sz w:val="21"/>
          <w:szCs w:val="21"/>
        </w:rPr>
        <w:t>2035 Corte Del Nogal suite 125, Carlsbad, CA 92011</w:t>
      </w:r>
      <w:r w:rsidR="478E9DFC">
        <w:t>.</w:t>
      </w:r>
      <w:r>
        <w:t xml:space="preserve"> </w:t>
      </w:r>
      <w:r w:rsidR="00715204">
        <w:t>Dynascale</w:t>
      </w:r>
      <w:r>
        <w:t xml:space="preserve"> and </w:t>
      </w:r>
      <w:r w:rsidR="00715204">
        <w:t xml:space="preserve">Referral </w:t>
      </w:r>
      <w:r w:rsidR="00FD7624">
        <w:t>Partner</w:t>
      </w:r>
      <w:r>
        <w:t xml:space="preserve"> </w:t>
      </w:r>
      <w:r w:rsidRPr="1DEEED2F">
        <w:t>are sometimes individually</w:t>
      </w:r>
      <w:r>
        <w:t xml:space="preserve"> referred to </w:t>
      </w:r>
      <w:r w:rsidRPr="1DEEED2F">
        <w:t xml:space="preserve">herein </w:t>
      </w:r>
      <w:r>
        <w:t>as a “Party” and collectively as the “Parties.”</w:t>
      </w:r>
    </w:p>
    <w:p w14:paraId="32AC17F5" w14:textId="77777777" w:rsidR="000846FC" w:rsidRPr="007F76B6" w:rsidRDefault="000846FC" w:rsidP="000257E9">
      <w:pPr>
        <w:tabs>
          <w:tab w:val="center" w:pos="5121"/>
        </w:tabs>
        <w:spacing w:line="259" w:lineRule="auto"/>
      </w:pPr>
    </w:p>
    <w:p w14:paraId="6FDFBB5A" w14:textId="677095C8" w:rsidR="00E919F5" w:rsidRPr="00FC3908" w:rsidRDefault="0A1030E2" w:rsidP="003F2126">
      <w:pPr>
        <w:spacing w:before="100" w:beforeAutospacing="1" w:after="100" w:afterAutospacing="1"/>
        <w:jc w:val="center"/>
        <w:rPr>
          <w:rFonts w:cstheme="minorHAnsi"/>
        </w:rPr>
      </w:pPr>
      <w:r w:rsidRPr="007F76B6">
        <w:rPr>
          <w:b/>
        </w:rPr>
        <w:t>BACKGROUND</w:t>
      </w:r>
    </w:p>
    <w:p w14:paraId="6F633E22" w14:textId="695242AC" w:rsidR="000F6FAF" w:rsidRPr="000F6FAF" w:rsidRDefault="000F6FAF" w:rsidP="000F6FAF">
      <w:pPr>
        <w:spacing w:before="100" w:beforeAutospacing="1" w:after="100" w:afterAutospacing="1"/>
        <w:rPr>
          <w:rFonts w:cstheme="minorHAnsi"/>
        </w:rPr>
      </w:pPr>
      <w:r w:rsidRPr="007F76B6">
        <w:t>Dynascale provides private cloud, hybrid infrastructure, and data center services</w:t>
      </w:r>
      <w:r w:rsidRPr="000F6FAF">
        <w:rPr>
          <w:rFonts w:cstheme="minorHAnsi"/>
        </w:rPr>
        <w:t xml:space="preserve"> (collectively, the “Dynascale Services”) to its </w:t>
      </w:r>
      <w:r w:rsidRPr="007F76B6">
        <w:t xml:space="preserve">customers. Referral Partner </w:t>
      </w:r>
      <w:r w:rsidRPr="000F6FAF">
        <w:rPr>
          <w:rFonts w:cstheme="minorHAnsi"/>
        </w:rPr>
        <w:t>desires</w:t>
      </w:r>
      <w:r w:rsidRPr="007F76B6">
        <w:t xml:space="preserve"> to promote, market</w:t>
      </w:r>
      <w:r w:rsidRPr="000F6FAF">
        <w:rPr>
          <w:rFonts w:cstheme="minorHAnsi"/>
        </w:rPr>
        <w:t>,</w:t>
      </w:r>
      <w:r w:rsidRPr="007F76B6">
        <w:t xml:space="preserve"> and advertise the Dynascale Services to </w:t>
      </w:r>
      <w:r w:rsidRPr="000F6FAF">
        <w:rPr>
          <w:rFonts w:cstheme="minorHAnsi"/>
        </w:rPr>
        <w:t xml:space="preserve">prospective </w:t>
      </w:r>
      <w:r w:rsidRPr="007F76B6">
        <w:t xml:space="preserve">customers </w:t>
      </w:r>
      <w:r w:rsidRPr="000F6FAF">
        <w:rPr>
          <w:rFonts w:cstheme="minorHAnsi"/>
        </w:rPr>
        <w:t xml:space="preserve">of Dynascale </w:t>
      </w:r>
      <w:r w:rsidRPr="007F76B6">
        <w:t xml:space="preserve">through </w:t>
      </w:r>
      <w:r w:rsidRPr="000F6FAF">
        <w:rPr>
          <w:rFonts w:cstheme="minorHAnsi"/>
        </w:rPr>
        <w:t>Referral Partner’s</w:t>
      </w:r>
      <w:r w:rsidRPr="007F76B6">
        <w:t xml:space="preserve"> website(s) and other marketing channels, in accordance with </w:t>
      </w:r>
      <w:r w:rsidRPr="000F6FAF">
        <w:rPr>
          <w:rFonts w:cstheme="minorHAnsi"/>
        </w:rPr>
        <w:t>th</w:t>
      </w:r>
      <w:r w:rsidR="008A38B5" w:rsidRPr="00FC3908">
        <w:rPr>
          <w:rFonts w:cstheme="minorHAnsi"/>
        </w:rPr>
        <w:t>is</w:t>
      </w:r>
      <w:r w:rsidR="00E61495" w:rsidRPr="00FC3908">
        <w:rPr>
          <w:rFonts w:cstheme="minorHAnsi"/>
        </w:rPr>
        <w:t xml:space="preserve"> Agreement</w:t>
      </w:r>
      <w:r w:rsidRPr="000F6FAF">
        <w:rPr>
          <w:rFonts w:cstheme="minorHAnsi"/>
        </w:rPr>
        <w:t>.</w:t>
      </w:r>
    </w:p>
    <w:p w14:paraId="6660612B" w14:textId="5E78CAA8" w:rsidR="002418B0" w:rsidRDefault="000F6FAF" w:rsidP="00FC3908">
      <w:pPr>
        <w:spacing w:before="100" w:beforeAutospacing="1" w:after="100" w:afterAutospacing="1"/>
        <w:rPr>
          <w:rFonts w:cstheme="minorHAnsi"/>
        </w:rPr>
      </w:pPr>
      <w:r w:rsidRPr="000F6FAF">
        <w:rPr>
          <w:rFonts w:cstheme="minorHAnsi"/>
        </w:rPr>
        <w:t xml:space="preserve">Accordingly, </w:t>
      </w:r>
      <w:r w:rsidRPr="007F76B6">
        <w:t xml:space="preserve">the Parties </w:t>
      </w:r>
      <w:r w:rsidRPr="000F6FAF">
        <w:rPr>
          <w:rFonts w:cstheme="minorHAnsi"/>
        </w:rPr>
        <w:t>hereby agree</w:t>
      </w:r>
      <w:r w:rsidRPr="007F76B6">
        <w:t xml:space="preserve"> to </w:t>
      </w:r>
      <w:r w:rsidR="007F76B6" w:rsidRPr="007F76B6">
        <w:t>enter</w:t>
      </w:r>
      <w:r w:rsidRPr="007F76B6">
        <w:t xml:space="preserve"> a referral relationship </w:t>
      </w:r>
      <w:r w:rsidRPr="000F6FAF">
        <w:rPr>
          <w:rFonts w:cstheme="minorHAnsi"/>
        </w:rPr>
        <w:t>pursuant to</w:t>
      </w:r>
      <w:r w:rsidRPr="007F76B6">
        <w:t xml:space="preserve"> which Referral Partner shall </w:t>
      </w:r>
      <w:r w:rsidRPr="000F6FAF">
        <w:rPr>
          <w:rFonts w:cstheme="minorHAnsi"/>
        </w:rPr>
        <w:t xml:space="preserve">identify and </w:t>
      </w:r>
      <w:r w:rsidRPr="007F76B6">
        <w:t xml:space="preserve">refer </w:t>
      </w:r>
      <w:r w:rsidRPr="000F6FAF">
        <w:rPr>
          <w:rFonts w:cstheme="minorHAnsi"/>
        </w:rPr>
        <w:t>prospective new customers to Dynascale (each, a “New Customer”), and Dynascale shall pay Referral Partner a commission for qualifying referrals, in each case subject to the terms and conditions of this Agreement.</w:t>
      </w:r>
    </w:p>
    <w:p w14:paraId="2F58C836" w14:textId="5FF0A6C1" w:rsidR="00CA5342" w:rsidRPr="000C6687" w:rsidRDefault="0A1030E2" w:rsidP="001362C3">
      <w:pPr>
        <w:pStyle w:val="ListParagraph"/>
        <w:numPr>
          <w:ilvl w:val="3"/>
          <w:numId w:val="4"/>
        </w:numPr>
        <w:spacing w:before="100" w:beforeAutospacing="1" w:after="100" w:afterAutospacing="1"/>
        <w:ind w:left="540" w:hanging="540"/>
        <w:rPr>
          <w:rFonts w:eastAsia="Times New Roman" w:cstheme="minorHAnsi"/>
          <w:b/>
          <w:bCs/>
        </w:rPr>
      </w:pPr>
      <w:r w:rsidRPr="007F76B6">
        <w:rPr>
          <w:b/>
        </w:rPr>
        <w:t>DEFINITIONS.</w:t>
      </w:r>
    </w:p>
    <w:p w14:paraId="0D4CE2A7" w14:textId="77777777" w:rsidR="002418B0" w:rsidRPr="00CA5342" w:rsidRDefault="002418B0" w:rsidP="002418B0">
      <w:pPr>
        <w:pStyle w:val="ListParagraph"/>
        <w:spacing w:before="100" w:beforeAutospacing="1" w:after="100" w:afterAutospacing="1"/>
        <w:ind w:left="360"/>
        <w:rPr>
          <w:rFonts w:eastAsia="Times New Roman" w:cstheme="minorHAnsi"/>
        </w:rPr>
      </w:pPr>
    </w:p>
    <w:p w14:paraId="603BEDE2" w14:textId="60421C50" w:rsidR="003E2B5C" w:rsidRPr="007F76B6" w:rsidRDefault="0A1030E2" w:rsidP="007F76B6">
      <w:pPr>
        <w:pStyle w:val="ListParagraph"/>
        <w:numPr>
          <w:ilvl w:val="0"/>
          <w:numId w:val="10"/>
        </w:numPr>
        <w:spacing w:before="100" w:beforeAutospacing="1" w:after="100" w:afterAutospacing="1"/>
        <w:ind w:left="1080" w:hanging="540"/>
      </w:pPr>
      <w:r w:rsidRPr="007F76B6">
        <w:rPr>
          <w:b/>
        </w:rPr>
        <w:t>“Commission”</w:t>
      </w:r>
      <w:r w:rsidRPr="007F76B6">
        <w:t xml:space="preserve"> </w:t>
      </w:r>
      <w:r w:rsidR="00F72896" w:rsidRPr="00CA5342">
        <w:rPr>
          <w:rFonts w:eastAsia="Times New Roman" w:cstheme="minorHAnsi"/>
        </w:rPr>
        <w:t>shall mean</w:t>
      </w:r>
      <w:r w:rsidR="00F72896" w:rsidRPr="007F76B6">
        <w:t xml:space="preserve"> the compensation </w:t>
      </w:r>
      <w:r w:rsidR="00F72896" w:rsidRPr="00CA5342">
        <w:rPr>
          <w:rFonts w:eastAsia="Times New Roman" w:cstheme="minorHAnsi"/>
        </w:rPr>
        <w:t>payable by</w:t>
      </w:r>
      <w:r w:rsidR="00F72896" w:rsidRPr="007F76B6">
        <w:t xml:space="preserve"> Dynascale </w:t>
      </w:r>
      <w:r w:rsidR="00F72896" w:rsidRPr="00CA5342">
        <w:rPr>
          <w:rFonts w:eastAsia="Times New Roman" w:cstheme="minorHAnsi"/>
        </w:rPr>
        <w:t>to</w:t>
      </w:r>
      <w:r w:rsidR="00F72896" w:rsidRPr="007F76B6">
        <w:t xml:space="preserve"> a Referral Partner </w:t>
      </w:r>
      <w:r w:rsidR="00F72896" w:rsidRPr="00CA5342">
        <w:rPr>
          <w:rFonts w:eastAsia="Times New Roman" w:cstheme="minorHAnsi"/>
        </w:rPr>
        <w:t>for referring</w:t>
      </w:r>
      <w:r w:rsidR="00F72896" w:rsidRPr="007F76B6">
        <w:t xml:space="preserve"> a New Customer</w:t>
      </w:r>
      <w:r w:rsidR="00F72896" w:rsidRPr="00CA5342">
        <w:rPr>
          <w:rFonts w:eastAsia="Times New Roman" w:cstheme="minorHAnsi"/>
        </w:rPr>
        <w:t>,</w:t>
      </w:r>
      <w:r w:rsidR="00F72896" w:rsidRPr="007F76B6">
        <w:t xml:space="preserve"> as </w:t>
      </w:r>
      <w:r w:rsidR="00F72896" w:rsidRPr="00CA5342">
        <w:rPr>
          <w:rFonts w:eastAsia="Times New Roman" w:cstheme="minorHAnsi"/>
        </w:rPr>
        <w:t>set forth in this Agreement.</w:t>
      </w:r>
    </w:p>
    <w:p w14:paraId="0E25E852" w14:textId="3AF919B6" w:rsidR="00C17503" w:rsidRPr="003E2B5C" w:rsidRDefault="0A1030E2" w:rsidP="000D16BF">
      <w:pPr>
        <w:pStyle w:val="ListParagraph"/>
        <w:numPr>
          <w:ilvl w:val="0"/>
          <w:numId w:val="10"/>
        </w:numPr>
        <w:spacing w:before="100" w:beforeAutospacing="1" w:after="100" w:afterAutospacing="1"/>
        <w:ind w:left="1080" w:hanging="540"/>
        <w:rPr>
          <w:rFonts w:eastAsia="Times New Roman" w:cstheme="minorHAnsi"/>
        </w:rPr>
      </w:pPr>
      <w:r w:rsidRPr="007F76B6">
        <w:rPr>
          <w:b/>
        </w:rPr>
        <w:t>“Confidential Information”</w:t>
      </w:r>
      <w:r w:rsidRPr="007F76B6">
        <w:t xml:space="preserve"> </w:t>
      </w:r>
      <w:r w:rsidR="00614CF4" w:rsidRPr="003E2B5C">
        <w:rPr>
          <w:rFonts w:eastAsia="Times New Roman" w:cstheme="minorHAnsi"/>
        </w:rPr>
        <w:t>shall mean</w:t>
      </w:r>
      <w:r w:rsidR="00614CF4" w:rsidRPr="007F76B6">
        <w:t xml:space="preserve"> all proprietary </w:t>
      </w:r>
      <w:r w:rsidR="00614CF4" w:rsidRPr="003E2B5C">
        <w:rPr>
          <w:rFonts w:eastAsia="Times New Roman" w:cstheme="minorHAnsi"/>
        </w:rPr>
        <w:t xml:space="preserve">or non-public </w:t>
      </w:r>
      <w:r w:rsidR="00614CF4" w:rsidRPr="007F76B6">
        <w:t xml:space="preserve">information disclosed by </w:t>
      </w:r>
      <w:r w:rsidR="00614CF4" w:rsidRPr="003E2B5C">
        <w:rPr>
          <w:rFonts w:eastAsia="Times New Roman" w:cstheme="minorHAnsi"/>
        </w:rPr>
        <w:t>either Party</w:t>
      </w:r>
      <w:r w:rsidR="00614CF4" w:rsidRPr="007F76B6">
        <w:t xml:space="preserve"> to the other, whether </w:t>
      </w:r>
      <w:r w:rsidR="00614CF4" w:rsidRPr="003E2B5C">
        <w:rPr>
          <w:rFonts w:eastAsia="Times New Roman" w:cstheme="minorHAnsi"/>
        </w:rPr>
        <w:t xml:space="preserve">orally, visually, or in writing, </w:t>
      </w:r>
      <w:r w:rsidR="00614CF4" w:rsidRPr="007F76B6">
        <w:t xml:space="preserve">before or after the Effective Date, that </w:t>
      </w:r>
      <w:r w:rsidR="00614CF4" w:rsidRPr="003E2B5C">
        <w:rPr>
          <w:rFonts w:eastAsia="Times New Roman" w:cstheme="minorHAnsi"/>
        </w:rPr>
        <w:t>a reasonable person would</w:t>
      </w:r>
      <w:r w:rsidR="00614CF4" w:rsidRPr="007F76B6">
        <w:t xml:space="preserve"> understand to be confidential</w:t>
      </w:r>
      <w:r w:rsidR="00614CF4" w:rsidRPr="003E2B5C">
        <w:rPr>
          <w:rFonts w:eastAsia="Times New Roman" w:cstheme="minorHAnsi"/>
        </w:rPr>
        <w:t xml:space="preserve"> under the circumstances of disclosure.</w:t>
      </w:r>
      <w:r w:rsidR="00614CF4" w:rsidRPr="007F76B6">
        <w:t xml:space="preserve"> Confidential Information shall not </w:t>
      </w:r>
      <w:r w:rsidR="00614CF4" w:rsidRPr="003E2B5C">
        <w:rPr>
          <w:rFonts w:eastAsia="Times New Roman" w:cstheme="minorHAnsi"/>
        </w:rPr>
        <w:t>include</w:t>
      </w:r>
      <w:r w:rsidR="00614CF4" w:rsidRPr="007F76B6">
        <w:t xml:space="preserve"> information </w:t>
      </w:r>
      <w:r w:rsidR="00614CF4" w:rsidRPr="003E2B5C">
        <w:rPr>
          <w:rFonts w:eastAsia="Times New Roman" w:cstheme="minorHAnsi"/>
        </w:rPr>
        <w:t>that:</w:t>
      </w:r>
    </w:p>
    <w:p w14:paraId="508C20F9" w14:textId="77777777" w:rsidR="003E2B5C" w:rsidRDefault="00614CF4" w:rsidP="00667510">
      <w:pPr>
        <w:pStyle w:val="ListParagraph"/>
        <w:numPr>
          <w:ilvl w:val="1"/>
          <w:numId w:val="10"/>
        </w:numPr>
        <w:spacing w:before="100" w:beforeAutospacing="1" w:after="100" w:afterAutospacing="1"/>
        <w:ind w:left="1620" w:hanging="540"/>
        <w:rPr>
          <w:rFonts w:eastAsia="Times New Roman" w:cstheme="minorHAnsi"/>
        </w:rPr>
      </w:pPr>
      <w:r w:rsidRPr="00FC3908">
        <w:rPr>
          <w:rFonts w:eastAsia="Times New Roman" w:cstheme="minorHAnsi"/>
        </w:rPr>
        <w:t>is or becomes generally available to the public through no breach of this Agreement or violation of law by the receiving Party; or</w:t>
      </w:r>
    </w:p>
    <w:p w14:paraId="3ADA9005" w14:textId="77777777" w:rsidR="003E2B5C" w:rsidRDefault="00614CF4" w:rsidP="00667510">
      <w:pPr>
        <w:pStyle w:val="ListParagraph"/>
        <w:numPr>
          <w:ilvl w:val="1"/>
          <w:numId w:val="10"/>
        </w:numPr>
        <w:spacing w:before="100" w:beforeAutospacing="1" w:after="100" w:afterAutospacing="1"/>
        <w:ind w:left="1620" w:hanging="540"/>
        <w:rPr>
          <w:rFonts w:eastAsia="Times New Roman" w:cstheme="minorHAnsi"/>
        </w:rPr>
      </w:pPr>
      <w:r w:rsidRPr="00FC3908">
        <w:rPr>
          <w:rFonts w:eastAsia="Times New Roman" w:cstheme="minorHAnsi"/>
        </w:rPr>
        <w:t>is independently developed by the receiving Party without reference to or use of the disclosing Party’s Confidential Information; or</w:t>
      </w:r>
    </w:p>
    <w:p w14:paraId="59617914" w14:textId="77777777" w:rsidR="00772E0B" w:rsidRDefault="00614CF4" w:rsidP="00667510">
      <w:pPr>
        <w:pStyle w:val="ListParagraph"/>
        <w:numPr>
          <w:ilvl w:val="1"/>
          <w:numId w:val="10"/>
        </w:numPr>
        <w:spacing w:before="100" w:beforeAutospacing="1" w:after="100" w:afterAutospacing="1"/>
        <w:ind w:left="1620" w:hanging="540"/>
        <w:rPr>
          <w:rFonts w:eastAsia="Times New Roman" w:cstheme="minorHAnsi"/>
        </w:rPr>
      </w:pPr>
      <w:r w:rsidRPr="00FC3908">
        <w:rPr>
          <w:rFonts w:eastAsia="Times New Roman" w:cstheme="minorHAnsi"/>
        </w:rPr>
        <w:t>is rightfully obtained by the receiving Party from a third party without restriction and without breach of any obligation of confidentiality.</w:t>
      </w:r>
    </w:p>
    <w:p w14:paraId="3A24781B" w14:textId="6AF07A40" w:rsidR="000F2C9F" w:rsidRPr="00772E0B" w:rsidRDefault="0A1030E2" w:rsidP="00C53ABB">
      <w:pPr>
        <w:pStyle w:val="ListParagraph"/>
        <w:numPr>
          <w:ilvl w:val="0"/>
          <w:numId w:val="10"/>
        </w:numPr>
        <w:spacing w:before="100" w:beforeAutospacing="1" w:after="100" w:afterAutospacing="1"/>
        <w:ind w:left="1080" w:hanging="540"/>
        <w:rPr>
          <w:rFonts w:eastAsia="Times New Roman" w:cstheme="minorHAnsi"/>
        </w:rPr>
      </w:pPr>
      <w:r w:rsidRPr="00422885">
        <w:rPr>
          <w:rFonts w:eastAsia="Times New Roman" w:cstheme="minorHAnsi"/>
          <w:b/>
          <w:bCs/>
        </w:rPr>
        <w:lastRenderedPageBreak/>
        <w:t>“Effective Date”</w:t>
      </w:r>
      <w:r w:rsidRPr="00772E0B">
        <w:rPr>
          <w:rFonts w:eastAsia="Times New Roman" w:cstheme="minorHAnsi"/>
        </w:rPr>
        <w:t xml:space="preserve"> </w:t>
      </w:r>
      <w:r w:rsidR="00EB4E68" w:rsidRPr="00772E0B">
        <w:rPr>
          <w:rFonts w:eastAsia="Times New Roman" w:cstheme="minorHAnsi"/>
        </w:rPr>
        <w:t>means the date on which the Referral Partner executes this</w:t>
      </w:r>
      <w:r w:rsidR="00772E0B">
        <w:rPr>
          <w:rFonts w:eastAsia="Times New Roman" w:cstheme="minorHAnsi"/>
        </w:rPr>
        <w:t xml:space="preserve"> </w:t>
      </w:r>
      <w:r w:rsidR="00EB4E68" w:rsidRPr="00772E0B">
        <w:rPr>
          <w:rFonts w:eastAsia="Times New Roman" w:cstheme="minorHAnsi"/>
        </w:rPr>
        <w:t>Agreement, thereby accepting its terms and conditions.</w:t>
      </w:r>
    </w:p>
    <w:p w14:paraId="24208644" w14:textId="6A9DA9E9" w:rsidR="000F2C9F" w:rsidRPr="00FC3908" w:rsidRDefault="0A1030E2" w:rsidP="00C53ABB">
      <w:pPr>
        <w:pStyle w:val="ListParagraph"/>
        <w:numPr>
          <w:ilvl w:val="0"/>
          <w:numId w:val="10"/>
        </w:numPr>
        <w:spacing w:before="100" w:beforeAutospacing="1" w:after="100" w:afterAutospacing="1"/>
        <w:ind w:left="1080" w:hanging="540"/>
        <w:rPr>
          <w:rFonts w:eastAsia="Times New Roman" w:cstheme="minorHAnsi"/>
        </w:rPr>
      </w:pPr>
      <w:r w:rsidRPr="00422885">
        <w:rPr>
          <w:rFonts w:eastAsia="Times New Roman" w:cstheme="minorHAnsi"/>
          <w:b/>
          <w:bCs/>
        </w:rPr>
        <w:t>“Hosting Services”</w:t>
      </w:r>
      <w:r w:rsidRPr="00FC3908">
        <w:rPr>
          <w:rFonts w:eastAsia="Times New Roman" w:cstheme="minorHAnsi"/>
        </w:rPr>
        <w:t xml:space="preserve"> </w:t>
      </w:r>
      <w:r w:rsidR="00057D53" w:rsidRPr="00FC3908">
        <w:rPr>
          <w:rFonts w:eastAsia="Times New Roman" w:cstheme="minorHAnsi"/>
        </w:rPr>
        <w:t>shall mean all services provided by Dynascale to its customers, as commercially offered and described in the Referral Program, and as may be updated or modified from time to time by Dynascale in its sole discretion</w:t>
      </w:r>
    </w:p>
    <w:p w14:paraId="0ECBAC1B" w14:textId="37C6A91A" w:rsidR="000F2C9F" w:rsidRPr="007F76B6" w:rsidRDefault="0A1030E2" w:rsidP="007F76B6">
      <w:pPr>
        <w:pStyle w:val="ListParagraph"/>
        <w:numPr>
          <w:ilvl w:val="0"/>
          <w:numId w:val="10"/>
        </w:numPr>
        <w:spacing w:before="120"/>
        <w:ind w:left="1080" w:hanging="540"/>
        <w:jc w:val="both"/>
      </w:pPr>
      <w:r w:rsidRPr="00422885">
        <w:rPr>
          <w:rFonts w:eastAsia="Times New Roman" w:cstheme="minorHAnsi"/>
          <w:b/>
          <w:bCs/>
        </w:rPr>
        <w:t>“Lead”</w:t>
      </w:r>
      <w:r w:rsidRPr="00FC3908">
        <w:rPr>
          <w:rFonts w:eastAsia="Times New Roman" w:cstheme="minorHAnsi"/>
          <w:b/>
          <w:bCs/>
        </w:rPr>
        <w:t xml:space="preserve"> </w:t>
      </w:r>
      <w:r w:rsidR="003E7654" w:rsidRPr="00FC3908">
        <w:rPr>
          <w:rFonts w:eastAsia="Times New Roman" w:cstheme="minorHAnsi"/>
        </w:rPr>
        <w:t>shall mean any prospective customer approved by Dynascale that is referred by the Referral Partner and properly registered with Dynascale through submission of all required information via</w:t>
      </w:r>
      <w:r w:rsidR="003E7654" w:rsidRPr="007F76B6">
        <w:t xml:space="preserve"> the Lead Registration landing page or by </w:t>
      </w:r>
      <w:r w:rsidR="003E7654" w:rsidRPr="00FC3908">
        <w:rPr>
          <w:rFonts w:eastAsia="Times New Roman" w:cstheme="minorHAnsi"/>
        </w:rPr>
        <w:t xml:space="preserve">direct email to the Referral Partner’s designated Dynascale </w:t>
      </w:r>
      <w:r w:rsidR="003E7654" w:rsidRPr="007F76B6">
        <w:t>sales representative.</w:t>
      </w:r>
    </w:p>
    <w:p w14:paraId="369653A3" w14:textId="09234AB7" w:rsidR="000F2C9F" w:rsidRPr="007F76B6" w:rsidRDefault="0A1030E2" w:rsidP="007F76B6">
      <w:pPr>
        <w:pStyle w:val="ListParagraph"/>
        <w:numPr>
          <w:ilvl w:val="0"/>
          <w:numId w:val="10"/>
        </w:numPr>
        <w:spacing w:before="100" w:beforeAutospacing="1" w:after="100" w:afterAutospacing="1"/>
        <w:ind w:left="1080" w:hanging="540"/>
      </w:pPr>
      <w:r w:rsidRPr="007F76B6">
        <w:rPr>
          <w:b/>
        </w:rPr>
        <w:t>“Marks”</w:t>
      </w:r>
      <w:r w:rsidRPr="007F76B6">
        <w:t xml:space="preserve"> </w:t>
      </w:r>
      <w:r w:rsidR="006F16DE" w:rsidRPr="00FC3908">
        <w:rPr>
          <w:rFonts w:eastAsia="Times New Roman" w:cstheme="minorHAnsi"/>
        </w:rPr>
        <w:t xml:space="preserve">shall mean all of a Party’s proprietary identifiers, including, without limitation, its </w:t>
      </w:r>
      <w:r w:rsidR="006F16DE" w:rsidRPr="007F76B6">
        <w:t xml:space="preserve">names, logos, trademarks, </w:t>
      </w:r>
      <w:r w:rsidR="006F16DE" w:rsidRPr="00FC3908">
        <w:rPr>
          <w:rFonts w:eastAsia="Times New Roman" w:cstheme="minorHAnsi"/>
        </w:rPr>
        <w:t xml:space="preserve">service marks, </w:t>
      </w:r>
      <w:r w:rsidR="006F16DE" w:rsidRPr="007F76B6">
        <w:t>trade names, domain names, URLs</w:t>
      </w:r>
      <w:r w:rsidR="006F16DE" w:rsidRPr="00FC3908">
        <w:rPr>
          <w:rFonts w:eastAsia="Times New Roman" w:cstheme="minorHAnsi"/>
        </w:rPr>
        <w:t>,</w:t>
      </w:r>
      <w:r w:rsidR="006F16DE" w:rsidRPr="007F76B6">
        <w:t xml:space="preserve"> and </w:t>
      </w:r>
      <w:r w:rsidR="006F16DE" w:rsidRPr="00FC3908">
        <w:rPr>
          <w:rFonts w:eastAsia="Times New Roman" w:cstheme="minorHAnsi"/>
        </w:rPr>
        <w:t xml:space="preserve">any </w:t>
      </w:r>
      <w:r w:rsidR="006F16DE" w:rsidRPr="007F76B6">
        <w:t xml:space="preserve">other </w:t>
      </w:r>
      <w:r w:rsidR="006F16DE" w:rsidRPr="00FC3908">
        <w:rPr>
          <w:rFonts w:eastAsia="Times New Roman" w:cstheme="minorHAnsi"/>
        </w:rPr>
        <w:t>distinctive</w:t>
      </w:r>
      <w:r w:rsidR="006F16DE" w:rsidRPr="007F76B6">
        <w:t xml:space="preserve"> indicia</w:t>
      </w:r>
      <w:r w:rsidR="006F16DE" w:rsidRPr="00FC3908">
        <w:rPr>
          <w:rFonts w:eastAsia="Times New Roman" w:cstheme="minorHAnsi"/>
        </w:rPr>
        <w:t xml:space="preserve"> used to identify or distinguish the Party.</w:t>
      </w:r>
    </w:p>
    <w:p w14:paraId="40136729" w14:textId="2F30C236" w:rsidR="000F2C9F" w:rsidRPr="00FC3908" w:rsidRDefault="0A1030E2" w:rsidP="00C53ABB">
      <w:pPr>
        <w:pStyle w:val="ListParagraph"/>
        <w:numPr>
          <w:ilvl w:val="0"/>
          <w:numId w:val="10"/>
        </w:numPr>
        <w:spacing w:before="100" w:beforeAutospacing="1" w:after="100" w:afterAutospacing="1"/>
        <w:ind w:left="1080" w:hanging="540"/>
        <w:rPr>
          <w:rFonts w:eastAsia="Times New Roman" w:cstheme="minorHAnsi"/>
        </w:rPr>
      </w:pPr>
      <w:r w:rsidRPr="007F76B6">
        <w:rPr>
          <w:b/>
        </w:rPr>
        <w:t>“New Contract”</w:t>
      </w:r>
      <w:r w:rsidRPr="007F76B6">
        <w:t xml:space="preserve"> </w:t>
      </w:r>
      <w:r w:rsidR="00923791" w:rsidRPr="00FC3908">
        <w:rPr>
          <w:rFonts w:eastAsia="Times New Roman" w:cstheme="minorHAnsi"/>
        </w:rPr>
        <w:t xml:space="preserve">shall mean any written or electronic agreement executed between Dynascale and </w:t>
      </w:r>
      <w:r w:rsidR="00923791" w:rsidRPr="007F76B6">
        <w:t xml:space="preserve">a New Customer under which </w:t>
      </w:r>
      <w:r w:rsidR="00923791" w:rsidRPr="00FC3908">
        <w:rPr>
          <w:rFonts w:eastAsia="Times New Roman" w:cstheme="minorHAnsi"/>
        </w:rPr>
        <w:t>Dynascale agrees to provide Dynascale Services, as defined herein.</w:t>
      </w:r>
    </w:p>
    <w:p w14:paraId="26E8DABD" w14:textId="4F98FFC5" w:rsidR="00AD60DC" w:rsidRPr="00FC3908" w:rsidRDefault="0A1030E2" w:rsidP="00C53ABB">
      <w:pPr>
        <w:pStyle w:val="ListParagraph"/>
        <w:numPr>
          <w:ilvl w:val="0"/>
          <w:numId w:val="10"/>
        </w:numPr>
        <w:spacing w:before="100" w:beforeAutospacing="1" w:after="100" w:afterAutospacing="1"/>
        <w:ind w:left="1080" w:hanging="540"/>
        <w:rPr>
          <w:rFonts w:eastAsia="Times New Roman" w:cstheme="minorHAnsi"/>
          <w:i/>
          <w:iCs/>
        </w:rPr>
      </w:pPr>
      <w:r w:rsidRPr="00422885">
        <w:rPr>
          <w:rFonts w:eastAsia="Times New Roman" w:cstheme="minorHAnsi"/>
          <w:b/>
          <w:bCs/>
        </w:rPr>
        <w:t>“New Customer”</w:t>
      </w:r>
      <w:r w:rsidRPr="00FC3908">
        <w:rPr>
          <w:rFonts w:eastAsia="Times New Roman" w:cstheme="minorHAnsi"/>
        </w:rPr>
        <w:t xml:space="preserve"> </w:t>
      </w:r>
      <w:r w:rsidR="003F5473" w:rsidRPr="00FC3908">
        <w:rPr>
          <w:rFonts w:eastAsia="Times New Roman" w:cstheme="minorHAnsi"/>
        </w:rPr>
        <w:t xml:space="preserve">shall mean any Lead who, at the time of registration, is not a current user of the Dynascale Services and who is subsequently approved by Dynascale, in its sole discretion, pursuant to the terms and benefits of the Referral Program as set forth </w:t>
      </w:r>
      <w:r w:rsidR="007F76B6">
        <w:rPr>
          <w:rFonts w:eastAsia="Times New Roman" w:cstheme="minorHAnsi"/>
        </w:rPr>
        <w:t>in the Dynascale website</w:t>
      </w:r>
    </w:p>
    <w:p w14:paraId="3E7A3DED" w14:textId="007F8C8D" w:rsidR="000F2C9F" w:rsidRPr="00FC3908" w:rsidRDefault="76A7A31B" w:rsidP="00C53ABB">
      <w:pPr>
        <w:pStyle w:val="ListParagraph"/>
        <w:numPr>
          <w:ilvl w:val="0"/>
          <w:numId w:val="10"/>
        </w:numPr>
        <w:spacing w:before="100" w:beforeAutospacing="1" w:after="100" w:afterAutospacing="1"/>
        <w:ind w:left="1080" w:hanging="540"/>
        <w:rPr>
          <w:rFonts w:eastAsia="Times New Roman"/>
        </w:rPr>
      </w:pPr>
      <w:r w:rsidRPr="48E84E4B">
        <w:rPr>
          <w:rFonts w:eastAsia="Times New Roman"/>
          <w:b/>
          <w:bCs/>
        </w:rPr>
        <w:t xml:space="preserve">The </w:t>
      </w:r>
      <w:r w:rsidR="0A1030E2" w:rsidRPr="48E84E4B">
        <w:rPr>
          <w:rFonts w:eastAsia="Times New Roman"/>
          <w:b/>
        </w:rPr>
        <w:t>“Referral Partner”</w:t>
      </w:r>
      <w:r w:rsidR="0A1030E2" w:rsidRPr="48E84E4B">
        <w:rPr>
          <w:rFonts w:eastAsia="Times New Roman"/>
        </w:rPr>
        <w:t xml:space="preserve"> </w:t>
      </w:r>
      <w:r w:rsidR="003431C5" w:rsidRPr="48E84E4B">
        <w:rPr>
          <w:rFonts w:eastAsia="Times New Roman"/>
        </w:rPr>
        <w:t>shall mean any person or entity that participates in the Referral Program and refers Leads and New Customers to Dynascale pursuant to the terms of this Agreement.</w:t>
      </w:r>
      <w:r w:rsidR="0A1030E2" w:rsidRPr="48E84E4B">
        <w:rPr>
          <w:rFonts w:eastAsia="Times New Roman"/>
        </w:rPr>
        <w:t xml:space="preserve"> </w:t>
      </w:r>
    </w:p>
    <w:p w14:paraId="72A67F37" w14:textId="28A2C903" w:rsidR="000F2C9F" w:rsidRPr="00FC3908" w:rsidRDefault="0A1030E2" w:rsidP="00C53ABB">
      <w:pPr>
        <w:pStyle w:val="ListParagraph"/>
        <w:numPr>
          <w:ilvl w:val="0"/>
          <w:numId w:val="10"/>
        </w:numPr>
        <w:spacing w:before="100" w:beforeAutospacing="1" w:after="100" w:afterAutospacing="1"/>
        <w:ind w:left="1080" w:hanging="540"/>
        <w:rPr>
          <w:rFonts w:eastAsia="Times New Roman" w:cstheme="minorHAnsi"/>
          <w:i/>
          <w:iCs/>
        </w:rPr>
      </w:pPr>
      <w:r w:rsidRPr="00422885">
        <w:rPr>
          <w:rFonts w:eastAsia="Times New Roman" w:cstheme="minorHAnsi"/>
          <w:b/>
          <w:bCs/>
        </w:rPr>
        <w:t xml:space="preserve">“Referral Partner Portal” </w:t>
      </w:r>
      <w:r w:rsidR="002D78AA" w:rsidRPr="00FC3908">
        <w:rPr>
          <w:rFonts w:eastAsia="Times New Roman" w:cstheme="minorHAnsi"/>
        </w:rPr>
        <w:t xml:space="preserve">shall mean the online platform provided by Dynascale for use by the Referral Partner to </w:t>
      </w:r>
      <w:r w:rsidR="007F76B6">
        <w:rPr>
          <w:rFonts w:eastAsia="Times New Roman" w:cstheme="minorHAnsi"/>
        </w:rPr>
        <w:t>register</w:t>
      </w:r>
      <w:r w:rsidR="002D78AA" w:rsidRPr="00FC3908">
        <w:rPr>
          <w:rFonts w:eastAsia="Times New Roman" w:cstheme="minorHAnsi"/>
        </w:rPr>
        <w:t xml:space="preserve"> New Customers and obtain information concerning the Referral Program, as may be updated from time to time, currently accessible at [insert hyperlink].</w:t>
      </w:r>
    </w:p>
    <w:p w14:paraId="037BE5A4" w14:textId="642483F0" w:rsidR="008835EB" w:rsidRPr="007F76B6" w:rsidRDefault="0A1030E2" w:rsidP="007F76B6">
      <w:pPr>
        <w:pStyle w:val="ListParagraph"/>
        <w:numPr>
          <w:ilvl w:val="0"/>
          <w:numId w:val="10"/>
        </w:numPr>
        <w:spacing w:before="100" w:beforeAutospacing="1" w:after="100" w:afterAutospacing="1"/>
        <w:ind w:left="1080" w:hanging="540"/>
      </w:pPr>
      <w:bookmarkStart w:id="0" w:name="_Int_2ANfgbjb"/>
      <w:r w:rsidRPr="00422885">
        <w:rPr>
          <w:rFonts w:eastAsia="Times New Roman" w:cstheme="minorHAnsi"/>
          <w:b/>
          <w:bCs/>
        </w:rPr>
        <w:t>“Referral</w:t>
      </w:r>
      <w:bookmarkEnd w:id="0"/>
      <w:r w:rsidRPr="00422885">
        <w:rPr>
          <w:rFonts w:eastAsia="Times New Roman" w:cstheme="minorHAnsi"/>
          <w:b/>
          <w:bCs/>
        </w:rPr>
        <w:t xml:space="preserve"> Program”</w:t>
      </w:r>
      <w:r w:rsidRPr="00FC3908">
        <w:rPr>
          <w:rFonts w:eastAsia="Times New Roman" w:cstheme="minorHAnsi"/>
          <w:b/>
          <w:bCs/>
        </w:rPr>
        <w:t xml:space="preserve"> </w:t>
      </w:r>
      <w:r w:rsidR="003E37E9" w:rsidRPr="00FC3908">
        <w:rPr>
          <w:rFonts w:eastAsia="Times New Roman" w:cstheme="minorHAnsi"/>
        </w:rPr>
        <w:t xml:space="preserve">shall mean the program administered by Dynascale under which the Referral Partner is authorized to </w:t>
      </w:r>
      <w:r w:rsidR="003E37E9" w:rsidRPr="007F76B6">
        <w:t xml:space="preserve">refer potential New Customers to Dynascale in </w:t>
      </w:r>
      <w:r w:rsidR="003E37E9" w:rsidRPr="00FC3908">
        <w:rPr>
          <w:rFonts w:eastAsia="Times New Roman" w:cstheme="minorHAnsi"/>
        </w:rPr>
        <w:t>consideration</w:t>
      </w:r>
      <w:r w:rsidR="003E37E9" w:rsidRPr="007F76B6">
        <w:t xml:space="preserve"> for </w:t>
      </w:r>
      <w:r w:rsidR="003E37E9" w:rsidRPr="00FC3908">
        <w:rPr>
          <w:rFonts w:eastAsia="Times New Roman" w:cstheme="minorHAnsi"/>
        </w:rPr>
        <w:t xml:space="preserve">the payment of </w:t>
      </w:r>
      <w:r w:rsidR="003E37E9" w:rsidRPr="007F76B6">
        <w:t>a Commission</w:t>
      </w:r>
      <w:r w:rsidR="003E37E9" w:rsidRPr="00FC3908">
        <w:rPr>
          <w:rFonts w:eastAsia="Times New Roman" w:cstheme="minorHAnsi"/>
        </w:rPr>
        <w:t>, as further described</w:t>
      </w:r>
      <w:r w:rsidR="003E37E9" w:rsidRPr="00A7336C">
        <w:t xml:space="preserve"> </w:t>
      </w:r>
      <w:r w:rsidR="007F76B6">
        <w:t>on the Dynascale website</w:t>
      </w:r>
      <w:r w:rsidR="00DA5EDD">
        <w:t xml:space="preserve"> (www.dynascale.com</w:t>
      </w:r>
      <w:r w:rsidR="00660A59">
        <w:t>/</w:t>
      </w:r>
      <w:r w:rsidR="00DA5EDD">
        <w:t>)</w:t>
      </w:r>
      <w:r w:rsidR="003E37E9" w:rsidRPr="00D977F7">
        <w:rPr>
          <w:rFonts w:eastAsia="Times New Roman" w:cstheme="minorHAnsi"/>
        </w:rPr>
        <w:t>, which may be updated or modified by Dynascale from time to time</w:t>
      </w:r>
      <w:r w:rsidR="003E37E9" w:rsidRPr="007F76B6">
        <w:t>.</w:t>
      </w:r>
    </w:p>
    <w:p w14:paraId="3B0B85DF" w14:textId="77777777" w:rsidR="000C6687" w:rsidRPr="007F76B6" w:rsidRDefault="000C6687" w:rsidP="007F76B6">
      <w:pPr>
        <w:pStyle w:val="ListParagraph"/>
        <w:spacing w:before="100" w:beforeAutospacing="1" w:after="100" w:afterAutospacing="1"/>
      </w:pPr>
    </w:p>
    <w:p w14:paraId="13A8DBDF" w14:textId="5FFAF1D5" w:rsidR="002418B0" w:rsidRPr="00D977F7" w:rsidRDefault="002418B0" w:rsidP="002418B0">
      <w:pPr>
        <w:pStyle w:val="ListParagraph"/>
        <w:spacing w:before="100" w:beforeAutospacing="1" w:after="100" w:afterAutospacing="1"/>
        <w:rPr>
          <w:rFonts w:eastAsia="Times New Roman" w:cstheme="minorHAnsi"/>
        </w:rPr>
      </w:pPr>
    </w:p>
    <w:p w14:paraId="57B25C42" w14:textId="4B30A522" w:rsidR="00706286" w:rsidRPr="007F76B6" w:rsidRDefault="0A1030E2" w:rsidP="007F76B6">
      <w:pPr>
        <w:pStyle w:val="ListParagraph"/>
        <w:numPr>
          <w:ilvl w:val="3"/>
          <w:numId w:val="4"/>
        </w:numPr>
        <w:spacing w:before="100" w:beforeAutospacing="1" w:after="100" w:afterAutospacing="1"/>
        <w:ind w:left="540" w:hanging="540"/>
      </w:pPr>
      <w:r w:rsidRPr="007F76B6">
        <w:t>MARKETING</w:t>
      </w:r>
      <w:r w:rsidR="42212896" w:rsidRPr="007F76B6">
        <w:t>.</w:t>
      </w:r>
    </w:p>
    <w:p w14:paraId="02728612" w14:textId="454FE2C4" w:rsidR="00706286" w:rsidRDefault="00706286" w:rsidP="00706286">
      <w:pPr>
        <w:pStyle w:val="ListParagraph"/>
        <w:spacing w:before="100" w:beforeAutospacing="1" w:after="100" w:afterAutospacing="1"/>
        <w:ind w:left="540"/>
        <w:rPr>
          <w:rFonts w:eastAsia="Times New Roman" w:cstheme="minorHAnsi"/>
        </w:rPr>
      </w:pPr>
    </w:p>
    <w:p w14:paraId="472E4027" w14:textId="1791224D" w:rsidR="00196978" w:rsidRPr="00706286" w:rsidRDefault="0004713A" w:rsidP="00706286">
      <w:pPr>
        <w:pStyle w:val="ListParagraph"/>
        <w:spacing w:before="100" w:beforeAutospacing="1" w:after="100" w:afterAutospacing="1"/>
        <w:ind w:left="540"/>
        <w:rPr>
          <w:rFonts w:eastAsia="Times New Roman" w:cstheme="minorHAnsi"/>
        </w:rPr>
      </w:pPr>
      <w:r w:rsidRPr="00706286">
        <w:rPr>
          <w:rFonts w:eastAsia="Times New Roman" w:cstheme="minorHAnsi"/>
        </w:rPr>
        <w:t>All</w:t>
      </w:r>
      <w:r w:rsidRPr="007F76B6">
        <w:t xml:space="preserve"> marketing</w:t>
      </w:r>
      <w:r w:rsidRPr="00706286">
        <w:rPr>
          <w:rFonts w:eastAsia="Times New Roman" w:cstheme="minorHAnsi"/>
        </w:rPr>
        <w:t>, advertising, or promotional activities by the Referral Partner involving</w:t>
      </w:r>
      <w:r w:rsidRPr="007F76B6">
        <w:t xml:space="preserve"> the Dynascale Services</w:t>
      </w:r>
      <w:r w:rsidRPr="00706286">
        <w:rPr>
          <w:rFonts w:eastAsia="Times New Roman" w:cstheme="minorHAnsi"/>
        </w:rPr>
        <w:t xml:space="preserve">, as well as any use of Dynascale’s information, materials, or Marks, shall be carried out in strict </w:t>
      </w:r>
      <w:r w:rsidRPr="007F76B6">
        <w:t xml:space="preserve">compliance with </w:t>
      </w:r>
      <w:r w:rsidRPr="00706286">
        <w:rPr>
          <w:rFonts w:eastAsia="Times New Roman" w:cstheme="minorHAnsi"/>
        </w:rPr>
        <w:t>this Agreement and only to the extent expressly authorized under the Referral Program.</w:t>
      </w:r>
    </w:p>
    <w:p w14:paraId="110A1F75" w14:textId="6B3E4671" w:rsidR="004D6FA2" w:rsidRPr="00D977F7" w:rsidRDefault="004D6FA2" w:rsidP="004D6FA2">
      <w:pPr>
        <w:pStyle w:val="ListParagraph"/>
        <w:spacing w:before="100" w:beforeAutospacing="1" w:after="100" w:afterAutospacing="1"/>
        <w:ind w:left="1080"/>
        <w:rPr>
          <w:rFonts w:eastAsia="Times New Roman" w:cstheme="minorHAnsi"/>
        </w:rPr>
      </w:pPr>
    </w:p>
    <w:p w14:paraId="331B4939" w14:textId="77777777" w:rsidR="00D977F7" w:rsidRPr="00D977F7" w:rsidRDefault="00D977F7" w:rsidP="004D6FA2">
      <w:pPr>
        <w:pStyle w:val="ListParagraph"/>
        <w:spacing w:before="100" w:beforeAutospacing="1" w:after="100" w:afterAutospacing="1"/>
        <w:ind w:left="1080"/>
        <w:rPr>
          <w:rFonts w:eastAsia="Times New Roman" w:cstheme="minorHAnsi"/>
        </w:rPr>
      </w:pPr>
    </w:p>
    <w:p w14:paraId="5C285767" w14:textId="77777777" w:rsidR="00591006" w:rsidRPr="00D977F7" w:rsidRDefault="0A1030E2" w:rsidP="00C20DE0">
      <w:pPr>
        <w:pStyle w:val="ListParagraph"/>
        <w:numPr>
          <w:ilvl w:val="3"/>
          <w:numId w:val="4"/>
        </w:numPr>
        <w:spacing w:before="100" w:beforeAutospacing="1" w:after="100" w:afterAutospacing="1"/>
        <w:ind w:left="540" w:hanging="540"/>
        <w:rPr>
          <w:rFonts w:eastAsia="Times New Roman" w:cstheme="minorHAnsi"/>
        </w:rPr>
      </w:pPr>
      <w:r w:rsidRPr="007F76B6">
        <w:t>LICENSE</w:t>
      </w:r>
      <w:r w:rsidR="0ABBAE0B" w:rsidRPr="007F76B6">
        <w:t>.</w:t>
      </w:r>
    </w:p>
    <w:p w14:paraId="3B2FEE3F" w14:textId="77777777" w:rsidR="0008177B" w:rsidRPr="00D977F7" w:rsidRDefault="0008177B" w:rsidP="0008177B">
      <w:pPr>
        <w:pStyle w:val="ListParagraph"/>
        <w:spacing w:before="100" w:beforeAutospacing="1" w:after="100" w:afterAutospacing="1"/>
        <w:ind w:left="360"/>
        <w:rPr>
          <w:rFonts w:eastAsia="Times New Roman" w:cstheme="minorHAnsi"/>
        </w:rPr>
      </w:pPr>
    </w:p>
    <w:p w14:paraId="107272C5" w14:textId="4AA37857" w:rsidR="0008177B" w:rsidRPr="007F76B6" w:rsidRDefault="001318BF" w:rsidP="007F76B6">
      <w:pPr>
        <w:pStyle w:val="ListParagraph"/>
        <w:numPr>
          <w:ilvl w:val="1"/>
          <w:numId w:val="13"/>
        </w:numPr>
        <w:spacing w:before="100" w:beforeAutospacing="1" w:after="100" w:afterAutospacing="1"/>
        <w:ind w:hanging="540"/>
        <w:rPr>
          <w:b/>
          <w:i/>
        </w:rPr>
      </w:pPr>
      <w:r w:rsidRPr="00D977F7">
        <w:rPr>
          <w:rFonts w:eastAsia="Times New Roman" w:cstheme="minorHAnsi"/>
        </w:rPr>
        <w:lastRenderedPageBreak/>
        <w:t xml:space="preserve">Subject to the terms and conditions of this Agreement, Dynascale hereby grants the Referral Partner a royalty-free, non-exclusive, non-transferable, and revocable license, for the term of this Agreement, to use Dynascale’s Marks, and any associated materials, language, or code, solely for the promotion of Dynascale Services to potential New Customers and strictly in compliance with </w:t>
      </w:r>
      <w:r w:rsidRPr="007F76B6">
        <w:t xml:space="preserve">Dynascale’s Referral Program guidelines and instructions. Dynascale may </w:t>
      </w:r>
      <w:r w:rsidRPr="00D977F7">
        <w:rPr>
          <w:rFonts w:eastAsia="Times New Roman" w:cstheme="minorHAnsi"/>
        </w:rPr>
        <w:t xml:space="preserve">terminate or </w:t>
      </w:r>
      <w:r w:rsidRPr="007F76B6">
        <w:t xml:space="preserve">revoke this license at any time </w:t>
      </w:r>
      <w:r w:rsidRPr="00D977F7">
        <w:rPr>
          <w:rFonts w:eastAsia="Times New Roman" w:cstheme="minorHAnsi"/>
        </w:rPr>
        <w:t xml:space="preserve">upon providing </w:t>
      </w:r>
      <w:r w:rsidRPr="007F76B6">
        <w:t xml:space="preserve">written notice </w:t>
      </w:r>
      <w:r w:rsidRPr="00D977F7">
        <w:rPr>
          <w:rFonts w:eastAsia="Times New Roman" w:cstheme="minorHAnsi"/>
        </w:rPr>
        <w:t xml:space="preserve">to the Referral Partner, </w:t>
      </w:r>
      <w:r w:rsidRPr="007F76B6">
        <w:t xml:space="preserve">including via </w:t>
      </w:r>
      <w:r w:rsidRPr="00D977F7">
        <w:rPr>
          <w:rFonts w:eastAsia="Times New Roman" w:cstheme="minorHAnsi"/>
        </w:rPr>
        <w:t>electronic</w:t>
      </w:r>
      <w:r w:rsidRPr="0008177B">
        <w:rPr>
          <w:rFonts w:eastAsia="Times New Roman" w:cstheme="minorHAnsi"/>
        </w:rPr>
        <w:t xml:space="preserve"> mail.</w:t>
      </w:r>
    </w:p>
    <w:p w14:paraId="4296A47C" w14:textId="42BD5877" w:rsidR="003E7FBD" w:rsidRPr="007F76B6" w:rsidRDefault="00FA57F2" w:rsidP="007F76B6">
      <w:pPr>
        <w:pStyle w:val="ListParagraph"/>
        <w:numPr>
          <w:ilvl w:val="1"/>
          <w:numId w:val="13"/>
        </w:numPr>
        <w:spacing w:before="100" w:beforeAutospacing="1" w:after="100" w:afterAutospacing="1"/>
        <w:ind w:hanging="540"/>
        <w:rPr>
          <w:b/>
          <w:i/>
        </w:rPr>
      </w:pPr>
      <w:r w:rsidRPr="0008177B">
        <w:rPr>
          <w:rFonts w:eastAsia="Times New Roman" w:cstheme="minorHAnsi"/>
        </w:rPr>
        <w:t>Dynascale</w:t>
      </w:r>
      <w:r w:rsidRPr="007F76B6">
        <w:t xml:space="preserve"> may, at </w:t>
      </w:r>
      <w:r w:rsidRPr="0008177B">
        <w:rPr>
          <w:rFonts w:eastAsia="Times New Roman" w:cstheme="minorHAnsi"/>
        </w:rPr>
        <w:t xml:space="preserve">its sole discretion, promote or </w:t>
      </w:r>
      <w:r w:rsidRPr="007F76B6">
        <w:t xml:space="preserve">market </w:t>
      </w:r>
      <w:r w:rsidRPr="0008177B">
        <w:rPr>
          <w:rFonts w:eastAsia="Times New Roman" w:cstheme="minorHAnsi"/>
        </w:rPr>
        <w:t>the</w:t>
      </w:r>
      <w:r w:rsidRPr="007F76B6">
        <w:t xml:space="preserve"> products or services </w:t>
      </w:r>
      <w:r w:rsidRPr="0008177B">
        <w:rPr>
          <w:rFonts w:eastAsia="Times New Roman" w:cstheme="minorHAnsi"/>
        </w:rPr>
        <w:t xml:space="preserve">of the Referral Partner, provided that such promotion or marketing is conducted </w:t>
      </w:r>
      <w:r w:rsidRPr="007F76B6">
        <w:t xml:space="preserve">in compliance with </w:t>
      </w:r>
      <w:r w:rsidRPr="0008177B">
        <w:rPr>
          <w:rFonts w:eastAsia="Times New Roman" w:cstheme="minorHAnsi"/>
        </w:rPr>
        <w:t>the Referral Partner’s</w:t>
      </w:r>
      <w:r w:rsidRPr="007F76B6">
        <w:t xml:space="preserve"> guidelines and instructions</w:t>
      </w:r>
      <w:r w:rsidRPr="0008177B">
        <w:rPr>
          <w:rFonts w:eastAsia="Times New Roman" w:cstheme="minorHAnsi"/>
        </w:rPr>
        <w:t xml:space="preserve">, which must be provided to Dynascale </w:t>
      </w:r>
      <w:r w:rsidRPr="007F76B6">
        <w:t xml:space="preserve">in writing </w:t>
      </w:r>
      <w:r w:rsidRPr="0008177B">
        <w:rPr>
          <w:rFonts w:eastAsia="Times New Roman" w:cstheme="minorHAnsi"/>
        </w:rPr>
        <w:t xml:space="preserve">in advance. By providing such guidelines </w:t>
      </w:r>
      <w:r w:rsidRPr="007F76B6">
        <w:t xml:space="preserve">and </w:t>
      </w:r>
      <w:r w:rsidRPr="0008177B">
        <w:rPr>
          <w:rFonts w:eastAsia="Times New Roman" w:cstheme="minorHAnsi"/>
        </w:rPr>
        <w:t xml:space="preserve">instructions, the Referral Partner grants Dynascale </w:t>
      </w:r>
      <w:r w:rsidRPr="007F76B6">
        <w:t xml:space="preserve">a </w:t>
      </w:r>
      <w:r w:rsidRPr="0008177B">
        <w:rPr>
          <w:rFonts w:eastAsia="Times New Roman" w:cstheme="minorHAnsi"/>
        </w:rPr>
        <w:t xml:space="preserve">limited, non-exclusive, revocable </w:t>
      </w:r>
      <w:r w:rsidRPr="007F76B6">
        <w:t xml:space="preserve">license to </w:t>
      </w:r>
      <w:r w:rsidRPr="0008177B">
        <w:rPr>
          <w:rFonts w:eastAsia="Times New Roman" w:cstheme="minorHAnsi"/>
        </w:rPr>
        <w:t>market such products or services in accordance with this Agreement.</w:t>
      </w:r>
    </w:p>
    <w:p w14:paraId="220035A7" w14:textId="2ED4D8F0" w:rsidR="008370B5" w:rsidRPr="008370B5" w:rsidRDefault="000640F3" w:rsidP="008370B5">
      <w:pPr>
        <w:pStyle w:val="ListParagraph"/>
        <w:numPr>
          <w:ilvl w:val="1"/>
          <w:numId w:val="13"/>
        </w:numPr>
        <w:spacing w:before="100" w:beforeAutospacing="1" w:after="100" w:afterAutospacing="1"/>
        <w:ind w:hanging="540"/>
        <w:rPr>
          <w:rFonts w:eastAsia="Times New Roman" w:cstheme="minorHAnsi"/>
        </w:rPr>
      </w:pPr>
      <w:r w:rsidRPr="003E7FBD">
        <w:rPr>
          <w:rFonts w:cstheme="minorHAnsi"/>
        </w:rPr>
        <w:t>The Referral Partner</w:t>
      </w:r>
      <w:r w:rsidRPr="007F76B6">
        <w:t xml:space="preserve"> may use only the information, Marks</w:t>
      </w:r>
      <w:r w:rsidRPr="003E7FBD">
        <w:rPr>
          <w:rFonts w:cstheme="minorHAnsi"/>
        </w:rPr>
        <w:t>,</w:t>
      </w:r>
      <w:r w:rsidRPr="007F76B6">
        <w:t xml:space="preserve"> and materials provided by Dynascale to promote </w:t>
      </w:r>
      <w:r w:rsidRPr="003E7FBD">
        <w:rPr>
          <w:rFonts w:cstheme="minorHAnsi"/>
        </w:rPr>
        <w:t xml:space="preserve">the </w:t>
      </w:r>
      <w:r w:rsidRPr="007F76B6">
        <w:t>Dynascale Services</w:t>
      </w:r>
      <w:r w:rsidRPr="003E7FBD">
        <w:rPr>
          <w:rFonts w:cstheme="minorHAnsi"/>
        </w:rPr>
        <w:t>, and only</w:t>
      </w:r>
      <w:r w:rsidRPr="007F76B6">
        <w:t xml:space="preserve"> in the manner </w:t>
      </w:r>
      <w:r w:rsidRPr="003E7FBD">
        <w:rPr>
          <w:rFonts w:cstheme="minorHAnsi"/>
        </w:rPr>
        <w:t>expressly authorized by Dynascale,</w:t>
      </w:r>
      <w:r w:rsidRPr="007F76B6">
        <w:t xml:space="preserve"> unless </w:t>
      </w:r>
      <w:r w:rsidRPr="003E7FBD">
        <w:rPr>
          <w:rFonts w:cstheme="minorHAnsi"/>
        </w:rPr>
        <w:t>Dynascale has</w:t>
      </w:r>
      <w:r w:rsidRPr="007F76B6">
        <w:t xml:space="preserve"> reviewed </w:t>
      </w:r>
      <w:r w:rsidRPr="003E7FBD">
        <w:rPr>
          <w:rFonts w:cstheme="minorHAnsi"/>
        </w:rPr>
        <w:t>and provided prior written approval for the use of the Referral Partner’s</w:t>
      </w:r>
      <w:r w:rsidRPr="007F76B6">
        <w:t xml:space="preserve"> materials</w:t>
      </w:r>
      <w:r w:rsidRPr="003E7FBD">
        <w:rPr>
          <w:rFonts w:cstheme="minorHAnsi"/>
        </w:rPr>
        <w:t>. The Referral Partner shall</w:t>
      </w:r>
      <w:r w:rsidRPr="007F76B6">
        <w:t xml:space="preserve"> not translate </w:t>
      </w:r>
      <w:r w:rsidRPr="003E7FBD">
        <w:rPr>
          <w:rFonts w:cstheme="minorHAnsi"/>
        </w:rPr>
        <w:t xml:space="preserve">or modify </w:t>
      </w:r>
      <w:r w:rsidRPr="007F76B6">
        <w:t>any information</w:t>
      </w:r>
      <w:r w:rsidRPr="003E7FBD">
        <w:rPr>
          <w:rFonts w:cstheme="minorHAnsi"/>
        </w:rPr>
        <w:t>,</w:t>
      </w:r>
      <w:r w:rsidRPr="007F76B6">
        <w:t xml:space="preserve"> materials, </w:t>
      </w:r>
      <w:r w:rsidRPr="003E7FBD">
        <w:rPr>
          <w:rFonts w:cstheme="minorHAnsi"/>
        </w:rPr>
        <w:t>or</w:t>
      </w:r>
      <w:r w:rsidRPr="007F76B6">
        <w:t xml:space="preserve"> Marks provided by Dynascale without Dynascale’s prior written consent.</w:t>
      </w:r>
    </w:p>
    <w:p w14:paraId="68166BBB" w14:textId="1046E7AE" w:rsidR="00E0301B" w:rsidRPr="008370B5" w:rsidRDefault="000640F3" w:rsidP="007F76B6">
      <w:pPr>
        <w:pStyle w:val="ListParagraph"/>
        <w:spacing w:before="100" w:beforeAutospacing="1" w:after="100" w:afterAutospacing="1"/>
        <w:ind w:left="1080"/>
        <w:rPr>
          <w:rFonts w:eastAsia="Times New Roman" w:cstheme="minorHAnsi"/>
        </w:rPr>
      </w:pPr>
      <w:r w:rsidRPr="008370B5">
        <w:rPr>
          <w:rFonts w:eastAsia="Times New Roman" w:cstheme="minorHAnsi"/>
        </w:rPr>
        <w:t>All</w:t>
      </w:r>
      <w:r w:rsidRPr="007F76B6">
        <w:t xml:space="preserve"> marketing </w:t>
      </w:r>
      <w:r w:rsidRPr="008370B5">
        <w:rPr>
          <w:rFonts w:eastAsia="Times New Roman" w:cstheme="minorHAnsi"/>
        </w:rPr>
        <w:t xml:space="preserve">or promotional </w:t>
      </w:r>
      <w:r w:rsidRPr="007F76B6">
        <w:t xml:space="preserve">activities undertaken by either Party </w:t>
      </w:r>
      <w:r w:rsidRPr="008370B5">
        <w:rPr>
          <w:rFonts w:eastAsia="Times New Roman" w:cstheme="minorHAnsi"/>
        </w:rPr>
        <w:t>shall</w:t>
      </w:r>
      <w:r w:rsidRPr="007F76B6">
        <w:t xml:space="preserve"> be at </w:t>
      </w:r>
      <w:r w:rsidRPr="008370B5">
        <w:rPr>
          <w:rFonts w:eastAsia="Times New Roman" w:cstheme="minorHAnsi"/>
        </w:rPr>
        <w:t>the</w:t>
      </w:r>
      <w:r w:rsidRPr="007F76B6">
        <w:t xml:space="preserve"> sole </w:t>
      </w:r>
      <w:r w:rsidRPr="008370B5">
        <w:rPr>
          <w:rFonts w:eastAsia="Times New Roman" w:cstheme="minorHAnsi"/>
        </w:rPr>
        <w:t xml:space="preserve">cost and </w:t>
      </w:r>
      <w:r w:rsidRPr="007F76B6">
        <w:t xml:space="preserve">expense </w:t>
      </w:r>
      <w:r w:rsidRPr="008370B5">
        <w:rPr>
          <w:rFonts w:eastAsia="Times New Roman" w:cstheme="minorHAnsi"/>
        </w:rPr>
        <w:t xml:space="preserve">of the Party conducting such activities, </w:t>
      </w:r>
      <w:r w:rsidRPr="007F76B6">
        <w:t>unless otherwise agreed in writing</w:t>
      </w:r>
      <w:r w:rsidRPr="008370B5">
        <w:rPr>
          <w:rFonts w:eastAsia="Times New Roman" w:cstheme="minorHAnsi"/>
        </w:rPr>
        <w:t xml:space="preserve"> in advance. The Referral Partner shall</w:t>
      </w:r>
      <w:r w:rsidRPr="007F76B6">
        <w:t xml:space="preserve"> not use Dynascale’s name in any bulk email</w:t>
      </w:r>
      <w:r w:rsidRPr="008370B5">
        <w:rPr>
          <w:rFonts w:eastAsia="Times New Roman" w:cstheme="minorHAnsi"/>
        </w:rPr>
        <w:t>, mass marketing, or similar communication without Dynascale’s prior</w:t>
      </w:r>
      <w:r w:rsidRPr="007F76B6">
        <w:t xml:space="preserve"> written consent</w:t>
      </w:r>
      <w:r w:rsidRPr="008370B5">
        <w:rPr>
          <w:rFonts w:eastAsia="Times New Roman" w:cstheme="minorHAnsi"/>
        </w:rPr>
        <w:t>,</w:t>
      </w:r>
      <w:r w:rsidRPr="007F76B6">
        <w:t xml:space="preserve"> and </w:t>
      </w:r>
      <w:r w:rsidRPr="008370B5">
        <w:rPr>
          <w:rFonts w:eastAsia="Times New Roman" w:cstheme="minorHAnsi"/>
        </w:rPr>
        <w:t>shall</w:t>
      </w:r>
      <w:r w:rsidRPr="007F76B6">
        <w:t xml:space="preserve"> not </w:t>
      </w:r>
      <w:r w:rsidRPr="008370B5">
        <w:rPr>
          <w:rFonts w:eastAsia="Times New Roman" w:cstheme="minorHAnsi"/>
        </w:rPr>
        <w:t>make any representations regarding</w:t>
      </w:r>
      <w:r w:rsidRPr="007F76B6">
        <w:t xml:space="preserve"> the Dynascale Services </w:t>
      </w:r>
      <w:r w:rsidRPr="008370B5">
        <w:rPr>
          <w:rFonts w:eastAsia="Times New Roman" w:cstheme="minorHAnsi"/>
        </w:rPr>
        <w:t xml:space="preserve">that are inconsistent with the features, </w:t>
      </w:r>
      <w:r w:rsidRPr="007F76B6">
        <w:t>qualities, fees</w:t>
      </w:r>
      <w:r w:rsidRPr="008370B5">
        <w:rPr>
          <w:rFonts w:eastAsia="Times New Roman" w:cstheme="minorHAnsi"/>
        </w:rPr>
        <w:t>,</w:t>
      </w:r>
      <w:r w:rsidRPr="007F76B6">
        <w:t xml:space="preserve"> or terms described in Dynascale’s </w:t>
      </w:r>
      <w:r w:rsidRPr="008370B5">
        <w:rPr>
          <w:rFonts w:eastAsia="Times New Roman" w:cstheme="minorHAnsi"/>
        </w:rPr>
        <w:t xml:space="preserve">official </w:t>
      </w:r>
      <w:r w:rsidRPr="007F76B6">
        <w:t xml:space="preserve">online materials or other </w:t>
      </w:r>
      <w:r w:rsidRPr="008370B5">
        <w:rPr>
          <w:rFonts w:eastAsia="Times New Roman" w:cstheme="minorHAnsi"/>
        </w:rPr>
        <w:t>materials</w:t>
      </w:r>
      <w:r w:rsidRPr="007F76B6">
        <w:t xml:space="preserve"> provided to </w:t>
      </w:r>
      <w:r w:rsidRPr="008370B5">
        <w:rPr>
          <w:rFonts w:eastAsia="Times New Roman" w:cstheme="minorHAnsi"/>
        </w:rPr>
        <w:t>the Referral Partner</w:t>
      </w:r>
      <w:r w:rsidRPr="007F76B6">
        <w:t xml:space="preserve"> by Dynascale.</w:t>
      </w:r>
    </w:p>
    <w:p w14:paraId="071757C8" w14:textId="77777777" w:rsidR="00B52789" w:rsidRPr="007F76B6" w:rsidRDefault="00B52789" w:rsidP="00F228FC">
      <w:pPr>
        <w:pStyle w:val="ListParagraph"/>
        <w:spacing w:before="100" w:beforeAutospacing="1" w:after="100" w:afterAutospacing="1"/>
        <w:ind w:left="1080"/>
      </w:pPr>
    </w:p>
    <w:p w14:paraId="0E42BBB9" w14:textId="77777777" w:rsidR="00D977F7" w:rsidRDefault="00D977F7" w:rsidP="00E0301B">
      <w:pPr>
        <w:pStyle w:val="ListParagraph"/>
        <w:spacing w:before="100" w:beforeAutospacing="1" w:after="100" w:afterAutospacing="1"/>
        <w:ind w:left="1080"/>
        <w:rPr>
          <w:rFonts w:eastAsia="Times New Roman" w:cstheme="minorHAnsi"/>
        </w:rPr>
      </w:pPr>
    </w:p>
    <w:p w14:paraId="51818B60" w14:textId="139B9D79" w:rsidR="005A2879" w:rsidRPr="005A2879" w:rsidRDefault="0A1030E2" w:rsidP="005A2879">
      <w:pPr>
        <w:pStyle w:val="ListParagraph"/>
        <w:numPr>
          <w:ilvl w:val="3"/>
          <w:numId w:val="4"/>
        </w:numPr>
        <w:spacing w:before="100" w:beforeAutospacing="1" w:after="100" w:afterAutospacing="1"/>
        <w:ind w:left="540" w:hanging="540"/>
        <w:rPr>
          <w:rFonts w:eastAsia="Times New Roman" w:cstheme="minorHAnsi"/>
        </w:rPr>
      </w:pPr>
      <w:r w:rsidRPr="00B250C1">
        <w:rPr>
          <w:b/>
        </w:rPr>
        <w:t>COMMISSIONS</w:t>
      </w:r>
      <w:r w:rsidR="005F31C7" w:rsidRPr="00B250C1">
        <w:rPr>
          <w:b/>
        </w:rPr>
        <w:t>.</w:t>
      </w:r>
    </w:p>
    <w:p w14:paraId="59386B66" w14:textId="77777777" w:rsidR="005A2879" w:rsidRDefault="005A2879" w:rsidP="005A2879">
      <w:pPr>
        <w:pStyle w:val="ListParagraph"/>
        <w:spacing w:before="100" w:beforeAutospacing="1" w:after="100" w:afterAutospacing="1"/>
        <w:ind w:left="540"/>
        <w:rPr>
          <w:rFonts w:eastAsia="Times New Roman" w:cstheme="minorHAnsi"/>
          <w:b/>
          <w:bCs/>
        </w:rPr>
      </w:pPr>
    </w:p>
    <w:p w14:paraId="244DE2DA" w14:textId="1F139293" w:rsidR="522AA375" w:rsidRPr="005A2879" w:rsidRDefault="009E1811" w:rsidP="007F76B6">
      <w:pPr>
        <w:pStyle w:val="ListParagraph"/>
        <w:spacing w:before="100" w:beforeAutospacing="1" w:after="100" w:afterAutospacing="1"/>
        <w:ind w:left="540"/>
        <w:rPr>
          <w:rFonts w:eastAsia="Times New Roman" w:cstheme="minorHAnsi"/>
        </w:rPr>
      </w:pPr>
      <w:r w:rsidRPr="007F76B6">
        <w:t xml:space="preserve">Dynascale </w:t>
      </w:r>
      <w:r w:rsidRPr="005A2879">
        <w:rPr>
          <w:rFonts w:eastAsia="Times New Roman" w:cstheme="minorHAnsi"/>
        </w:rPr>
        <w:t>shall</w:t>
      </w:r>
      <w:r w:rsidRPr="007F76B6">
        <w:t xml:space="preserve"> pay Commissions </w:t>
      </w:r>
      <w:r w:rsidRPr="005A2879">
        <w:rPr>
          <w:rFonts w:eastAsia="Times New Roman" w:cstheme="minorHAnsi"/>
        </w:rPr>
        <w:t xml:space="preserve">to the Referral Partner </w:t>
      </w:r>
      <w:r w:rsidRPr="007F76B6">
        <w:t xml:space="preserve">for New Contracts in accordance with the </w:t>
      </w:r>
      <w:r w:rsidRPr="005A2879">
        <w:rPr>
          <w:rFonts w:eastAsia="Times New Roman" w:cstheme="minorHAnsi"/>
        </w:rPr>
        <w:t xml:space="preserve">terms of the </w:t>
      </w:r>
      <w:r w:rsidRPr="007F76B6">
        <w:t>Referral Program.</w:t>
      </w:r>
    </w:p>
    <w:p w14:paraId="50107C3E" w14:textId="77777777" w:rsidR="00F43A42" w:rsidRPr="007F76B6" w:rsidRDefault="00F43A42" w:rsidP="00B250C1">
      <w:pPr>
        <w:pStyle w:val="ListParagraph"/>
        <w:spacing w:before="100" w:beforeAutospacing="1" w:after="100" w:afterAutospacing="1"/>
      </w:pPr>
    </w:p>
    <w:p w14:paraId="548E968B" w14:textId="77777777" w:rsidR="00CE6B05" w:rsidRPr="00CE6B05" w:rsidRDefault="00CE6B05" w:rsidP="00CE6B05">
      <w:pPr>
        <w:pStyle w:val="ListParagraph"/>
        <w:spacing w:before="100" w:beforeAutospacing="1" w:after="100" w:afterAutospacing="1"/>
        <w:rPr>
          <w:rFonts w:eastAsia="Times New Roman" w:cstheme="minorHAnsi"/>
        </w:rPr>
      </w:pPr>
    </w:p>
    <w:p w14:paraId="408C52C0" w14:textId="77777777" w:rsidR="00F63209" w:rsidRDefault="0A1030E2" w:rsidP="000C6F10">
      <w:pPr>
        <w:pStyle w:val="ListParagraph"/>
        <w:numPr>
          <w:ilvl w:val="3"/>
          <w:numId w:val="4"/>
        </w:numPr>
        <w:spacing w:before="100" w:beforeAutospacing="1" w:after="100" w:afterAutospacing="1"/>
        <w:ind w:left="540" w:hanging="540"/>
        <w:rPr>
          <w:rFonts w:eastAsia="Times New Roman" w:cstheme="minorHAnsi"/>
          <w:b/>
          <w:bCs/>
        </w:rPr>
      </w:pPr>
      <w:r w:rsidRPr="00B250C1">
        <w:rPr>
          <w:b/>
        </w:rPr>
        <w:t>INDEMNIFICATION</w:t>
      </w:r>
      <w:r w:rsidR="651DF0E8" w:rsidRPr="00B250C1">
        <w:rPr>
          <w:b/>
        </w:rPr>
        <w:t>.</w:t>
      </w:r>
    </w:p>
    <w:p w14:paraId="4026F5C1" w14:textId="77777777" w:rsidR="00F63209" w:rsidRDefault="00F63209" w:rsidP="00F63209">
      <w:pPr>
        <w:pStyle w:val="ListParagraph"/>
        <w:spacing w:before="100" w:beforeAutospacing="1" w:after="100" w:afterAutospacing="1"/>
        <w:ind w:left="360"/>
        <w:rPr>
          <w:rFonts w:eastAsia="Times New Roman" w:cstheme="minorHAnsi"/>
          <w:b/>
          <w:bCs/>
        </w:rPr>
      </w:pPr>
    </w:p>
    <w:p w14:paraId="1668CCF1" w14:textId="786F4B91" w:rsidR="00295186" w:rsidRPr="007F76B6" w:rsidRDefault="68C5277F" w:rsidP="00B250C1">
      <w:pPr>
        <w:pStyle w:val="ListParagraph"/>
        <w:numPr>
          <w:ilvl w:val="1"/>
          <w:numId w:val="18"/>
        </w:numPr>
        <w:spacing w:before="100" w:beforeAutospacing="1" w:after="100" w:afterAutospacing="1"/>
        <w:ind w:left="1080" w:hanging="540"/>
        <w:rPr>
          <w:b/>
        </w:rPr>
      </w:pPr>
      <w:r w:rsidRPr="00F63209">
        <w:rPr>
          <w:rFonts w:cstheme="minorHAnsi"/>
          <w:b/>
          <w:bCs/>
        </w:rPr>
        <w:t>Indemnification Related to Use of Marks</w:t>
      </w:r>
      <w:r w:rsidRPr="00F63209">
        <w:rPr>
          <w:rFonts w:cstheme="minorHAnsi"/>
        </w:rPr>
        <w:t>.</w:t>
      </w:r>
      <w:r w:rsidR="003B2321" w:rsidRPr="00F63209">
        <w:rPr>
          <w:rFonts w:cstheme="minorHAnsi"/>
        </w:rPr>
        <w:t xml:space="preserve"> </w:t>
      </w:r>
      <w:r w:rsidR="00375AF7" w:rsidRPr="00F63209">
        <w:rPr>
          <w:rFonts w:cstheme="minorHAnsi"/>
        </w:rPr>
        <w:t>If a Party (the “</w:t>
      </w:r>
      <w:r w:rsidR="00375AF7" w:rsidRPr="007F76B6">
        <w:t>Indemnified Party</w:t>
      </w:r>
      <w:r w:rsidR="00375AF7" w:rsidRPr="00F63209">
        <w:rPr>
          <w:rFonts w:cstheme="minorHAnsi"/>
        </w:rPr>
        <w:t>”) or any of its affiliates, or any of their respective employees, agents, or owners, becomes subject to a legal claim by a third party arising from the use of the other Party’s Marks (the “</w:t>
      </w:r>
      <w:r w:rsidR="00375AF7" w:rsidRPr="007F76B6">
        <w:t>Indemnifying Party</w:t>
      </w:r>
      <w:r w:rsidR="00375AF7" w:rsidRPr="00F63209">
        <w:rPr>
          <w:rFonts w:cstheme="minorHAnsi"/>
        </w:rPr>
        <w:t xml:space="preserve">”) in a manner permitted by this Agreement, or from the Indemnifying Party’s use of the Indemnified Party’s Marks in a manner not </w:t>
      </w:r>
      <w:r w:rsidR="00375AF7" w:rsidRPr="00F63209">
        <w:rPr>
          <w:rFonts w:cstheme="minorHAnsi"/>
        </w:rPr>
        <w:lastRenderedPageBreak/>
        <w:t>permitted under this Agreement, the Indemnifying Party shall defend the Indemnified Party against such claim and shall be responsible for all costs and expenses incurred in connection with such defense, including reasonable attorneys’ fees, as well as any damages, fines, or other amounts awarded or reasonably incurred as a result of the claim.</w:t>
      </w:r>
    </w:p>
    <w:p w14:paraId="25EFB73F" w14:textId="2006A028" w:rsidR="00295186" w:rsidRPr="007F76B6" w:rsidRDefault="4C701E6B" w:rsidP="00B250C1">
      <w:pPr>
        <w:pStyle w:val="ListParagraph"/>
        <w:numPr>
          <w:ilvl w:val="1"/>
          <w:numId w:val="18"/>
        </w:numPr>
        <w:spacing w:before="100" w:beforeAutospacing="1" w:after="100" w:afterAutospacing="1"/>
        <w:ind w:left="1080" w:hanging="540"/>
        <w:rPr>
          <w:b/>
        </w:rPr>
      </w:pPr>
      <w:r w:rsidRPr="00295186">
        <w:rPr>
          <w:rFonts w:cstheme="minorHAnsi"/>
          <w:b/>
          <w:bCs/>
        </w:rPr>
        <w:t xml:space="preserve">Indemnification for Breach. </w:t>
      </w:r>
      <w:r w:rsidR="000D46E2" w:rsidRPr="00295186">
        <w:rPr>
          <w:rFonts w:cstheme="minorHAnsi"/>
        </w:rPr>
        <w:t>If Dynascale or any of its affiliates, or any of their respective employees, agents, or owners, becomes subject to a legal claim by a third party arising from the Referral Partner’s failure to comply with Sections 3.3 or 1</w:t>
      </w:r>
      <w:r w:rsidR="00386860">
        <w:rPr>
          <w:rFonts w:cstheme="minorHAnsi"/>
        </w:rPr>
        <w:t>5</w:t>
      </w:r>
      <w:r w:rsidR="000D46E2" w:rsidRPr="00295186">
        <w:rPr>
          <w:rFonts w:cstheme="minorHAnsi"/>
        </w:rPr>
        <w:t xml:space="preserve"> of this Agreement, the Referral Partner shall defend Dynascale against such claim and shall be responsible for all costs and expenses incurred in connection with such defense, including reasonable attorneys’ fees, as well as any damages, fines, or other amounts awarded or reasonably incurred as a result of the claim.</w:t>
      </w:r>
    </w:p>
    <w:p w14:paraId="68CD4E06" w14:textId="714E816C" w:rsidR="00452E24" w:rsidRPr="007F76B6" w:rsidRDefault="4C701E6B" w:rsidP="00B250C1">
      <w:pPr>
        <w:pStyle w:val="ListParagraph"/>
        <w:numPr>
          <w:ilvl w:val="1"/>
          <w:numId w:val="18"/>
        </w:numPr>
        <w:spacing w:before="100" w:beforeAutospacing="1" w:after="100" w:afterAutospacing="1"/>
        <w:ind w:left="1080" w:hanging="540"/>
        <w:rPr>
          <w:b/>
        </w:rPr>
      </w:pPr>
      <w:r w:rsidRPr="00295186">
        <w:rPr>
          <w:rFonts w:cstheme="minorHAnsi"/>
          <w:b/>
          <w:bCs/>
        </w:rPr>
        <w:t xml:space="preserve">Notice and Defense Requirements. </w:t>
      </w:r>
      <w:r w:rsidR="00A02C96" w:rsidRPr="00295186">
        <w:rPr>
          <w:rFonts w:cstheme="minorHAnsi"/>
        </w:rPr>
        <w:t>The Indemnifying Party shall have no obligation under this Section 5 with respect to any claim unless:</w:t>
      </w:r>
      <w:r w:rsidR="00F124DC" w:rsidRPr="00295186">
        <w:rPr>
          <w:rFonts w:cstheme="minorHAnsi"/>
        </w:rPr>
        <w:t xml:space="preserve"> </w:t>
      </w:r>
      <w:r w:rsidR="00A02C96" w:rsidRPr="007F76B6">
        <w:t xml:space="preserve">(i) </w:t>
      </w:r>
      <w:r w:rsidR="00A02C96" w:rsidRPr="00295186">
        <w:rPr>
          <w:rFonts w:cstheme="minorHAnsi"/>
        </w:rPr>
        <w:t>the Indemnifying Party is promptly provided written notice of the claim;</w:t>
      </w:r>
      <w:r w:rsidR="004B2D44" w:rsidRPr="00295186">
        <w:rPr>
          <w:rFonts w:cstheme="minorHAnsi"/>
        </w:rPr>
        <w:t xml:space="preserve"> </w:t>
      </w:r>
      <w:r w:rsidR="00A02C96" w:rsidRPr="007F76B6">
        <w:t>(</w:t>
      </w:r>
      <w:r w:rsidR="004B2D44" w:rsidRPr="007F76B6">
        <w:t>ii</w:t>
      </w:r>
      <w:r w:rsidR="00A02C96" w:rsidRPr="007F76B6">
        <w:t xml:space="preserve">) </w:t>
      </w:r>
      <w:r w:rsidR="00A02C96" w:rsidRPr="00295186">
        <w:rPr>
          <w:rFonts w:cstheme="minorHAnsi"/>
        </w:rPr>
        <w:t>the Indemnified Party grants the Indemnifying Party sole authority and control over the defense and settlement of the claim; and</w:t>
      </w:r>
      <w:r w:rsidR="004B2D44" w:rsidRPr="00295186">
        <w:rPr>
          <w:rFonts w:cstheme="minorHAnsi"/>
        </w:rPr>
        <w:t xml:space="preserve"> </w:t>
      </w:r>
      <w:r w:rsidR="00A02C96" w:rsidRPr="007F76B6">
        <w:t>(</w:t>
      </w:r>
      <w:r w:rsidR="004B2D44" w:rsidRPr="007F76B6">
        <w:t>iii</w:t>
      </w:r>
      <w:r w:rsidR="00A02C96" w:rsidRPr="007F76B6">
        <w:t xml:space="preserve">) </w:t>
      </w:r>
      <w:r w:rsidR="00A02C96" w:rsidRPr="00295186">
        <w:rPr>
          <w:rFonts w:cstheme="minorHAnsi"/>
        </w:rPr>
        <w:t>the Indemnified Party provides reasonable cooperation and assistance, at the Indemnifying Party’s expense, in connection with the defense and settlement of the claim.</w:t>
      </w:r>
    </w:p>
    <w:p w14:paraId="168D8B23" w14:textId="77777777" w:rsidR="00452E24" w:rsidRPr="007F76B6" w:rsidRDefault="00452E24" w:rsidP="007F76B6">
      <w:pPr>
        <w:pStyle w:val="ListParagraph"/>
        <w:spacing w:before="100" w:beforeAutospacing="1" w:after="100" w:afterAutospacing="1"/>
        <w:rPr>
          <w:b/>
        </w:rPr>
      </w:pPr>
    </w:p>
    <w:p w14:paraId="02FBA559" w14:textId="0ECAB4BB" w:rsidR="00452E24" w:rsidRPr="00452E24" w:rsidRDefault="00452E24" w:rsidP="00452E24">
      <w:pPr>
        <w:pStyle w:val="ListParagraph"/>
        <w:spacing w:before="100" w:beforeAutospacing="1" w:after="100" w:afterAutospacing="1"/>
        <w:rPr>
          <w:rFonts w:eastAsia="Times New Roman" w:cstheme="minorHAnsi"/>
          <w:b/>
          <w:bCs/>
        </w:rPr>
      </w:pPr>
    </w:p>
    <w:p w14:paraId="6E010917" w14:textId="38F95A3A" w:rsidR="00F210EE" w:rsidRPr="00F210EE" w:rsidRDefault="4C701E6B" w:rsidP="007F76B6">
      <w:pPr>
        <w:pStyle w:val="ListParagraph"/>
        <w:numPr>
          <w:ilvl w:val="3"/>
          <w:numId w:val="4"/>
        </w:numPr>
        <w:spacing w:before="100" w:beforeAutospacing="1" w:after="100" w:afterAutospacing="1"/>
        <w:ind w:left="540" w:hanging="540"/>
        <w:rPr>
          <w:rFonts w:eastAsia="Times New Roman" w:cstheme="minorHAnsi"/>
          <w:b/>
          <w:bCs/>
        </w:rPr>
      </w:pPr>
      <w:r w:rsidRPr="00452E24">
        <w:rPr>
          <w:rFonts w:cstheme="minorHAnsi"/>
          <w:b/>
          <w:bCs/>
        </w:rPr>
        <w:t>TERM &amp; TERMINATION</w:t>
      </w:r>
      <w:r w:rsidR="2DA13DC6" w:rsidRPr="00452E24">
        <w:rPr>
          <w:rFonts w:cstheme="minorHAnsi"/>
          <w:b/>
          <w:bCs/>
        </w:rPr>
        <w:t>.</w:t>
      </w:r>
    </w:p>
    <w:p w14:paraId="5C94EB8E" w14:textId="34E05903" w:rsidR="00F210EE" w:rsidRPr="00F210EE" w:rsidRDefault="00F210EE" w:rsidP="00F210EE">
      <w:pPr>
        <w:pStyle w:val="ListParagraph"/>
        <w:spacing w:before="100" w:beforeAutospacing="1" w:after="100" w:afterAutospacing="1"/>
        <w:ind w:left="360"/>
        <w:rPr>
          <w:rFonts w:eastAsia="Times New Roman" w:cstheme="minorHAnsi"/>
          <w:b/>
          <w:bCs/>
        </w:rPr>
      </w:pPr>
    </w:p>
    <w:p w14:paraId="05F7DBFA" w14:textId="056EEC2F" w:rsidR="00213AFE" w:rsidRPr="00213AFE" w:rsidRDefault="008A22BE" w:rsidP="00213AFE">
      <w:pPr>
        <w:pStyle w:val="ListParagraph"/>
        <w:numPr>
          <w:ilvl w:val="1"/>
          <w:numId w:val="19"/>
        </w:numPr>
        <w:spacing w:before="100" w:beforeAutospacing="1" w:after="100" w:afterAutospacing="1"/>
        <w:ind w:left="1080" w:hanging="540"/>
        <w:rPr>
          <w:rFonts w:eastAsia="Times New Roman" w:cstheme="minorHAnsi"/>
          <w:b/>
          <w:bCs/>
        </w:rPr>
      </w:pPr>
      <w:r w:rsidRPr="00F210EE">
        <w:rPr>
          <w:rFonts w:cstheme="minorHAnsi"/>
        </w:rPr>
        <w:t>The initial term of this Agreement shall commence on the Effective Date and continue for twelve (12) months (the “</w:t>
      </w:r>
      <w:r w:rsidRPr="007F76B6">
        <w:t>Initial Term</w:t>
      </w:r>
      <w:r w:rsidRPr="00F210EE">
        <w:rPr>
          <w:rFonts w:cstheme="minorHAnsi"/>
        </w:rPr>
        <w:t>”). Upon expiration of the Initial Term, this Agreement shall automatically renew for successive twelve (12) month periods (each, a “Renewal Term”) unless either Party provides the other with written notice of non-renewal at least thirty (30) calendar days prior to the expiration of the Initial Term or the then-current Renewal Term, as applicable.</w:t>
      </w:r>
    </w:p>
    <w:p w14:paraId="7B3E49BB" w14:textId="14C6555F" w:rsidR="0006530C" w:rsidRPr="007F76B6" w:rsidRDefault="008A22BE" w:rsidP="007F76B6">
      <w:pPr>
        <w:pStyle w:val="ListParagraph"/>
        <w:spacing w:before="100" w:beforeAutospacing="1" w:after="100" w:afterAutospacing="1"/>
        <w:ind w:left="1080"/>
        <w:rPr>
          <w:b/>
        </w:rPr>
      </w:pPr>
      <w:r w:rsidRPr="00213AFE">
        <w:rPr>
          <w:rFonts w:cstheme="minorHAnsi"/>
        </w:rPr>
        <w:t>Either Party may terminate this Agreement prior to the expiration of the Initial Term or any Renewal Term, with or without cause, by providing thirty (30) calendar days’ prior written notice to the other Party. Upon expiration or termination of this Agreement, each Party shall cease using the other Party’s Marks as soon as reasonably practicable and, in any event, no later than the effective date of expiration or termination</w:t>
      </w:r>
      <w:r w:rsidR="0006530C" w:rsidRPr="00213AFE">
        <w:rPr>
          <w:rFonts w:cstheme="minorHAnsi"/>
        </w:rPr>
        <w:t>.</w:t>
      </w:r>
    </w:p>
    <w:p w14:paraId="05657884" w14:textId="1C8F9645" w:rsidR="00F03245" w:rsidRPr="007F76B6" w:rsidRDefault="00022D8C" w:rsidP="007F76B6">
      <w:pPr>
        <w:pStyle w:val="ListParagraph"/>
        <w:numPr>
          <w:ilvl w:val="1"/>
          <w:numId w:val="19"/>
        </w:numPr>
        <w:spacing w:before="100" w:beforeAutospacing="1" w:after="100" w:afterAutospacing="1"/>
        <w:ind w:left="1080" w:hanging="540"/>
        <w:rPr>
          <w:b/>
        </w:rPr>
      </w:pPr>
      <w:r w:rsidRPr="0006530C">
        <w:rPr>
          <w:rFonts w:cstheme="minorHAnsi"/>
        </w:rPr>
        <w:t>Notwithstanding the expiration or termination of this Agreement, Dynascale shall remain obligated to pay Commissions with respect to New Customers referred prior to such expiration or termination for a period of six (6) months thereafter, provided that the Referral Partner continues to comply with all applicable surviving provisions of this Agreement.</w:t>
      </w:r>
    </w:p>
    <w:p w14:paraId="69E36023" w14:textId="7D1BA331" w:rsidR="00F03245" w:rsidRPr="007F76B6" w:rsidRDefault="001314CE" w:rsidP="007F76B6">
      <w:pPr>
        <w:pStyle w:val="ListParagraph"/>
        <w:numPr>
          <w:ilvl w:val="1"/>
          <w:numId w:val="19"/>
        </w:numPr>
        <w:spacing w:before="100" w:beforeAutospacing="1" w:after="100" w:afterAutospacing="1"/>
        <w:ind w:left="1080" w:hanging="540"/>
        <w:rPr>
          <w:b/>
        </w:rPr>
      </w:pPr>
      <w:r w:rsidRPr="00F03245">
        <w:rPr>
          <w:rFonts w:cstheme="minorHAnsi"/>
        </w:rPr>
        <w:t xml:space="preserve">The obligations and rights set forth in Sections 3, 4, 5, 6, 7, 9, 10, 11, 13, 14, 16, 17, 18, 19, and 20, along with any other provisions of this Agreement which by their nature are intended to survive termination or expiration, shall survive and continue </w:t>
      </w:r>
      <w:r w:rsidRPr="00F03245">
        <w:rPr>
          <w:rFonts w:cstheme="minorHAnsi"/>
        </w:rPr>
        <w:lastRenderedPageBreak/>
        <w:t>in full force and effect notwithstanding the expiration or termination of this Agreement.</w:t>
      </w:r>
    </w:p>
    <w:p w14:paraId="15A42EEA" w14:textId="77777777" w:rsidR="00354832" w:rsidRPr="007F76B6" w:rsidRDefault="00354832" w:rsidP="007F76B6">
      <w:pPr>
        <w:pStyle w:val="ListParagraph"/>
        <w:spacing w:before="100" w:beforeAutospacing="1" w:after="100" w:afterAutospacing="1"/>
        <w:rPr>
          <w:b/>
        </w:rPr>
      </w:pPr>
    </w:p>
    <w:p w14:paraId="18729898" w14:textId="2FB97879" w:rsidR="00354832" w:rsidRPr="00F03245" w:rsidRDefault="00354832" w:rsidP="00354832">
      <w:pPr>
        <w:pStyle w:val="ListParagraph"/>
        <w:spacing w:before="100" w:beforeAutospacing="1" w:after="100" w:afterAutospacing="1"/>
        <w:rPr>
          <w:rFonts w:eastAsia="Times New Roman" w:cstheme="minorHAnsi"/>
          <w:b/>
          <w:bCs/>
        </w:rPr>
      </w:pPr>
    </w:p>
    <w:p w14:paraId="35147EB4" w14:textId="06D5A0A5" w:rsidR="00354832" w:rsidRPr="007F76B6" w:rsidRDefault="4C701E6B" w:rsidP="007F76B6">
      <w:pPr>
        <w:pStyle w:val="ListParagraph"/>
        <w:numPr>
          <w:ilvl w:val="3"/>
          <w:numId w:val="4"/>
        </w:numPr>
        <w:spacing w:before="100" w:beforeAutospacing="1" w:after="100" w:afterAutospacing="1"/>
        <w:ind w:left="540" w:hanging="540"/>
        <w:rPr>
          <w:b/>
        </w:rPr>
      </w:pPr>
      <w:r w:rsidRPr="00F03245">
        <w:rPr>
          <w:rFonts w:cstheme="minorHAnsi"/>
          <w:b/>
          <w:bCs/>
        </w:rPr>
        <w:t>CONFIDENTIAL INFORMATION</w:t>
      </w:r>
      <w:r w:rsidR="3E828449" w:rsidRPr="00F03245">
        <w:rPr>
          <w:rFonts w:cstheme="minorHAnsi"/>
          <w:b/>
          <w:bCs/>
        </w:rPr>
        <w:t>.</w:t>
      </w:r>
    </w:p>
    <w:p w14:paraId="75711C0F" w14:textId="48952E15" w:rsidR="00834E41" w:rsidRPr="00354832" w:rsidRDefault="00834E41" w:rsidP="00834E41">
      <w:pPr>
        <w:pStyle w:val="ListParagraph"/>
        <w:spacing w:before="100" w:beforeAutospacing="1" w:after="100" w:afterAutospacing="1"/>
        <w:ind w:left="360"/>
        <w:rPr>
          <w:rFonts w:eastAsia="Times New Roman" w:cstheme="minorHAnsi"/>
          <w:b/>
          <w:bCs/>
        </w:rPr>
      </w:pPr>
    </w:p>
    <w:p w14:paraId="3E4B383B" w14:textId="57C7EEC0" w:rsidR="00F578CC" w:rsidRPr="007F76B6" w:rsidRDefault="4C701E6B" w:rsidP="007F76B6">
      <w:pPr>
        <w:pStyle w:val="ListParagraph"/>
        <w:numPr>
          <w:ilvl w:val="1"/>
          <w:numId w:val="20"/>
        </w:numPr>
        <w:spacing w:before="100" w:beforeAutospacing="1" w:after="100" w:afterAutospacing="1"/>
        <w:ind w:left="1080" w:hanging="540"/>
        <w:rPr>
          <w:b/>
        </w:rPr>
      </w:pPr>
      <w:r w:rsidRPr="00627F39">
        <w:rPr>
          <w:rFonts w:cstheme="minorHAnsi"/>
          <w:b/>
          <w:bCs/>
        </w:rPr>
        <w:t xml:space="preserve">Use of Confidential Information. </w:t>
      </w:r>
      <w:r w:rsidR="00F0400E" w:rsidRPr="00627F39">
        <w:rPr>
          <w:rFonts w:cstheme="minorHAnsi"/>
        </w:rPr>
        <w:t>Each Party shall use the other Party’s Confidential Information solely for purposes of performing its obligations under this Agreement, exercising its rights hereunder, or as otherwise required by applicable law. Dynascale may use the Referral Partner’s Confidential Information to the extent necessary to deliver the services provided under any New Contract and to manage its business operations relating to the provision of such services.</w:t>
      </w:r>
    </w:p>
    <w:p w14:paraId="55759879" w14:textId="12ECE8C5" w:rsidR="005E7C1C" w:rsidRPr="005E7C1C" w:rsidRDefault="4C701E6B" w:rsidP="005E7C1C">
      <w:pPr>
        <w:pStyle w:val="ListParagraph"/>
        <w:numPr>
          <w:ilvl w:val="1"/>
          <w:numId w:val="20"/>
        </w:numPr>
        <w:spacing w:before="100" w:beforeAutospacing="1" w:after="100" w:afterAutospacing="1"/>
        <w:ind w:left="1080" w:hanging="540"/>
        <w:rPr>
          <w:rFonts w:eastAsia="Times New Roman" w:cstheme="minorHAnsi"/>
          <w:b/>
          <w:bCs/>
        </w:rPr>
      </w:pPr>
      <w:r w:rsidRPr="00F578CC">
        <w:rPr>
          <w:rFonts w:cstheme="minorHAnsi"/>
          <w:b/>
          <w:bCs/>
        </w:rPr>
        <w:t>Disclosure of Confidential Information.</w:t>
      </w:r>
      <w:r w:rsidR="00F578CC">
        <w:rPr>
          <w:rFonts w:cstheme="minorHAnsi"/>
          <w:b/>
          <w:bCs/>
        </w:rPr>
        <w:t xml:space="preserve"> </w:t>
      </w:r>
      <w:r w:rsidR="00E06E86" w:rsidRPr="00F578CC">
        <w:rPr>
          <w:rFonts w:cstheme="minorHAnsi"/>
        </w:rPr>
        <w:t>Each Party shall not disclose the other Party’s Confidential Information to any third party except:</w:t>
      </w:r>
      <w:r w:rsidR="005C6DDB" w:rsidRPr="00F578CC">
        <w:rPr>
          <w:rFonts w:cstheme="minorHAnsi"/>
        </w:rPr>
        <w:t xml:space="preserve"> </w:t>
      </w:r>
      <w:r w:rsidR="00E06E86" w:rsidRPr="007F76B6">
        <w:t xml:space="preserve">(i) </w:t>
      </w:r>
      <w:r w:rsidR="00E06E86" w:rsidRPr="00F578CC">
        <w:rPr>
          <w:rFonts w:cstheme="minorHAnsi"/>
        </w:rPr>
        <w:t>to its service providers, agents, or representatives, provided that such persons or entities are bound by confidentiality obligations no less restrictive than those set forth herein;</w:t>
      </w:r>
      <w:r w:rsidR="005C6DDB" w:rsidRPr="00F578CC">
        <w:rPr>
          <w:rFonts w:cstheme="minorHAnsi"/>
        </w:rPr>
        <w:t xml:space="preserve"> </w:t>
      </w:r>
      <w:r w:rsidR="00E06E86" w:rsidRPr="007F76B6">
        <w:t xml:space="preserve">(ii) </w:t>
      </w:r>
      <w:r w:rsidR="00E06E86" w:rsidRPr="00F578CC">
        <w:rPr>
          <w:rFonts w:cstheme="minorHAnsi"/>
        </w:rPr>
        <w:t>to any law enforcement or government authority, if required or if the disclosing Party reasonably believes that the other Party’s conduct may constitute a violation of applicable criminal law;</w:t>
      </w:r>
      <w:r w:rsidR="005C6DDB" w:rsidRPr="00F578CC">
        <w:rPr>
          <w:rFonts w:cstheme="minorHAnsi"/>
        </w:rPr>
        <w:t xml:space="preserve"> </w:t>
      </w:r>
      <w:r w:rsidR="00E06E86" w:rsidRPr="007F76B6">
        <w:t xml:space="preserve">(iii) </w:t>
      </w:r>
      <w:r w:rsidR="00E06E86" w:rsidRPr="00F578CC">
        <w:rPr>
          <w:rFonts w:cstheme="minorHAnsi"/>
        </w:rPr>
        <w:t>as required by applicable law; or</w:t>
      </w:r>
      <w:r w:rsidR="005C6DDB" w:rsidRPr="00F578CC">
        <w:rPr>
          <w:rFonts w:cstheme="minorHAnsi"/>
        </w:rPr>
        <w:t xml:space="preserve"> </w:t>
      </w:r>
      <w:r w:rsidR="00E06E86" w:rsidRPr="007F76B6">
        <w:t xml:space="preserve">(iv) </w:t>
      </w:r>
      <w:r w:rsidR="00E06E86" w:rsidRPr="00F578CC">
        <w:rPr>
          <w:rFonts w:cstheme="minorHAnsi"/>
        </w:rPr>
        <w:t>pursuant to a subpoena, court order, or other compulsory legal process, provided that the disclosing Party provides the other Party with at least seven (7) calendar days’ prior written notice (or as prompt notice as reasonably practicable if seven (7) days’ notice is not feasible), unless such notice is prohibited by law.</w:t>
      </w:r>
    </w:p>
    <w:p w14:paraId="69739B12" w14:textId="020D7883" w:rsidR="007A041E" w:rsidRPr="007F76B6" w:rsidRDefault="00E06E86" w:rsidP="007F76B6">
      <w:pPr>
        <w:pStyle w:val="ListParagraph"/>
        <w:spacing w:before="100" w:beforeAutospacing="1" w:after="100" w:afterAutospacing="1"/>
        <w:ind w:left="1080"/>
        <w:rPr>
          <w:b/>
        </w:rPr>
      </w:pPr>
      <w:r w:rsidRPr="005E7C1C">
        <w:rPr>
          <w:rFonts w:cstheme="minorHAnsi"/>
        </w:rPr>
        <w:t>No Party shall issue any public statements, press releases, or other public announcements concerning the Parties’ relationship or the terms of this Agreement without the prior written consent of the other Party, which consent shall not be unreasonably withheld</w:t>
      </w:r>
      <w:r w:rsidR="007A041E" w:rsidRPr="005E7C1C">
        <w:rPr>
          <w:rFonts w:cstheme="minorHAnsi"/>
        </w:rPr>
        <w:t>.</w:t>
      </w:r>
    </w:p>
    <w:p w14:paraId="025DC7EB" w14:textId="77777777" w:rsidR="007A041E" w:rsidRDefault="007A041E" w:rsidP="007F76B6">
      <w:pPr>
        <w:pStyle w:val="ListParagraph"/>
        <w:spacing w:before="100" w:beforeAutospacing="1" w:after="100" w:afterAutospacing="1"/>
        <w:rPr>
          <w:rFonts w:cstheme="minorHAnsi"/>
        </w:rPr>
      </w:pPr>
    </w:p>
    <w:p w14:paraId="25C71B13" w14:textId="406DADB2" w:rsidR="007A041E" w:rsidRDefault="007A041E" w:rsidP="007A041E">
      <w:pPr>
        <w:pStyle w:val="ListParagraph"/>
        <w:spacing w:before="100" w:beforeAutospacing="1" w:after="100" w:afterAutospacing="1"/>
        <w:rPr>
          <w:rFonts w:cstheme="minorHAnsi"/>
        </w:rPr>
      </w:pPr>
    </w:p>
    <w:p w14:paraId="5300470B" w14:textId="77777777" w:rsidR="005A2879" w:rsidRPr="005A2879" w:rsidRDefault="4C701E6B" w:rsidP="007F76B6">
      <w:pPr>
        <w:pStyle w:val="ListParagraph"/>
        <w:numPr>
          <w:ilvl w:val="3"/>
          <w:numId w:val="4"/>
        </w:numPr>
        <w:spacing w:before="100" w:beforeAutospacing="1" w:after="100" w:afterAutospacing="1"/>
        <w:ind w:left="540" w:hanging="540"/>
        <w:rPr>
          <w:rFonts w:cstheme="minorHAnsi"/>
        </w:rPr>
      </w:pPr>
      <w:r w:rsidRPr="007A041E">
        <w:rPr>
          <w:rFonts w:cstheme="minorHAnsi"/>
          <w:b/>
          <w:bCs/>
        </w:rPr>
        <w:t>REPRESENTATIONS AND WARRANTIES</w:t>
      </w:r>
      <w:r w:rsidR="5611BBE2" w:rsidRPr="007A041E">
        <w:rPr>
          <w:rFonts w:cstheme="minorHAnsi"/>
          <w:b/>
          <w:bCs/>
        </w:rPr>
        <w:t>.</w:t>
      </w:r>
    </w:p>
    <w:p w14:paraId="72B399F5" w14:textId="529EE6C4" w:rsidR="005A2879" w:rsidRDefault="005A2879" w:rsidP="005A2879">
      <w:pPr>
        <w:pStyle w:val="ListParagraph"/>
        <w:spacing w:before="100" w:beforeAutospacing="1" w:after="100" w:afterAutospacing="1"/>
        <w:ind w:left="540"/>
        <w:rPr>
          <w:rFonts w:cstheme="minorHAnsi"/>
          <w:b/>
          <w:bCs/>
        </w:rPr>
      </w:pPr>
    </w:p>
    <w:p w14:paraId="1ED8DE86" w14:textId="346C365D" w:rsidR="00C47376" w:rsidRPr="005A2879" w:rsidRDefault="00367992" w:rsidP="007F76B6">
      <w:pPr>
        <w:pStyle w:val="ListParagraph"/>
        <w:spacing w:before="100" w:beforeAutospacing="1" w:after="100" w:afterAutospacing="1"/>
        <w:ind w:left="540"/>
        <w:rPr>
          <w:rFonts w:cstheme="minorHAnsi"/>
        </w:rPr>
      </w:pPr>
      <w:r w:rsidRPr="005A2879">
        <w:rPr>
          <w:rFonts w:cstheme="minorHAnsi"/>
        </w:rPr>
        <w:t>The Referral Partner hereby represents and warrants to Dynascale that:</w:t>
      </w:r>
      <w:r w:rsidR="00E371D8" w:rsidRPr="005A2879">
        <w:rPr>
          <w:rFonts w:cstheme="minorHAnsi"/>
        </w:rPr>
        <w:t xml:space="preserve"> </w:t>
      </w:r>
      <w:r w:rsidRPr="007F76B6">
        <w:t>(</w:t>
      </w:r>
      <w:r w:rsidR="00E371D8" w:rsidRPr="007F76B6">
        <w:t>i</w:t>
      </w:r>
      <w:r w:rsidRPr="007F76B6">
        <w:t xml:space="preserve">) </w:t>
      </w:r>
      <w:r w:rsidRPr="005A2879">
        <w:rPr>
          <w:rFonts w:cstheme="minorHAnsi"/>
        </w:rPr>
        <w:t>all information furnished or to be furnished in connection with this Agreement, including any information entered into the Referral Partner Portal, is true, accurate, and complete in all material respects;</w:t>
      </w:r>
      <w:r w:rsidR="00E371D8" w:rsidRPr="005A2879">
        <w:rPr>
          <w:rFonts w:cstheme="minorHAnsi"/>
        </w:rPr>
        <w:t xml:space="preserve"> </w:t>
      </w:r>
      <w:r w:rsidRPr="005A2879">
        <w:rPr>
          <w:rFonts w:cstheme="minorHAnsi"/>
        </w:rPr>
        <w:t>(</w:t>
      </w:r>
      <w:r w:rsidR="00E371D8" w:rsidRPr="005A2879">
        <w:rPr>
          <w:rFonts w:cstheme="minorHAnsi"/>
        </w:rPr>
        <w:t>ii</w:t>
      </w:r>
      <w:r w:rsidRPr="005A2879">
        <w:rPr>
          <w:rFonts w:cstheme="minorHAnsi"/>
        </w:rPr>
        <w:t>) the Referral Partner has not been, and is not currently, the subject of any investigation, legal action, or proceeding concerning spamming, or any violation of applicable consumer protection, unfair competition, or deceptive trade practices laws or regulations; and</w:t>
      </w:r>
      <w:r w:rsidR="00E371D8" w:rsidRPr="005A2879">
        <w:rPr>
          <w:rFonts w:cstheme="minorHAnsi"/>
        </w:rPr>
        <w:t xml:space="preserve"> </w:t>
      </w:r>
      <w:r w:rsidRPr="007F76B6">
        <w:t>(</w:t>
      </w:r>
      <w:r w:rsidR="00E371D8" w:rsidRPr="007F76B6">
        <w:t>iii</w:t>
      </w:r>
      <w:r w:rsidRPr="007F76B6">
        <w:t xml:space="preserve">) </w:t>
      </w:r>
      <w:r w:rsidRPr="005A2879">
        <w:rPr>
          <w:rFonts w:cstheme="minorHAnsi"/>
        </w:rPr>
        <w:t>the execution, delivery, and performance of this Agreement does not, and will not, constitute a breach of, or conflict with, any agreement or obligation to which the Referral Partner is a party or by which it is otherwise bound.</w:t>
      </w:r>
    </w:p>
    <w:p w14:paraId="59914515" w14:textId="77777777" w:rsidR="00C47376" w:rsidRDefault="00C47376" w:rsidP="007F76B6">
      <w:pPr>
        <w:pStyle w:val="ListParagraph"/>
        <w:spacing w:before="100" w:beforeAutospacing="1" w:after="100" w:afterAutospacing="1"/>
        <w:rPr>
          <w:rFonts w:cstheme="minorHAnsi"/>
        </w:rPr>
      </w:pPr>
    </w:p>
    <w:p w14:paraId="5FA2E7ED" w14:textId="0045B928" w:rsidR="00C47376" w:rsidRDefault="00C47376" w:rsidP="00C47376">
      <w:pPr>
        <w:pStyle w:val="ListParagraph"/>
        <w:spacing w:before="100" w:beforeAutospacing="1" w:after="100" w:afterAutospacing="1"/>
        <w:rPr>
          <w:rFonts w:cstheme="minorHAnsi"/>
        </w:rPr>
      </w:pPr>
    </w:p>
    <w:p w14:paraId="57AB5A0E" w14:textId="4830D581" w:rsidR="009804FA" w:rsidRPr="00967799" w:rsidRDefault="4C701E6B" w:rsidP="007F76B6">
      <w:pPr>
        <w:pStyle w:val="ListParagraph"/>
        <w:numPr>
          <w:ilvl w:val="3"/>
          <w:numId w:val="4"/>
        </w:numPr>
        <w:spacing w:before="100" w:beforeAutospacing="1" w:after="100" w:afterAutospacing="1"/>
        <w:ind w:left="540" w:hanging="540"/>
        <w:rPr>
          <w:rFonts w:cstheme="minorHAnsi"/>
        </w:rPr>
      </w:pPr>
      <w:r w:rsidRPr="00C47376">
        <w:rPr>
          <w:rFonts w:cstheme="minorHAnsi"/>
          <w:b/>
          <w:bCs/>
        </w:rPr>
        <w:t>DISCLAIMER OF WARRANTIES</w:t>
      </w:r>
      <w:r w:rsidR="667D7246" w:rsidRPr="00C47376">
        <w:rPr>
          <w:rFonts w:cstheme="minorHAnsi"/>
          <w:b/>
          <w:bCs/>
        </w:rPr>
        <w:t>.</w:t>
      </w:r>
    </w:p>
    <w:p w14:paraId="50C9F62D" w14:textId="147B904E" w:rsidR="00967799" w:rsidRPr="009804FA" w:rsidRDefault="00967799" w:rsidP="00967799">
      <w:pPr>
        <w:pStyle w:val="ListParagraph"/>
        <w:spacing w:before="100" w:beforeAutospacing="1" w:after="100" w:afterAutospacing="1"/>
        <w:ind w:left="360"/>
        <w:rPr>
          <w:rFonts w:cstheme="minorHAnsi"/>
        </w:rPr>
      </w:pPr>
    </w:p>
    <w:p w14:paraId="17A2C856" w14:textId="40863674" w:rsidR="00792EAE" w:rsidRDefault="00C204F6" w:rsidP="00672D55">
      <w:pPr>
        <w:pStyle w:val="ListParagraph"/>
        <w:numPr>
          <w:ilvl w:val="1"/>
          <w:numId w:val="22"/>
        </w:numPr>
        <w:spacing w:before="100" w:beforeAutospacing="1" w:after="100" w:afterAutospacing="1"/>
        <w:ind w:left="1080" w:hanging="540"/>
        <w:rPr>
          <w:rFonts w:cstheme="minorHAnsi"/>
        </w:rPr>
      </w:pPr>
      <w:r w:rsidRPr="00967799">
        <w:rPr>
          <w:rFonts w:cstheme="minorHAnsi"/>
        </w:rPr>
        <w:lastRenderedPageBreak/>
        <w:t>Any warranties or representations provided in connection with a New Customer contract under this Agreement shall benefit only the New Customer and shall not extend to the Referral Partner. Dynascale disclaims all warranties, whether express, implied, statutory, or otherwise, including, without limitation, any warranties of merchantability, fitness for a particular purpose, or non-infringement, with respect to the Dynascale Services.</w:t>
      </w:r>
    </w:p>
    <w:p w14:paraId="6427AB19" w14:textId="22FE9969" w:rsidR="00A602A0" w:rsidRDefault="003F62D3" w:rsidP="007F76B6">
      <w:pPr>
        <w:pStyle w:val="ListParagraph"/>
        <w:numPr>
          <w:ilvl w:val="1"/>
          <w:numId w:val="22"/>
        </w:numPr>
        <w:spacing w:before="100" w:beforeAutospacing="1" w:after="100" w:afterAutospacing="1"/>
        <w:ind w:left="1080" w:hanging="540"/>
        <w:rPr>
          <w:rFonts w:cstheme="minorHAnsi"/>
        </w:rPr>
      </w:pPr>
      <w:r w:rsidRPr="00792EAE">
        <w:rPr>
          <w:rFonts w:cstheme="minorHAnsi"/>
        </w:rPr>
        <w:t>Except as expressly set forth in this Agreement, and to the maximum extent permitted under applicable law, Dynascale expressly disclaims all warranties, whether express, implied, statutory, or otherwise, including, without limitation, any implied warranties of merchantability, fitness for a particular purpose, freedom from viruses or other harmful components, accuracy, reliability, availability, non-infringement, and timeliness.</w:t>
      </w:r>
    </w:p>
    <w:p w14:paraId="6BAE8915" w14:textId="77777777" w:rsidR="00A602A0" w:rsidRDefault="00A602A0" w:rsidP="007F76B6">
      <w:pPr>
        <w:pStyle w:val="ListParagraph"/>
        <w:spacing w:before="100" w:beforeAutospacing="1" w:after="100" w:afterAutospacing="1"/>
        <w:rPr>
          <w:rFonts w:cstheme="minorHAnsi"/>
        </w:rPr>
      </w:pPr>
    </w:p>
    <w:p w14:paraId="70BD0178" w14:textId="63D2253C" w:rsidR="00A602A0" w:rsidRDefault="00A602A0" w:rsidP="00A602A0">
      <w:pPr>
        <w:pStyle w:val="ListParagraph"/>
        <w:spacing w:before="100" w:beforeAutospacing="1" w:after="100" w:afterAutospacing="1"/>
        <w:rPr>
          <w:rFonts w:cstheme="minorHAnsi"/>
        </w:rPr>
      </w:pPr>
    </w:p>
    <w:p w14:paraId="12765517" w14:textId="77777777" w:rsidR="009E4F0E" w:rsidRPr="005F431F" w:rsidRDefault="006A0707" w:rsidP="009E4F0E">
      <w:pPr>
        <w:pStyle w:val="ListParagraph"/>
        <w:numPr>
          <w:ilvl w:val="3"/>
          <w:numId w:val="4"/>
        </w:numPr>
        <w:spacing w:before="100" w:beforeAutospacing="1" w:after="100" w:afterAutospacing="1"/>
        <w:ind w:left="540" w:hanging="540"/>
        <w:rPr>
          <w:rFonts w:cstheme="minorHAnsi"/>
          <w:caps/>
        </w:rPr>
      </w:pPr>
      <w:r w:rsidRPr="005F431F">
        <w:rPr>
          <w:rFonts w:cstheme="minorHAnsi"/>
          <w:b/>
          <w:bCs/>
          <w:caps/>
        </w:rPr>
        <w:t>Limitation of Liability</w:t>
      </w:r>
      <w:r w:rsidR="008E52F4" w:rsidRPr="005F431F">
        <w:rPr>
          <w:rFonts w:cstheme="minorHAnsi"/>
          <w:b/>
          <w:bCs/>
          <w:caps/>
        </w:rPr>
        <w:t>.</w:t>
      </w:r>
    </w:p>
    <w:p w14:paraId="364CD0F5" w14:textId="77777777" w:rsidR="009E4F0E" w:rsidRPr="009E4F0E" w:rsidRDefault="009E4F0E" w:rsidP="009E4F0E">
      <w:pPr>
        <w:pStyle w:val="ListParagraph"/>
        <w:spacing w:before="100" w:beforeAutospacing="1" w:after="100" w:afterAutospacing="1"/>
        <w:ind w:left="540"/>
        <w:rPr>
          <w:rFonts w:cstheme="minorHAnsi"/>
        </w:rPr>
      </w:pPr>
    </w:p>
    <w:p w14:paraId="2054801C" w14:textId="097E0082" w:rsidR="008C6DC7" w:rsidRPr="007F76B6" w:rsidRDefault="00031C7B" w:rsidP="008C6DC7">
      <w:pPr>
        <w:pStyle w:val="ListParagraph"/>
        <w:numPr>
          <w:ilvl w:val="1"/>
          <w:numId w:val="26"/>
        </w:numPr>
        <w:spacing w:before="100" w:beforeAutospacing="1" w:after="100" w:afterAutospacing="1"/>
        <w:ind w:left="1080" w:hanging="540"/>
        <w:rPr>
          <w:rFonts w:cstheme="minorHAnsi"/>
        </w:rPr>
      </w:pPr>
      <w:r w:rsidRPr="00FC39EA">
        <w:rPr>
          <w:rFonts w:cstheme="minorHAnsi"/>
        </w:rPr>
        <w:t>Except as expressly provided for in Section 7 (</w:t>
      </w:r>
      <w:r w:rsidRPr="00FC39EA">
        <w:t>Confidential Information</w:t>
      </w:r>
      <w:r w:rsidRPr="00FC39EA">
        <w:rPr>
          <w:rFonts w:cstheme="minorHAnsi"/>
        </w:rPr>
        <w:t>) or for liability arising from infringement of the other Party’s intellectual property rights, neither Party, nor any of its employees, agents, affiliates, or suppliers, shall be liable to the other Party for any indirect, special, incidental, exemplary, or consequential damages, including, without limitation, loss of profits, loss of business, loss of data, loss of anticipated savings or revenue, or any losses that could have been avoided through the exercise of reasonable diligence, even if such Party has been advised of, or should have known of, the possibility of such damages.</w:t>
      </w:r>
    </w:p>
    <w:p w14:paraId="761CAEC6" w14:textId="7FAAA0E3" w:rsidR="008C6DC7" w:rsidRPr="007F76B6" w:rsidRDefault="00031C7B" w:rsidP="007F76B6">
      <w:pPr>
        <w:pStyle w:val="ListParagraph"/>
        <w:spacing w:before="100" w:beforeAutospacing="1" w:after="100" w:afterAutospacing="1"/>
        <w:ind w:left="1080"/>
        <w:rPr>
          <w:rFonts w:cstheme="minorHAnsi"/>
        </w:rPr>
      </w:pPr>
      <w:r w:rsidRPr="004F69F4">
        <w:rPr>
          <w:rFonts w:cstheme="minorHAnsi"/>
        </w:rPr>
        <w:t>Under no circumstances shall either Party be liable to the other for punitive or exemplary damages.</w:t>
      </w:r>
    </w:p>
    <w:p w14:paraId="255EDBAE" w14:textId="25EB8146" w:rsidR="00375FD2" w:rsidRPr="007F76B6" w:rsidRDefault="00722892" w:rsidP="007F76B6">
      <w:pPr>
        <w:pStyle w:val="ListParagraph"/>
        <w:numPr>
          <w:ilvl w:val="1"/>
          <w:numId w:val="26"/>
        </w:numPr>
        <w:spacing w:before="100" w:beforeAutospacing="1" w:after="100" w:afterAutospacing="1"/>
        <w:ind w:left="1080" w:hanging="540"/>
        <w:rPr>
          <w:rFonts w:cstheme="minorHAnsi"/>
        </w:rPr>
      </w:pPr>
      <w:r w:rsidRPr="004F69F4">
        <w:rPr>
          <w:rFonts w:cstheme="minorHAnsi"/>
        </w:rPr>
        <w:t>Except as expressly provided for in Section 5 (</w:t>
      </w:r>
      <w:r w:rsidRPr="004F69F4">
        <w:t>Indemnification</w:t>
      </w:r>
      <w:r w:rsidRPr="004F69F4">
        <w:rPr>
          <w:rFonts w:cstheme="minorHAnsi"/>
        </w:rPr>
        <w:t>) or Section 7 (</w:t>
      </w:r>
      <w:r w:rsidRPr="004F69F4">
        <w:t>Confidential Information</w:t>
      </w:r>
      <w:r w:rsidRPr="004F69F4">
        <w:rPr>
          <w:rFonts w:cstheme="minorHAnsi"/>
        </w:rPr>
        <w:t>), the total cumulative monetary liability of each Party, including its employees, agents, affiliates, or suppliers, for any and all claims arising under this Agreement, whether based in contract, tort, strict liability, or intellectual property infringement, shall not exceed the sum of all Commissions due and unpaid under this Agreement plus Two Thousand Five Hundred Dollars ($2,500.00).</w:t>
      </w:r>
    </w:p>
    <w:p w14:paraId="684EE989" w14:textId="2630A543" w:rsidR="002321FA" w:rsidRDefault="006A0707" w:rsidP="007F76B6">
      <w:pPr>
        <w:pStyle w:val="ListParagraph"/>
        <w:numPr>
          <w:ilvl w:val="1"/>
          <w:numId w:val="26"/>
        </w:numPr>
        <w:spacing w:before="100" w:beforeAutospacing="1" w:after="100" w:afterAutospacing="1"/>
        <w:ind w:left="1080" w:hanging="540"/>
        <w:rPr>
          <w:rFonts w:cstheme="minorHAnsi"/>
        </w:rPr>
      </w:pPr>
      <w:r w:rsidRPr="00375FD2">
        <w:rPr>
          <w:rFonts w:cstheme="minorHAnsi"/>
        </w:rPr>
        <w:t>Notwithstanding any other provision of this Agreement, no provision shall operate to exclude or limit a Party’s liability to a greater extent than is permitted under applicable law. In particular, nothing in this Agreement shall exclude or limit liability for fraud, fraudulent misrepresentation, or for death or personal injury resulting from negligence.</w:t>
      </w:r>
    </w:p>
    <w:p w14:paraId="1BB0E7F6" w14:textId="77777777" w:rsidR="002F1CCD" w:rsidRDefault="002F1CCD" w:rsidP="007F76B6">
      <w:pPr>
        <w:pStyle w:val="ListParagraph"/>
        <w:spacing w:before="100" w:beforeAutospacing="1" w:after="100" w:afterAutospacing="1"/>
        <w:ind w:left="1080"/>
        <w:rPr>
          <w:rFonts w:cstheme="minorHAnsi"/>
        </w:rPr>
      </w:pPr>
    </w:p>
    <w:p w14:paraId="0B8E41A8" w14:textId="19FFC80F" w:rsidR="002F1CCD" w:rsidRDefault="002F1CCD" w:rsidP="002F1CCD">
      <w:pPr>
        <w:pStyle w:val="ListParagraph"/>
        <w:spacing w:before="100" w:beforeAutospacing="1" w:after="100" w:afterAutospacing="1"/>
        <w:ind w:left="1080"/>
        <w:rPr>
          <w:rFonts w:cstheme="minorHAnsi"/>
        </w:rPr>
      </w:pPr>
    </w:p>
    <w:p w14:paraId="4A0ED896" w14:textId="3BE318B0" w:rsidR="005F4F71" w:rsidRPr="005F4F71" w:rsidRDefault="4C701E6B" w:rsidP="007F76B6">
      <w:pPr>
        <w:pStyle w:val="ListParagraph"/>
        <w:numPr>
          <w:ilvl w:val="3"/>
          <w:numId w:val="4"/>
        </w:numPr>
        <w:spacing w:before="100" w:beforeAutospacing="1" w:after="100" w:afterAutospacing="1"/>
        <w:ind w:left="540" w:hanging="540"/>
        <w:rPr>
          <w:rFonts w:cstheme="minorHAnsi"/>
        </w:rPr>
      </w:pPr>
      <w:r w:rsidRPr="002F1CCD">
        <w:rPr>
          <w:rFonts w:cstheme="minorHAnsi"/>
          <w:b/>
          <w:bCs/>
        </w:rPr>
        <w:t>GOVERNING LAW/DISPUTES</w:t>
      </w:r>
      <w:r w:rsidR="7B2F3568" w:rsidRPr="002F1CCD">
        <w:rPr>
          <w:rFonts w:cstheme="minorHAnsi"/>
          <w:b/>
          <w:bCs/>
        </w:rPr>
        <w:t>.</w:t>
      </w:r>
    </w:p>
    <w:p w14:paraId="7A1EEF30" w14:textId="77777777" w:rsidR="005F4F71" w:rsidRPr="005F4F71" w:rsidRDefault="005F4F71" w:rsidP="005F4F71">
      <w:pPr>
        <w:pStyle w:val="ListParagraph"/>
        <w:spacing w:before="100" w:beforeAutospacing="1" w:after="100" w:afterAutospacing="1"/>
        <w:ind w:left="540"/>
        <w:rPr>
          <w:rFonts w:cstheme="minorHAnsi"/>
        </w:rPr>
      </w:pPr>
    </w:p>
    <w:p w14:paraId="6D9382DF" w14:textId="59941935" w:rsidR="005F4F71" w:rsidRPr="007F76B6" w:rsidRDefault="00BE7B3B" w:rsidP="007F76B6">
      <w:pPr>
        <w:pStyle w:val="ListParagraph"/>
        <w:spacing w:before="100" w:beforeAutospacing="1" w:after="100" w:afterAutospacing="1"/>
        <w:ind w:left="540"/>
      </w:pPr>
      <w:r w:rsidRPr="007F76B6">
        <w:t>This Agreement shall be governed by</w:t>
      </w:r>
      <w:r w:rsidRPr="005F4F71">
        <w:rPr>
          <w:rFonts w:eastAsia="Times New Roman" w:cstheme="minorHAnsi"/>
        </w:rPr>
        <w:t>, and construed in accordance with,</w:t>
      </w:r>
      <w:r w:rsidRPr="007F76B6">
        <w:t xml:space="preserve"> the laws of the State of Nevada</w:t>
      </w:r>
      <w:r w:rsidRPr="005F4F71">
        <w:rPr>
          <w:rFonts w:eastAsia="Times New Roman" w:cstheme="minorHAnsi"/>
        </w:rPr>
        <w:t>, without giving effect to its conflict of laws principles.</w:t>
      </w:r>
      <w:r w:rsidRPr="007F76B6">
        <w:t xml:space="preserve"> Any dispute</w:t>
      </w:r>
      <w:r w:rsidRPr="005F4F71">
        <w:rPr>
          <w:rFonts w:eastAsia="Times New Roman" w:cstheme="minorHAnsi"/>
        </w:rPr>
        <w:t xml:space="preserve">, </w:t>
      </w:r>
      <w:r w:rsidRPr="005F4F71">
        <w:rPr>
          <w:rFonts w:eastAsia="Times New Roman" w:cstheme="minorHAnsi"/>
        </w:rPr>
        <w:lastRenderedPageBreak/>
        <w:t>controversy, or claim arising out of or relating</w:t>
      </w:r>
      <w:r w:rsidRPr="007F76B6">
        <w:t xml:space="preserve"> to this Agreement shall be subject to the </w:t>
      </w:r>
      <w:r w:rsidRPr="005F4F71">
        <w:rPr>
          <w:rFonts w:eastAsia="Times New Roman" w:cstheme="minorHAnsi"/>
        </w:rPr>
        <w:t xml:space="preserve">exclusive </w:t>
      </w:r>
      <w:r w:rsidRPr="007F76B6">
        <w:t>jurisdiction of the state or federal courts located in Las Vegas, Nevada.</w:t>
      </w:r>
    </w:p>
    <w:p w14:paraId="4A96B836" w14:textId="754C6CF2" w:rsidR="005F4F71" w:rsidRDefault="005F4F71" w:rsidP="005F4F71">
      <w:pPr>
        <w:pStyle w:val="ListParagraph"/>
        <w:spacing w:before="100" w:beforeAutospacing="1" w:after="100" w:afterAutospacing="1"/>
        <w:ind w:left="540"/>
        <w:rPr>
          <w:rFonts w:eastAsia="Times New Roman" w:cstheme="minorHAnsi"/>
        </w:rPr>
      </w:pPr>
    </w:p>
    <w:p w14:paraId="042D6546" w14:textId="4F1097A7" w:rsidR="00B604D5" w:rsidRPr="005F4F71" w:rsidRDefault="00BE7B3B" w:rsidP="005F4F71">
      <w:pPr>
        <w:pStyle w:val="ListParagraph"/>
        <w:spacing w:before="100" w:beforeAutospacing="1" w:after="100" w:afterAutospacing="1"/>
        <w:ind w:left="540"/>
        <w:rPr>
          <w:rFonts w:cstheme="minorHAnsi"/>
        </w:rPr>
      </w:pPr>
      <w:r w:rsidRPr="005F4F71">
        <w:rPr>
          <w:rFonts w:eastAsia="Times New Roman" w:cstheme="minorHAnsi"/>
        </w:rPr>
        <w:t>Each Party irrevocably and unconditionally waives any right to a trial by jury in any such dispute, including claims in contract, tort, or otherwise.</w:t>
      </w:r>
    </w:p>
    <w:p w14:paraId="6F21D6CF" w14:textId="77777777" w:rsidR="00B604D5" w:rsidRDefault="00B604D5" w:rsidP="00B604D5">
      <w:pPr>
        <w:pStyle w:val="ListParagraph"/>
        <w:spacing w:before="100" w:beforeAutospacing="1" w:after="100" w:afterAutospacing="1"/>
        <w:ind w:left="1080"/>
        <w:rPr>
          <w:rFonts w:eastAsia="Times New Roman" w:cstheme="minorHAnsi"/>
        </w:rPr>
      </w:pPr>
    </w:p>
    <w:p w14:paraId="668CF903" w14:textId="77777777" w:rsidR="00B604D5" w:rsidRDefault="00B604D5" w:rsidP="00B604D5">
      <w:pPr>
        <w:pStyle w:val="ListParagraph"/>
        <w:spacing w:before="100" w:beforeAutospacing="1" w:after="100" w:afterAutospacing="1"/>
        <w:ind w:left="1080"/>
        <w:rPr>
          <w:rFonts w:eastAsia="Times New Roman" w:cstheme="minorHAnsi"/>
        </w:rPr>
      </w:pPr>
    </w:p>
    <w:p w14:paraId="04E6838C" w14:textId="32C49BC4" w:rsidR="00406921" w:rsidRPr="00406921" w:rsidRDefault="4C701E6B" w:rsidP="00406921">
      <w:pPr>
        <w:pStyle w:val="ListParagraph"/>
        <w:numPr>
          <w:ilvl w:val="3"/>
          <w:numId w:val="4"/>
        </w:numPr>
        <w:spacing w:before="100" w:beforeAutospacing="1" w:after="100" w:afterAutospacing="1"/>
        <w:ind w:left="540" w:hanging="540"/>
        <w:rPr>
          <w:rFonts w:eastAsia="Times New Roman" w:cstheme="minorHAnsi"/>
        </w:rPr>
      </w:pPr>
      <w:r w:rsidRPr="00B604D5">
        <w:rPr>
          <w:rFonts w:cstheme="minorHAnsi"/>
          <w:b/>
          <w:bCs/>
        </w:rPr>
        <w:t>ASSIGNMENT</w:t>
      </w:r>
      <w:r w:rsidR="3AC8F01C" w:rsidRPr="00B604D5">
        <w:rPr>
          <w:rFonts w:cstheme="minorHAnsi"/>
          <w:b/>
          <w:bCs/>
        </w:rPr>
        <w:t>.</w:t>
      </w:r>
    </w:p>
    <w:p w14:paraId="38B01F01" w14:textId="05FBFEF2" w:rsidR="00406921" w:rsidRPr="00406921" w:rsidRDefault="00406921" w:rsidP="00406921">
      <w:pPr>
        <w:pStyle w:val="ListParagraph"/>
        <w:spacing w:before="100" w:beforeAutospacing="1" w:after="100" w:afterAutospacing="1"/>
        <w:ind w:left="540"/>
        <w:rPr>
          <w:rFonts w:eastAsia="Times New Roman" w:cstheme="minorHAnsi"/>
        </w:rPr>
      </w:pPr>
    </w:p>
    <w:p w14:paraId="7AD37940" w14:textId="60166E60" w:rsidR="008807AD" w:rsidRPr="00406921" w:rsidRDefault="00B74636" w:rsidP="007F76B6">
      <w:pPr>
        <w:pStyle w:val="ListParagraph"/>
        <w:spacing w:before="100" w:beforeAutospacing="1" w:after="100" w:afterAutospacing="1"/>
        <w:ind w:left="540"/>
        <w:rPr>
          <w:rFonts w:eastAsia="Times New Roman" w:cstheme="minorHAnsi"/>
        </w:rPr>
      </w:pPr>
      <w:r w:rsidRPr="00406921">
        <w:rPr>
          <w:rFonts w:cstheme="minorHAnsi"/>
        </w:rPr>
        <w:t>No Party may assign, delegate, or otherwise transfer this Agreement, in whole or in part, without the prior written consent of the other Party, except that a Party may assign this Agreement to a subsidiary, affiliate, or in connection with a transaction in which all or substantially all of its assets are transferred to a third party, provided that the assigning Party gives written notice of such assignment to the non-assigning Party. Subject to the foregoing, this Agreement shall be binding upon and inure to the benefit of the Parties and their respective successors and permitted assigns.</w:t>
      </w:r>
    </w:p>
    <w:p w14:paraId="3EE60A6C" w14:textId="77777777" w:rsidR="008807AD" w:rsidRDefault="008807AD" w:rsidP="007F76B6">
      <w:pPr>
        <w:pStyle w:val="ListParagraph"/>
        <w:spacing w:before="100" w:beforeAutospacing="1" w:after="100" w:afterAutospacing="1"/>
        <w:ind w:left="1080"/>
        <w:rPr>
          <w:rFonts w:cstheme="minorHAnsi"/>
        </w:rPr>
      </w:pPr>
    </w:p>
    <w:p w14:paraId="693DC8FB" w14:textId="4256DA97" w:rsidR="008807AD" w:rsidRPr="008807AD" w:rsidRDefault="008807AD" w:rsidP="008807AD">
      <w:pPr>
        <w:pStyle w:val="ListParagraph"/>
        <w:spacing w:before="100" w:beforeAutospacing="1" w:after="100" w:afterAutospacing="1"/>
        <w:ind w:left="1080"/>
        <w:rPr>
          <w:rFonts w:eastAsia="Times New Roman" w:cstheme="minorHAnsi"/>
        </w:rPr>
      </w:pPr>
    </w:p>
    <w:p w14:paraId="1897C969" w14:textId="0E07EA45" w:rsidR="008E70F8" w:rsidRDefault="4C701E6B" w:rsidP="007F76B6">
      <w:pPr>
        <w:pStyle w:val="ListParagraph"/>
        <w:spacing w:before="100" w:beforeAutospacing="1" w:after="100" w:afterAutospacing="1"/>
        <w:ind w:left="540"/>
        <w:rPr>
          <w:rFonts w:cstheme="minorHAnsi"/>
        </w:rPr>
      </w:pPr>
      <w:r w:rsidRPr="008807AD">
        <w:rPr>
          <w:rFonts w:cstheme="minorHAnsi"/>
          <w:b/>
          <w:bCs/>
        </w:rPr>
        <w:t>NOTICES</w:t>
      </w:r>
      <w:r w:rsidR="71546BE9" w:rsidRPr="008807AD">
        <w:rPr>
          <w:rFonts w:cstheme="minorHAnsi"/>
          <w:b/>
          <w:bCs/>
        </w:rPr>
        <w:t>.</w:t>
      </w:r>
      <w:r w:rsidR="0097034C" w:rsidRPr="008E70F8">
        <w:rPr>
          <w:rFonts w:cstheme="minorHAnsi"/>
        </w:rPr>
        <w:t xml:space="preserve"> under this Agreement shall be sent by email, with return receipt requested, and shall be confirmed in writing by either first-class mail or a recognized express courier service, to Dynascale at the address set forth below, and to the Referral Partner at the address maintained in Dynascale’s Referral Partner Program records.</w:t>
      </w:r>
    </w:p>
    <w:p w14:paraId="034E0063" w14:textId="77777777" w:rsidR="008E70F8" w:rsidRDefault="008E70F8" w:rsidP="007F76B6">
      <w:pPr>
        <w:pStyle w:val="ListParagraph"/>
        <w:spacing w:before="100" w:beforeAutospacing="1" w:after="100" w:afterAutospacing="1"/>
        <w:ind w:left="540"/>
        <w:rPr>
          <w:rFonts w:cstheme="minorHAnsi"/>
        </w:rPr>
      </w:pPr>
    </w:p>
    <w:p w14:paraId="52F43DED" w14:textId="77777777" w:rsidR="008E70F8" w:rsidRDefault="3EF0F6BE" w:rsidP="007F76B6">
      <w:pPr>
        <w:pStyle w:val="ListParagraph"/>
        <w:spacing w:before="100" w:beforeAutospacing="1" w:after="100" w:afterAutospacing="1"/>
        <w:ind w:left="540"/>
        <w:rPr>
          <w:rFonts w:cstheme="minorHAnsi"/>
        </w:rPr>
      </w:pPr>
      <w:r w:rsidRPr="008E70F8">
        <w:rPr>
          <w:rFonts w:cstheme="minorHAnsi"/>
        </w:rPr>
        <w:t xml:space="preserve">ATT: </w:t>
      </w:r>
      <w:r w:rsidR="28848E9C" w:rsidRPr="008E70F8">
        <w:rPr>
          <w:rFonts w:cstheme="minorHAnsi"/>
        </w:rPr>
        <w:t>Accounting</w:t>
      </w:r>
      <w:r w:rsidRPr="008E70F8">
        <w:rPr>
          <w:rFonts w:cstheme="minorHAnsi"/>
        </w:rPr>
        <w:t xml:space="preserve"> Department</w:t>
      </w:r>
    </w:p>
    <w:p w14:paraId="5B26A3B3" w14:textId="77777777" w:rsidR="008E70F8" w:rsidRDefault="3EF0F6BE" w:rsidP="007F76B6">
      <w:pPr>
        <w:pStyle w:val="ListParagraph"/>
        <w:spacing w:before="100" w:beforeAutospacing="1" w:after="100" w:afterAutospacing="1"/>
        <w:ind w:left="540"/>
        <w:rPr>
          <w:rFonts w:cstheme="minorHAnsi"/>
        </w:rPr>
      </w:pPr>
      <w:r w:rsidRPr="008E70F8">
        <w:rPr>
          <w:rFonts w:cstheme="minorHAnsi"/>
        </w:rPr>
        <w:t>Dynascale Technologies, Inc</w:t>
      </w:r>
      <w:r w:rsidR="003A7E5C" w:rsidRPr="008E70F8">
        <w:rPr>
          <w:rFonts w:cstheme="minorHAnsi"/>
        </w:rPr>
        <w:t>.</w:t>
      </w:r>
    </w:p>
    <w:p w14:paraId="2C4066DD" w14:textId="1B007C18" w:rsidR="008E70F8" w:rsidRDefault="3EF0F6BE" w:rsidP="008E70F8">
      <w:pPr>
        <w:pStyle w:val="ListParagraph"/>
        <w:spacing w:before="100" w:beforeAutospacing="1" w:after="100" w:afterAutospacing="1"/>
        <w:ind w:left="540"/>
        <w:rPr>
          <w:rFonts w:cstheme="minorHAnsi"/>
        </w:rPr>
      </w:pPr>
      <w:r w:rsidRPr="008E70F8">
        <w:rPr>
          <w:rFonts w:cstheme="minorHAnsi"/>
        </w:rPr>
        <w:t>5940 S. Rainbow Boulevard</w:t>
      </w:r>
    </w:p>
    <w:p w14:paraId="74365117" w14:textId="77777777" w:rsidR="008E70F8" w:rsidRDefault="3EF0F6BE" w:rsidP="007F76B6">
      <w:pPr>
        <w:pStyle w:val="ListParagraph"/>
        <w:spacing w:before="100" w:beforeAutospacing="1" w:after="100" w:afterAutospacing="1"/>
        <w:ind w:left="540"/>
        <w:rPr>
          <w:rFonts w:cstheme="minorHAnsi"/>
        </w:rPr>
      </w:pPr>
      <w:r w:rsidRPr="008E70F8">
        <w:rPr>
          <w:rFonts w:cstheme="minorHAnsi"/>
        </w:rPr>
        <w:t>Las Vegas, NV, 89118</w:t>
      </w:r>
    </w:p>
    <w:p w14:paraId="271E726C" w14:textId="554333D8" w:rsidR="008E70F8" w:rsidRDefault="008E70F8" w:rsidP="008E70F8">
      <w:pPr>
        <w:pStyle w:val="ListParagraph"/>
        <w:spacing w:before="100" w:beforeAutospacing="1" w:after="100" w:afterAutospacing="1"/>
        <w:ind w:left="540"/>
        <w:rPr>
          <w:rFonts w:cstheme="minorHAnsi"/>
        </w:rPr>
      </w:pPr>
    </w:p>
    <w:p w14:paraId="15B3E9C8" w14:textId="77777777" w:rsidR="008E70F8" w:rsidRDefault="008E70F8" w:rsidP="008E70F8">
      <w:pPr>
        <w:pStyle w:val="ListParagraph"/>
        <w:spacing w:before="100" w:beforeAutospacing="1" w:after="100" w:afterAutospacing="1"/>
        <w:ind w:left="540"/>
        <w:rPr>
          <w:rFonts w:cstheme="minorHAnsi"/>
        </w:rPr>
      </w:pPr>
      <w:hyperlink r:id="rId12" w:history="1">
        <w:r w:rsidRPr="009B1984">
          <w:rPr>
            <w:rStyle w:val="Hyperlink"/>
            <w:rFonts w:cstheme="minorHAnsi"/>
          </w:rPr>
          <w:t>sales@dynascale.com</w:t>
        </w:r>
      </w:hyperlink>
    </w:p>
    <w:p w14:paraId="05699F9F" w14:textId="77777777" w:rsidR="008E70F8" w:rsidRDefault="008E70F8" w:rsidP="008E70F8">
      <w:pPr>
        <w:pStyle w:val="ListParagraph"/>
        <w:spacing w:before="100" w:beforeAutospacing="1" w:after="100" w:afterAutospacing="1"/>
        <w:ind w:left="540"/>
        <w:rPr>
          <w:rFonts w:cstheme="minorHAnsi"/>
        </w:rPr>
      </w:pPr>
    </w:p>
    <w:p w14:paraId="493AA036" w14:textId="7A887631" w:rsidR="009035A8" w:rsidRPr="008E70F8" w:rsidRDefault="001E47C7" w:rsidP="007F76B6">
      <w:pPr>
        <w:pStyle w:val="ListParagraph"/>
        <w:spacing w:before="100" w:beforeAutospacing="1" w:after="100" w:afterAutospacing="1"/>
        <w:ind w:left="540"/>
        <w:rPr>
          <w:rFonts w:eastAsia="Times New Roman" w:cstheme="minorHAnsi"/>
        </w:rPr>
      </w:pPr>
      <w:r w:rsidRPr="008E70F8">
        <w:rPr>
          <w:rFonts w:cstheme="minorHAnsi"/>
        </w:rPr>
        <w:t>Any notice properly delivered pursuant to this Agreement shall be deemed received on the date of transmission if sent by email on a business day. If transmitted on a day that is not a business day, such notice shall be deemed received on the next succeeding business day.</w:t>
      </w:r>
    </w:p>
    <w:p w14:paraId="3B232CF4" w14:textId="77777777" w:rsidR="009035A8" w:rsidRDefault="009035A8" w:rsidP="007F76B6">
      <w:pPr>
        <w:pStyle w:val="ListParagraph"/>
        <w:spacing w:before="100" w:beforeAutospacing="1" w:after="100" w:afterAutospacing="1"/>
        <w:ind w:left="1080"/>
        <w:rPr>
          <w:rFonts w:cstheme="minorHAnsi"/>
        </w:rPr>
      </w:pPr>
    </w:p>
    <w:p w14:paraId="09E005C4" w14:textId="1EC828BA" w:rsidR="009035A8" w:rsidRDefault="009035A8" w:rsidP="009035A8">
      <w:pPr>
        <w:pStyle w:val="ListParagraph"/>
        <w:spacing w:before="100" w:beforeAutospacing="1" w:after="100" w:afterAutospacing="1"/>
        <w:ind w:left="1080"/>
        <w:rPr>
          <w:rFonts w:cstheme="minorHAnsi"/>
        </w:rPr>
      </w:pPr>
    </w:p>
    <w:p w14:paraId="75E42421" w14:textId="1CFFF899" w:rsidR="00803EAD" w:rsidRPr="00803EAD" w:rsidRDefault="651EF0AF" w:rsidP="00803EAD">
      <w:pPr>
        <w:pStyle w:val="ListParagraph"/>
        <w:numPr>
          <w:ilvl w:val="3"/>
          <w:numId w:val="4"/>
        </w:numPr>
        <w:spacing w:before="100" w:beforeAutospacing="1" w:after="100" w:afterAutospacing="1"/>
        <w:ind w:left="540" w:hanging="540"/>
        <w:rPr>
          <w:rFonts w:cstheme="minorHAnsi"/>
        </w:rPr>
      </w:pPr>
      <w:r w:rsidRPr="009035A8">
        <w:rPr>
          <w:rFonts w:cstheme="minorHAnsi"/>
          <w:b/>
          <w:bCs/>
        </w:rPr>
        <w:t>RELATIONSHIP BETWEEN THE PARTIES.</w:t>
      </w:r>
    </w:p>
    <w:p w14:paraId="75561640" w14:textId="77777777" w:rsidR="00803EAD" w:rsidRPr="00803EAD" w:rsidRDefault="00803EAD" w:rsidP="00803EAD">
      <w:pPr>
        <w:pStyle w:val="ListParagraph"/>
        <w:spacing w:before="100" w:beforeAutospacing="1" w:after="100" w:afterAutospacing="1"/>
        <w:ind w:left="540"/>
        <w:rPr>
          <w:rFonts w:cstheme="minorHAnsi"/>
        </w:rPr>
      </w:pPr>
    </w:p>
    <w:p w14:paraId="3CA59292" w14:textId="423AD042" w:rsidR="008E70F8" w:rsidRDefault="00CB7DD6" w:rsidP="008E70F8">
      <w:pPr>
        <w:pStyle w:val="ListParagraph"/>
        <w:spacing w:before="100" w:beforeAutospacing="1" w:after="100" w:afterAutospacing="1"/>
        <w:ind w:left="540"/>
        <w:rPr>
          <w:rFonts w:cstheme="minorHAnsi"/>
        </w:rPr>
      </w:pPr>
      <w:r w:rsidRPr="00803EAD">
        <w:rPr>
          <w:rFonts w:cstheme="minorHAnsi"/>
        </w:rPr>
        <w:t>The Parties acknowledge that they are independent contractors, and nothing in this Agreement shall be construed to create a partnership, joint venture, agency, or fiduciary relationship between them. The Commission payable under this Agreement constitutes the sole and exclusive compensation to the Referral Partner for its performance hereunder.</w:t>
      </w:r>
    </w:p>
    <w:p w14:paraId="66688676" w14:textId="77777777" w:rsidR="008E70F8" w:rsidRDefault="008E70F8" w:rsidP="008E70F8">
      <w:pPr>
        <w:pStyle w:val="ListParagraph"/>
        <w:spacing w:before="100" w:beforeAutospacing="1" w:after="100" w:afterAutospacing="1"/>
        <w:ind w:left="540"/>
        <w:rPr>
          <w:rFonts w:cstheme="minorHAnsi"/>
        </w:rPr>
      </w:pPr>
    </w:p>
    <w:p w14:paraId="59C80F9D" w14:textId="1A90AC76" w:rsidR="00116782" w:rsidRPr="008E70F8" w:rsidRDefault="00CB7DD6" w:rsidP="007F76B6">
      <w:pPr>
        <w:pStyle w:val="ListParagraph"/>
        <w:spacing w:before="100" w:beforeAutospacing="1" w:after="100" w:afterAutospacing="1"/>
        <w:ind w:left="540"/>
        <w:rPr>
          <w:rFonts w:cstheme="minorHAnsi"/>
        </w:rPr>
      </w:pPr>
      <w:r w:rsidRPr="008E70F8">
        <w:rPr>
          <w:rFonts w:cstheme="minorHAnsi"/>
        </w:rPr>
        <w:lastRenderedPageBreak/>
        <w:t>Neither Party shall act as the agent of the other, nor shall either Party represent that it has the authority to bind the other Party in any service contract, agreement, or obligation. No Party shall take any action reasonably likely to lead third parties to believe that it is the agent, representative, or legal proxy of the other Party. This Agreement is non-exclusive, and nothing herein restricts either Party from engaging in business with other parties, subject to the obligations of this Agreement.</w:t>
      </w:r>
    </w:p>
    <w:p w14:paraId="2396A58A" w14:textId="77777777" w:rsidR="00116782" w:rsidRDefault="00116782" w:rsidP="007F76B6">
      <w:pPr>
        <w:pStyle w:val="ListParagraph"/>
        <w:spacing w:before="100" w:beforeAutospacing="1" w:after="100" w:afterAutospacing="1"/>
        <w:ind w:left="1080"/>
        <w:rPr>
          <w:rFonts w:cstheme="minorHAnsi"/>
        </w:rPr>
      </w:pPr>
    </w:p>
    <w:p w14:paraId="32831126" w14:textId="3B34F678" w:rsidR="00116782" w:rsidRDefault="00116782" w:rsidP="00116782">
      <w:pPr>
        <w:pStyle w:val="ListParagraph"/>
        <w:spacing w:before="100" w:beforeAutospacing="1" w:after="100" w:afterAutospacing="1"/>
        <w:ind w:left="1080"/>
        <w:rPr>
          <w:rFonts w:cstheme="minorHAnsi"/>
        </w:rPr>
      </w:pPr>
    </w:p>
    <w:p w14:paraId="41B0A77E" w14:textId="5EA15B70" w:rsidR="00803EAD" w:rsidRPr="00803EAD" w:rsidRDefault="651EF0AF" w:rsidP="00803EAD">
      <w:pPr>
        <w:pStyle w:val="ListParagraph"/>
        <w:numPr>
          <w:ilvl w:val="3"/>
          <w:numId w:val="4"/>
        </w:numPr>
        <w:spacing w:before="100" w:beforeAutospacing="1" w:after="100" w:afterAutospacing="1"/>
        <w:ind w:left="540" w:hanging="540"/>
        <w:rPr>
          <w:rFonts w:eastAsia="Times New Roman" w:cstheme="minorHAnsi"/>
        </w:rPr>
      </w:pPr>
      <w:r w:rsidRPr="00FC3908">
        <w:rPr>
          <w:rFonts w:cstheme="minorHAnsi"/>
          <w:b/>
          <w:bCs/>
        </w:rPr>
        <w:t>NON-SOLICITATION.</w:t>
      </w:r>
    </w:p>
    <w:p w14:paraId="435FE739" w14:textId="77777777" w:rsidR="00803EAD" w:rsidRDefault="00803EAD" w:rsidP="00803EAD">
      <w:pPr>
        <w:pStyle w:val="ListParagraph"/>
        <w:spacing w:before="100" w:beforeAutospacing="1" w:after="100" w:afterAutospacing="1"/>
        <w:ind w:left="540"/>
        <w:rPr>
          <w:rFonts w:cstheme="minorHAnsi"/>
          <w:b/>
          <w:bCs/>
        </w:rPr>
      </w:pPr>
    </w:p>
    <w:p w14:paraId="02D5570C" w14:textId="07F7F433" w:rsidR="00803EAD" w:rsidRDefault="009979EF" w:rsidP="00803EAD">
      <w:pPr>
        <w:pStyle w:val="ListParagraph"/>
        <w:spacing w:before="100" w:beforeAutospacing="1" w:after="100" w:afterAutospacing="1"/>
        <w:ind w:left="540"/>
        <w:rPr>
          <w:rFonts w:cstheme="minorHAnsi"/>
        </w:rPr>
      </w:pPr>
      <w:r w:rsidRPr="00803EAD">
        <w:rPr>
          <w:rFonts w:cstheme="minorHAnsi"/>
        </w:rPr>
        <w:t>During the term of this Agreement, including the Initial Term and any Renewal Terms, and for twelve (12) months following the expiration or termination of this Agreement, the Referral Partner shall not, directly or indirectly, solicit, induce, or encourage any New Customer to move or transfer their Hosting Services account to a competitor or alternative provider.</w:t>
      </w:r>
    </w:p>
    <w:p w14:paraId="3B158943" w14:textId="77777777" w:rsidR="00803EAD" w:rsidRDefault="00803EAD" w:rsidP="00803EAD">
      <w:pPr>
        <w:pStyle w:val="ListParagraph"/>
        <w:spacing w:before="100" w:beforeAutospacing="1" w:after="100" w:afterAutospacing="1"/>
        <w:ind w:left="540"/>
        <w:rPr>
          <w:rFonts w:cstheme="minorHAnsi"/>
        </w:rPr>
      </w:pPr>
    </w:p>
    <w:p w14:paraId="5F08DD9A" w14:textId="23EB3C95" w:rsidR="00112D10" w:rsidRPr="00803EAD" w:rsidRDefault="009979EF" w:rsidP="007F76B6">
      <w:pPr>
        <w:pStyle w:val="ListParagraph"/>
        <w:spacing w:before="100" w:beforeAutospacing="1" w:after="100" w:afterAutospacing="1"/>
        <w:ind w:left="540"/>
        <w:rPr>
          <w:rFonts w:eastAsia="Times New Roman" w:cstheme="minorHAnsi"/>
        </w:rPr>
      </w:pPr>
      <w:r w:rsidRPr="00803EAD">
        <w:rPr>
          <w:rFonts w:cstheme="minorHAnsi"/>
        </w:rPr>
        <w:t>For clarity, this restriction shall not prevent a New Customer from independently deciding to transfer its Hosting Services account, nor shall it restrict the Referral Partner from offering or providing services to a New Customer that are unrelated to the Hosting Services for which the New Customer was referred.</w:t>
      </w:r>
    </w:p>
    <w:p w14:paraId="2F4E65A5" w14:textId="77777777" w:rsidR="00112D10" w:rsidRDefault="00112D10" w:rsidP="007F76B6">
      <w:pPr>
        <w:pStyle w:val="ListParagraph"/>
        <w:spacing w:before="100" w:beforeAutospacing="1" w:after="100" w:afterAutospacing="1"/>
        <w:ind w:left="1080"/>
        <w:rPr>
          <w:rFonts w:cstheme="minorHAnsi"/>
        </w:rPr>
      </w:pPr>
    </w:p>
    <w:p w14:paraId="6C00BB7B" w14:textId="389ED53B" w:rsidR="00112D10" w:rsidRDefault="00112D10" w:rsidP="00112D10">
      <w:pPr>
        <w:pStyle w:val="ListParagraph"/>
        <w:spacing w:before="100" w:beforeAutospacing="1" w:after="100" w:afterAutospacing="1"/>
        <w:ind w:left="1080"/>
        <w:rPr>
          <w:rFonts w:cstheme="minorHAnsi"/>
        </w:rPr>
      </w:pPr>
    </w:p>
    <w:p w14:paraId="030A17F6" w14:textId="05984E20" w:rsidR="00421226" w:rsidRPr="00421226" w:rsidRDefault="651EF0AF" w:rsidP="00440443">
      <w:pPr>
        <w:pStyle w:val="ListParagraph"/>
        <w:numPr>
          <w:ilvl w:val="3"/>
          <w:numId w:val="4"/>
        </w:numPr>
        <w:spacing w:before="100" w:beforeAutospacing="1" w:after="100" w:afterAutospacing="1"/>
        <w:ind w:left="540" w:hanging="540"/>
        <w:rPr>
          <w:rFonts w:eastAsia="Times New Roman" w:cstheme="minorHAnsi"/>
        </w:rPr>
      </w:pPr>
      <w:r w:rsidRPr="00FC3908">
        <w:rPr>
          <w:rFonts w:cstheme="minorHAnsi"/>
          <w:b/>
          <w:bCs/>
        </w:rPr>
        <w:t>IMPROPER CONDUCT.</w:t>
      </w:r>
    </w:p>
    <w:p w14:paraId="5710C829" w14:textId="77777777" w:rsidR="00421226" w:rsidRDefault="00421226" w:rsidP="00421226">
      <w:pPr>
        <w:pStyle w:val="ListParagraph"/>
        <w:spacing w:before="100" w:beforeAutospacing="1" w:after="100" w:afterAutospacing="1"/>
        <w:ind w:left="540"/>
        <w:rPr>
          <w:rFonts w:cstheme="minorHAnsi"/>
          <w:b/>
          <w:bCs/>
        </w:rPr>
      </w:pPr>
    </w:p>
    <w:p w14:paraId="51953FC5" w14:textId="06AF29C0" w:rsidR="00421226" w:rsidRDefault="00440443" w:rsidP="00421226">
      <w:pPr>
        <w:pStyle w:val="ListParagraph"/>
        <w:spacing w:before="100" w:beforeAutospacing="1" w:after="100" w:afterAutospacing="1"/>
        <w:ind w:left="540"/>
        <w:rPr>
          <w:rFonts w:cstheme="minorHAnsi"/>
        </w:rPr>
      </w:pPr>
      <w:r w:rsidRPr="00421226">
        <w:rPr>
          <w:rFonts w:cstheme="minorHAnsi"/>
        </w:rPr>
        <w:t>The Referral Partner shall implement and maintain a corporate anti-bribery and anti-corruption policy that: (a) communicates to all employees, agents, and representatives the requirement to comply with all applicable anti-bribery and anti-corruption laws; (b) establishes recommended practices for compliance; and (c) enforces appropriate disciplinary measures for any violations of such policy or applicable law</w:t>
      </w:r>
      <w:r w:rsidR="00421226">
        <w:rPr>
          <w:rFonts w:cstheme="minorHAnsi"/>
        </w:rPr>
        <w:t>.</w:t>
      </w:r>
    </w:p>
    <w:p w14:paraId="01AB68B3" w14:textId="77777777" w:rsidR="00421226" w:rsidRDefault="00421226" w:rsidP="00421226">
      <w:pPr>
        <w:pStyle w:val="ListParagraph"/>
        <w:spacing w:before="100" w:beforeAutospacing="1" w:after="100" w:afterAutospacing="1"/>
        <w:ind w:left="540"/>
        <w:rPr>
          <w:rFonts w:cstheme="minorHAnsi"/>
        </w:rPr>
      </w:pPr>
    </w:p>
    <w:p w14:paraId="0D410796" w14:textId="14015A80" w:rsidR="00421226" w:rsidRDefault="00440443" w:rsidP="007F76B6">
      <w:pPr>
        <w:pStyle w:val="ListParagraph"/>
        <w:spacing w:before="100" w:beforeAutospacing="1" w:after="100" w:afterAutospacing="1"/>
        <w:ind w:left="540"/>
        <w:rPr>
          <w:rFonts w:eastAsia="Times New Roman" w:cstheme="minorHAnsi"/>
        </w:rPr>
      </w:pPr>
      <w:r w:rsidRPr="00440443">
        <w:rPr>
          <w:rFonts w:eastAsia="Times New Roman" w:cstheme="minorHAnsi"/>
        </w:rPr>
        <w:t>The Referral Partner shall provide Dynascale, upon request, with a copy of such policy. The Referral Partner shall cooperate with Dynascale, at Dynascale’s reasonable expense, in any audits conducted to verify compliance with this policy and applicable law.</w:t>
      </w:r>
    </w:p>
    <w:p w14:paraId="5CEA0888" w14:textId="77777777" w:rsidR="00AB4070" w:rsidRDefault="00AB4070" w:rsidP="007F76B6">
      <w:pPr>
        <w:pStyle w:val="ListParagraph"/>
        <w:spacing w:before="100" w:beforeAutospacing="1" w:after="100" w:afterAutospacing="1"/>
        <w:ind w:left="540"/>
        <w:rPr>
          <w:rFonts w:eastAsia="Times New Roman" w:cstheme="minorHAnsi"/>
        </w:rPr>
      </w:pPr>
    </w:p>
    <w:p w14:paraId="18341DD4" w14:textId="164BC55C" w:rsidR="00AB4070" w:rsidRDefault="00AB4070" w:rsidP="00421226">
      <w:pPr>
        <w:pStyle w:val="ListParagraph"/>
        <w:spacing w:before="100" w:beforeAutospacing="1" w:after="100" w:afterAutospacing="1"/>
        <w:ind w:left="540"/>
        <w:rPr>
          <w:rFonts w:eastAsia="Times New Roman" w:cstheme="minorHAnsi"/>
        </w:rPr>
      </w:pPr>
    </w:p>
    <w:p w14:paraId="0C79AAF5" w14:textId="7AC945AE" w:rsidR="00AB4070" w:rsidRPr="00AB4070" w:rsidRDefault="651EF0AF" w:rsidP="00AB4070">
      <w:pPr>
        <w:pStyle w:val="ListParagraph"/>
        <w:numPr>
          <w:ilvl w:val="3"/>
          <w:numId w:val="4"/>
        </w:numPr>
        <w:spacing w:before="100" w:beforeAutospacing="1" w:after="100" w:afterAutospacing="1"/>
        <w:ind w:left="540" w:hanging="540"/>
        <w:rPr>
          <w:rFonts w:eastAsia="Times New Roman" w:cstheme="minorHAnsi"/>
        </w:rPr>
      </w:pPr>
      <w:r w:rsidRPr="00FC3908">
        <w:rPr>
          <w:rFonts w:cstheme="minorHAnsi"/>
          <w:b/>
          <w:bCs/>
        </w:rPr>
        <w:t>CURRENCY.</w:t>
      </w:r>
    </w:p>
    <w:p w14:paraId="47EDE44D" w14:textId="77777777" w:rsidR="00AB4070" w:rsidRDefault="00AB4070" w:rsidP="00AB4070">
      <w:pPr>
        <w:pStyle w:val="ListParagraph"/>
        <w:spacing w:before="100" w:beforeAutospacing="1" w:after="100" w:afterAutospacing="1"/>
        <w:ind w:left="540"/>
        <w:rPr>
          <w:rFonts w:cstheme="minorHAnsi"/>
          <w:b/>
          <w:bCs/>
        </w:rPr>
      </w:pPr>
    </w:p>
    <w:p w14:paraId="204BFE62" w14:textId="1333C4CC" w:rsidR="00AB4070" w:rsidRDefault="0045159F" w:rsidP="007F76B6">
      <w:pPr>
        <w:pStyle w:val="ListParagraph"/>
        <w:spacing w:before="100" w:beforeAutospacing="1" w:after="100" w:afterAutospacing="1"/>
        <w:ind w:left="540"/>
        <w:rPr>
          <w:rFonts w:cstheme="minorHAnsi"/>
        </w:rPr>
      </w:pPr>
      <w:r w:rsidRPr="00FC3908">
        <w:rPr>
          <w:rFonts w:cstheme="minorHAnsi"/>
        </w:rPr>
        <w:t>All monetary amounts referred to in this Agreement as “$” or dollars shall be denominated in and payable in United States Dollars (USD).</w:t>
      </w:r>
    </w:p>
    <w:p w14:paraId="09083CBE" w14:textId="77777777" w:rsidR="00511E7A" w:rsidRDefault="00511E7A" w:rsidP="007F76B6">
      <w:pPr>
        <w:pStyle w:val="ListParagraph"/>
        <w:spacing w:before="100" w:beforeAutospacing="1" w:after="100" w:afterAutospacing="1"/>
        <w:ind w:left="540"/>
        <w:rPr>
          <w:rFonts w:cstheme="minorHAnsi"/>
        </w:rPr>
      </w:pPr>
    </w:p>
    <w:p w14:paraId="11B98B72" w14:textId="71BB8E1B" w:rsidR="00BC030B" w:rsidRDefault="00BC030B" w:rsidP="00784346">
      <w:pPr>
        <w:pStyle w:val="ListParagraph"/>
        <w:spacing w:before="100" w:beforeAutospacing="1" w:after="100" w:afterAutospacing="1"/>
        <w:ind w:left="540"/>
        <w:rPr>
          <w:rFonts w:cstheme="minorHAnsi"/>
        </w:rPr>
      </w:pPr>
    </w:p>
    <w:p w14:paraId="2BC5F16D" w14:textId="43478671" w:rsidR="003E2A67" w:rsidRPr="003E2A67" w:rsidRDefault="651EF0AF" w:rsidP="0053050E">
      <w:pPr>
        <w:pStyle w:val="ListParagraph"/>
        <w:numPr>
          <w:ilvl w:val="3"/>
          <w:numId w:val="4"/>
        </w:numPr>
        <w:spacing w:before="100" w:beforeAutospacing="1" w:after="100" w:afterAutospacing="1"/>
        <w:ind w:left="540" w:hanging="540"/>
        <w:rPr>
          <w:rFonts w:eastAsia="Times New Roman" w:cstheme="minorHAnsi"/>
        </w:rPr>
      </w:pPr>
      <w:r w:rsidRPr="00FC3908">
        <w:rPr>
          <w:rFonts w:cstheme="minorHAnsi"/>
          <w:b/>
          <w:bCs/>
        </w:rPr>
        <w:t>TERMINATION OF EXISTING PARTNER AGREEMENT.</w:t>
      </w:r>
    </w:p>
    <w:p w14:paraId="180C1D41" w14:textId="77777777" w:rsidR="003E2A67" w:rsidRDefault="003E2A67" w:rsidP="003E2A67">
      <w:pPr>
        <w:pStyle w:val="ListParagraph"/>
        <w:spacing w:before="100" w:beforeAutospacing="1" w:after="100" w:afterAutospacing="1"/>
        <w:ind w:left="540"/>
        <w:rPr>
          <w:rFonts w:cstheme="minorHAnsi"/>
          <w:b/>
          <w:bCs/>
        </w:rPr>
      </w:pPr>
    </w:p>
    <w:p w14:paraId="00AA93D9" w14:textId="2AE19759" w:rsidR="003E2A67" w:rsidRDefault="0053050E" w:rsidP="003E2A67">
      <w:pPr>
        <w:pStyle w:val="ListParagraph"/>
        <w:spacing w:before="100" w:beforeAutospacing="1" w:after="100" w:afterAutospacing="1"/>
        <w:ind w:left="540"/>
        <w:rPr>
          <w:rFonts w:cstheme="minorHAnsi"/>
        </w:rPr>
      </w:pPr>
      <w:r w:rsidRPr="003E2A67">
        <w:rPr>
          <w:rFonts w:cstheme="minorHAnsi"/>
        </w:rPr>
        <w:lastRenderedPageBreak/>
        <w:t>This Agreement supersedes and replaces any and all prior agreements, whether written or oral, between the Referral Partner and Dynascale under which Dynascale agreed to pay Commissions or other benefits in exchange for referral, marketing, or resale services. All such prior agreements are terminated effective as of the Effective Date.</w:t>
      </w:r>
    </w:p>
    <w:p w14:paraId="52DFE4A5" w14:textId="77777777" w:rsidR="003E2A67" w:rsidRDefault="003E2A67" w:rsidP="003E2A67">
      <w:pPr>
        <w:pStyle w:val="ListParagraph"/>
        <w:spacing w:before="100" w:beforeAutospacing="1" w:after="100" w:afterAutospacing="1"/>
        <w:ind w:left="540"/>
        <w:rPr>
          <w:rFonts w:cstheme="minorHAnsi"/>
        </w:rPr>
      </w:pPr>
    </w:p>
    <w:p w14:paraId="1C3040B1" w14:textId="69B2FAB8" w:rsidR="003E2A67" w:rsidRDefault="0053050E" w:rsidP="007F76B6">
      <w:pPr>
        <w:pStyle w:val="ListParagraph"/>
        <w:spacing w:before="100" w:beforeAutospacing="1" w:after="100" w:afterAutospacing="1"/>
        <w:ind w:left="540"/>
        <w:rPr>
          <w:rFonts w:eastAsia="Times New Roman" w:cstheme="minorHAnsi"/>
        </w:rPr>
      </w:pPr>
      <w:r w:rsidRPr="0053050E">
        <w:rPr>
          <w:rFonts w:eastAsia="Times New Roman" w:cstheme="minorHAnsi"/>
        </w:rPr>
        <w:t>Any referrals made under a prior agreement shall, as of the Effective Date, be subject to the terms and conditions of this Agreement. The Referral Partner expressly waives any entitlement to Commissions or other benefits under any prior agreement for New Contracts occurring after the Effective Date and waives any rights to notices or other provisions under any such prior agreement.</w:t>
      </w:r>
    </w:p>
    <w:p w14:paraId="4A5C37CA" w14:textId="77777777" w:rsidR="003E2A67" w:rsidRDefault="003E2A67" w:rsidP="007F76B6">
      <w:pPr>
        <w:pStyle w:val="ListParagraph"/>
        <w:spacing w:before="100" w:beforeAutospacing="1" w:after="100" w:afterAutospacing="1"/>
        <w:ind w:left="540"/>
        <w:rPr>
          <w:rFonts w:eastAsia="Times New Roman" w:cstheme="minorHAnsi"/>
        </w:rPr>
      </w:pPr>
    </w:p>
    <w:p w14:paraId="5F369B92" w14:textId="23A2FCE1" w:rsidR="003E2A67" w:rsidRDefault="003E2A67" w:rsidP="003E2A67">
      <w:pPr>
        <w:pStyle w:val="ListParagraph"/>
        <w:spacing w:before="100" w:beforeAutospacing="1" w:after="100" w:afterAutospacing="1"/>
        <w:ind w:left="540"/>
        <w:rPr>
          <w:rFonts w:eastAsia="Times New Roman" w:cstheme="minorHAnsi"/>
        </w:rPr>
      </w:pPr>
    </w:p>
    <w:p w14:paraId="5024CB3C" w14:textId="4914BF04" w:rsidR="003E2A67" w:rsidRPr="007F76B6" w:rsidRDefault="651EF0AF" w:rsidP="007F76B6">
      <w:pPr>
        <w:pStyle w:val="ListParagraph"/>
        <w:numPr>
          <w:ilvl w:val="3"/>
          <w:numId w:val="4"/>
        </w:numPr>
        <w:spacing w:before="100" w:beforeAutospacing="1" w:after="100" w:afterAutospacing="1"/>
        <w:ind w:left="540" w:hanging="540"/>
      </w:pPr>
      <w:r w:rsidRPr="007F76B6">
        <w:rPr>
          <w:b/>
        </w:rPr>
        <w:t>MISCELLANEOUS.</w:t>
      </w:r>
    </w:p>
    <w:p w14:paraId="3EF6D7E6" w14:textId="0734587B" w:rsidR="003E2A67" w:rsidRPr="003E2A67" w:rsidRDefault="003E2A67" w:rsidP="003E2A67">
      <w:pPr>
        <w:pStyle w:val="ListParagraph"/>
        <w:spacing w:before="100" w:beforeAutospacing="1" w:after="100" w:afterAutospacing="1"/>
        <w:ind w:left="540"/>
        <w:rPr>
          <w:rFonts w:eastAsia="Times New Roman" w:cstheme="minorHAnsi"/>
        </w:rPr>
      </w:pPr>
    </w:p>
    <w:p w14:paraId="6AB0DA56" w14:textId="10E81FA7" w:rsidR="003E2A67" w:rsidRDefault="004636F9" w:rsidP="003E2A67">
      <w:pPr>
        <w:pStyle w:val="ListParagraph"/>
        <w:spacing w:before="100" w:beforeAutospacing="1" w:after="100" w:afterAutospacing="1"/>
        <w:ind w:left="540"/>
        <w:rPr>
          <w:rFonts w:eastAsia="Times New Roman" w:cstheme="minorHAnsi"/>
        </w:rPr>
      </w:pPr>
      <w:r w:rsidRPr="003E2A67">
        <w:rPr>
          <w:rFonts w:eastAsia="Times New Roman" w:cstheme="minorHAnsi"/>
        </w:rPr>
        <w:t xml:space="preserve">Except as expressly provided in Section 3 (License), no </w:t>
      </w:r>
      <w:r w:rsidRPr="007F76B6">
        <w:t xml:space="preserve">Party grants </w:t>
      </w:r>
      <w:r w:rsidRPr="003E2A67">
        <w:rPr>
          <w:rFonts w:eastAsia="Times New Roman" w:cstheme="minorHAnsi"/>
        </w:rPr>
        <w:t xml:space="preserve">to </w:t>
      </w:r>
      <w:r w:rsidRPr="007F76B6">
        <w:t xml:space="preserve">the other any rights </w:t>
      </w:r>
      <w:r w:rsidRPr="003E2A67">
        <w:rPr>
          <w:rFonts w:eastAsia="Times New Roman" w:cstheme="minorHAnsi"/>
        </w:rPr>
        <w:t xml:space="preserve">or licenses in </w:t>
      </w:r>
      <w:r w:rsidRPr="007F76B6">
        <w:t>its intellectual property</w:t>
      </w:r>
      <w:r w:rsidRPr="003E2A67">
        <w:rPr>
          <w:rFonts w:eastAsia="Times New Roman" w:cstheme="minorHAnsi"/>
        </w:rPr>
        <w:t>.</w:t>
      </w:r>
      <w:r w:rsidRPr="007F76B6">
        <w:t xml:space="preserve"> Each Party shall retain all </w:t>
      </w:r>
      <w:r w:rsidRPr="003E2A67">
        <w:rPr>
          <w:rFonts w:eastAsia="Times New Roman" w:cstheme="minorHAnsi"/>
        </w:rPr>
        <w:t>rights</w:t>
      </w:r>
      <w:r w:rsidRPr="007F76B6">
        <w:t xml:space="preserve">, title, and interest in and to its intellectual property, including </w:t>
      </w:r>
      <w:r w:rsidRPr="003E2A67">
        <w:rPr>
          <w:rFonts w:eastAsia="Times New Roman" w:cstheme="minorHAnsi"/>
        </w:rPr>
        <w:t xml:space="preserve">any </w:t>
      </w:r>
      <w:r w:rsidRPr="007F76B6">
        <w:t xml:space="preserve">intellectual property </w:t>
      </w:r>
      <w:r w:rsidRPr="003E2A67">
        <w:rPr>
          <w:rFonts w:eastAsia="Times New Roman" w:cstheme="minorHAnsi"/>
        </w:rPr>
        <w:t>developed</w:t>
      </w:r>
      <w:r w:rsidRPr="007F76B6">
        <w:t xml:space="preserve"> during the term of this Agreement.</w:t>
      </w:r>
    </w:p>
    <w:p w14:paraId="44ABCE94" w14:textId="77777777" w:rsidR="003E2A67" w:rsidRDefault="003E2A67" w:rsidP="003E2A67">
      <w:pPr>
        <w:pStyle w:val="ListParagraph"/>
        <w:spacing w:before="100" w:beforeAutospacing="1" w:after="100" w:afterAutospacing="1"/>
        <w:ind w:left="540"/>
        <w:rPr>
          <w:rFonts w:eastAsia="Times New Roman" w:cstheme="minorHAnsi"/>
        </w:rPr>
      </w:pPr>
    </w:p>
    <w:p w14:paraId="222E2E9C" w14:textId="0C2BFCFC" w:rsidR="003E2A67" w:rsidRDefault="004636F9" w:rsidP="003E2A67">
      <w:pPr>
        <w:pStyle w:val="ListParagraph"/>
        <w:spacing w:before="100" w:beforeAutospacing="1" w:after="100" w:afterAutospacing="1"/>
        <w:ind w:left="540"/>
        <w:rPr>
          <w:rFonts w:eastAsia="Times New Roman" w:cstheme="minorHAnsi"/>
        </w:rPr>
      </w:pPr>
      <w:r w:rsidRPr="004636F9">
        <w:rPr>
          <w:rFonts w:eastAsia="Times New Roman" w:cstheme="minorHAnsi"/>
        </w:rPr>
        <w:t>This</w:t>
      </w:r>
      <w:r w:rsidRPr="007F76B6">
        <w:t xml:space="preserve"> Agreement may be amended </w:t>
      </w:r>
      <w:r w:rsidRPr="004636F9">
        <w:rPr>
          <w:rFonts w:eastAsia="Times New Roman" w:cstheme="minorHAnsi"/>
        </w:rPr>
        <w:t>solely</w:t>
      </w:r>
      <w:r w:rsidRPr="007F76B6">
        <w:t xml:space="preserve"> by a written agreement </w:t>
      </w:r>
      <w:r w:rsidRPr="004636F9">
        <w:rPr>
          <w:rFonts w:eastAsia="Times New Roman" w:cstheme="minorHAnsi"/>
        </w:rPr>
        <w:t>executed</w:t>
      </w:r>
      <w:r w:rsidRPr="007F76B6">
        <w:t xml:space="preserve"> by both Parties. </w:t>
      </w:r>
      <w:r w:rsidRPr="004636F9">
        <w:rPr>
          <w:rFonts w:eastAsia="Times New Roman" w:cstheme="minorHAnsi"/>
        </w:rPr>
        <w:t>No</w:t>
      </w:r>
      <w:r w:rsidRPr="007F76B6">
        <w:t xml:space="preserve"> failure or delay in </w:t>
      </w:r>
      <w:r w:rsidRPr="004636F9">
        <w:rPr>
          <w:rFonts w:eastAsia="Times New Roman" w:cstheme="minorHAnsi"/>
        </w:rPr>
        <w:t>exercising any right or remedy under this Agreement shall operate as a waiver of any such right or remedy, nor shall it affect the enforceability of</w:t>
      </w:r>
      <w:r w:rsidRPr="007F76B6">
        <w:t xml:space="preserve"> any provision of this Agreement</w:t>
      </w:r>
      <w:r w:rsidR="003E2A67">
        <w:rPr>
          <w:rFonts w:eastAsia="Times New Roman" w:cstheme="minorHAnsi"/>
        </w:rPr>
        <w:t>.</w:t>
      </w:r>
    </w:p>
    <w:p w14:paraId="1668B6EC" w14:textId="77777777" w:rsidR="003E2A67" w:rsidRDefault="003E2A67" w:rsidP="003E2A67">
      <w:pPr>
        <w:pStyle w:val="ListParagraph"/>
        <w:spacing w:before="100" w:beforeAutospacing="1" w:after="100" w:afterAutospacing="1"/>
        <w:ind w:left="540"/>
        <w:rPr>
          <w:rFonts w:eastAsia="Times New Roman" w:cstheme="minorHAnsi"/>
        </w:rPr>
      </w:pPr>
    </w:p>
    <w:p w14:paraId="4A73BDF7" w14:textId="77777777" w:rsidR="000846FC" w:rsidRDefault="004636F9" w:rsidP="003F2126">
      <w:r w:rsidRPr="004636F9">
        <w:rPr>
          <w:rFonts w:eastAsia="Times New Roman" w:cstheme="minorHAnsi"/>
        </w:rPr>
        <w:t xml:space="preserve">This Agreement is intended exclusively for the benefit of the Parties and their permitted successors and assigns; no other person or entity shall be considered a third-party beneficiary. If any </w:t>
      </w:r>
      <w:r w:rsidRPr="007F76B6">
        <w:t xml:space="preserve">provision </w:t>
      </w:r>
      <w:r w:rsidRPr="004636F9">
        <w:rPr>
          <w:rFonts w:eastAsia="Times New Roman" w:cstheme="minorHAnsi"/>
        </w:rPr>
        <w:t>of this Agreement is deemed invalid, illegal, or</w:t>
      </w:r>
      <w:r w:rsidRPr="007F76B6">
        <w:t xml:space="preserve"> unenforceable by a court </w:t>
      </w:r>
      <w:r w:rsidRPr="004636F9">
        <w:rPr>
          <w:rFonts w:eastAsia="Times New Roman" w:cstheme="minorHAnsi"/>
        </w:rPr>
        <w:t>of competent</w:t>
      </w:r>
      <w:r w:rsidRPr="007F76B6">
        <w:t xml:space="preserve"> jurisdiction, the remaining </w:t>
      </w:r>
      <w:r w:rsidRPr="004636F9">
        <w:rPr>
          <w:rFonts w:eastAsia="Times New Roman" w:cstheme="minorHAnsi"/>
        </w:rPr>
        <w:t>provisions shall</w:t>
      </w:r>
      <w:r w:rsidRPr="007F76B6">
        <w:t xml:space="preserve"> remain in full force and effect, provided that the Agreement</w:t>
      </w:r>
      <w:r w:rsidRPr="004636F9">
        <w:rPr>
          <w:rFonts w:eastAsia="Times New Roman" w:cstheme="minorHAnsi"/>
        </w:rPr>
        <w:t>,</w:t>
      </w:r>
      <w:r w:rsidRPr="007F76B6">
        <w:t xml:space="preserve"> without the unenforceable provision(s</w:t>
      </w:r>
      <w:r w:rsidRPr="004636F9">
        <w:rPr>
          <w:rFonts w:eastAsia="Times New Roman" w:cstheme="minorHAnsi"/>
        </w:rPr>
        <w:t>), continues to preserve</w:t>
      </w:r>
      <w:r w:rsidRPr="007F76B6">
        <w:t xml:space="preserve"> the material economic </w:t>
      </w:r>
      <w:r w:rsidRPr="004636F9">
        <w:rPr>
          <w:rFonts w:eastAsia="Times New Roman" w:cstheme="minorHAnsi"/>
        </w:rPr>
        <w:t>intent</w:t>
      </w:r>
      <w:r w:rsidRPr="007F76B6">
        <w:t xml:space="preserve"> of the </w:t>
      </w:r>
      <w:r w:rsidRPr="004636F9">
        <w:rPr>
          <w:rFonts w:eastAsia="Times New Roman" w:cstheme="minorHAnsi"/>
        </w:rPr>
        <w:t>Parties</w:t>
      </w:r>
      <w:r w:rsidRPr="007F76B6">
        <w:t>.</w:t>
      </w:r>
    </w:p>
    <w:p w14:paraId="49323E7E" w14:textId="77777777" w:rsidR="000846FC" w:rsidRPr="003F2126" w:rsidRDefault="000846FC" w:rsidP="000846FC"/>
    <w:p w14:paraId="088D4349" w14:textId="2104126D" w:rsidR="005A5524" w:rsidRPr="000846FC" w:rsidRDefault="61616D4D" w:rsidP="003F2126">
      <w:pPr>
        <w:pStyle w:val="ListParagraph"/>
        <w:numPr>
          <w:ilvl w:val="3"/>
          <w:numId w:val="4"/>
        </w:numPr>
        <w:spacing w:before="120"/>
        <w:ind w:left="540" w:hanging="540"/>
        <w:rPr>
          <w:b/>
        </w:rPr>
      </w:pPr>
      <w:r w:rsidRPr="000846FC">
        <w:rPr>
          <w:b/>
        </w:rPr>
        <w:t>REFERRAL PARTNER</w:t>
      </w:r>
      <w:r w:rsidR="6B514CAE" w:rsidRPr="000846FC">
        <w:rPr>
          <w:b/>
        </w:rPr>
        <w:t xml:space="preserve"> COMPENSATION QUALIFICATION AND PERCE</w:t>
      </w:r>
      <w:r w:rsidR="007F76B6" w:rsidRPr="000846FC">
        <w:rPr>
          <w:b/>
        </w:rPr>
        <w:t>N</w:t>
      </w:r>
      <w:r w:rsidR="6B514CAE" w:rsidRPr="000846FC">
        <w:rPr>
          <w:b/>
        </w:rPr>
        <w:t>TAGES</w:t>
      </w:r>
    </w:p>
    <w:p w14:paraId="0D58E4ED" w14:textId="77777777" w:rsidR="00E5253D" w:rsidRPr="007F76B6" w:rsidRDefault="00E5253D" w:rsidP="522AA375">
      <w:pPr>
        <w:spacing w:before="120"/>
        <w:ind w:left="-90"/>
        <w:jc w:val="both"/>
        <w:rPr>
          <w:b/>
        </w:rPr>
      </w:pPr>
    </w:p>
    <w:p w14:paraId="4F9DC5B8" w14:textId="0491CB98" w:rsidR="000846FC" w:rsidRDefault="000846FC" w:rsidP="000846FC">
      <w:pPr>
        <w:pStyle w:val="BlockText"/>
        <w:ind w:left="0"/>
        <w:rPr>
          <w:rFonts w:asciiTheme="minorHAnsi" w:hAnsiTheme="minorHAnsi" w:cstheme="minorHAnsi"/>
          <w:sz w:val="24"/>
        </w:rPr>
      </w:pPr>
      <w:r w:rsidRPr="000846FC">
        <w:rPr>
          <w:rFonts w:asciiTheme="minorHAnsi" w:hAnsiTheme="minorHAnsi" w:cstheme="minorHAnsi"/>
          <w:sz w:val="24"/>
        </w:rPr>
        <w:t>Pursuant to the terms of the Referral Agreement, the Referral Partner shall be entitled to the commissions set forth below with respect to Services solicited by the Referral Partner, each such commission to be calculated as a percentage of Received Monthly Revenue. Capitalized terms used but not defined in this Section shall have the meanings ascribed to them in the Agreement.</w:t>
      </w:r>
    </w:p>
    <w:p w14:paraId="2929BFE0" w14:textId="77777777" w:rsidR="000846FC" w:rsidRDefault="000846FC" w:rsidP="000846FC">
      <w:pPr>
        <w:pStyle w:val="BlockText"/>
        <w:ind w:left="0"/>
        <w:rPr>
          <w:rFonts w:asciiTheme="minorHAnsi" w:hAnsiTheme="minorHAnsi" w:cstheme="minorHAnsi"/>
          <w:sz w:val="24"/>
        </w:rPr>
      </w:pPr>
    </w:p>
    <w:p w14:paraId="7DC2A7D7" w14:textId="77777777" w:rsidR="000846FC" w:rsidRDefault="000846FC" w:rsidP="000846FC">
      <w:pPr>
        <w:pStyle w:val="BlockText"/>
        <w:ind w:left="0"/>
        <w:rPr>
          <w:rFonts w:asciiTheme="minorHAnsi" w:hAnsiTheme="minorHAnsi" w:cstheme="minorHAnsi"/>
          <w:sz w:val="24"/>
        </w:rPr>
      </w:pPr>
    </w:p>
    <w:p w14:paraId="7105A942" w14:textId="77777777" w:rsidR="000846FC" w:rsidRPr="000846FC" w:rsidRDefault="61616D4D" w:rsidP="003F2126">
      <w:pPr>
        <w:pStyle w:val="BlockText"/>
        <w:numPr>
          <w:ilvl w:val="6"/>
          <w:numId w:val="4"/>
        </w:numPr>
        <w:ind w:left="1080" w:hanging="540"/>
        <w:rPr>
          <w:rFonts w:asciiTheme="minorHAnsi" w:hAnsiTheme="minorHAnsi" w:cstheme="minorHAnsi"/>
          <w:sz w:val="24"/>
        </w:rPr>
      </w:pPr>
      <w:r w:rsidRPr="003F2126">
        <w:rPr>
          <w:rFonts w:asciiTheme="minorHAnsi" w:hAnsiTheme="minorHAnsi"/>
          <w:b/>
          <w:caps/>
          <w:sz w:val="24"/>
          <w:u w:val="single"/>
        </w:rPr>
        <w:t>Definitions; Payment Terms</w:t>
      </w:r>
      <w:r w:rsidRPr="007F76B6">
        <w:rPr>
          <w:rFonts w:asciiTheme="minorHAnsi" w:hAnsiTheme="minorHAnsi"/>
          <w:b/>
          <w:sz w:val="24"/>
        </w:rPr>
        <w:t>.</w:t>
      </w:r>
    </w:p>
    <w:p w14:paraId="688C1E46" w14:textId="77777777" w:rsidR="000846FC" w:rsidRDefault="000846FC" w:rsidP="003F2126">
      <w:pPr>
        <w:pStyle w:val="BlockText"/>
        <w:ind w:left="1080"/>
        <w:rPr>
          <w:rFonts w:asciiTheme="minorHAnsi" w:hAnsiTheme="minorHAnsi" w:cstheme="minorHAnsi"/>
          <w:sz w:val="24"/>
        </w:rPr>
      </w:pPr>
    </w:p>
    <w:p w14:paraId="05E380AE" w14:textId="2A4BB386" w:rsidR="000846FC" w:rsidRDefault="000846FC" w:rsidP="003F2126">
      <w:pPr>
        <w:pStyle w:val="BlockText"/>
        <w:numPr>
          <w:ilvl w:val="0"/>
          <w:numId w:val="34"/>
        </w:numPr>
        <w:ind w:left="1620" w:hanging="540"/>
        <w:rPr>
          <w:rFonts w:asciiTheme="minorHAnsi" w:hAnsiTheme="minorHAnsi" w:cstheme="minorHAnsi"/>
          <w:sz w:val="24"/>
        </w:rPr>
      </w:pPr>
      <w:r w:rsidRPr="000846FC">
        <w:rPr>
          <w:rFonts w:asciiTheme="minorHAnsi" w:hAnsiTheme="minorHAnsi"/>
          <w:b/>
          <w:sz w:val="24"/>
        </w:rPr>
        <w:lastRenderedPageBreak/>
        <w:t xml:space="preserve">“Monthly Revenue,” “Monthly Recurring Revenue,” </w:t>
      </w:r>
      <w:r w:rsidRPr="003F2126">
        <w:rPr>
          <w:rFonts w:asciiTheme="minorHAnsi" w:hAnsiTheme="minorHAnsi"/>
          <w:sz w:val="24"/>
        </w:rPr>
        <w:t>or</w:t>
      </w:r>
      <w:r w:rsidRPr="000846FC">
        <w:rPr>
          <w:rFonts w:asciiTheme="minorHAnsi" w:hAnsiTheme="minorHAnsi"/>
          <w:b/>
          <w:sz w:val="24"/>
        </w:rPr>
        <w:t xml:space="preserve"> “MRR”</w:t>
      </w:r>
      <w:r w:rsidRPr="003F2126">
        <w:rPr>
          <w:rFonts w:asciiTheme="minorHAnsi" w:hAnsiTheme="minorHAnsi"/>
          <w:b/>
          <w:sz w:val="24"/>
        </w:rPr>
        <w:t xml:space="preserve"> </w:t>
      </w:r>
      <w:r w:rsidRPr="000846FC">
        <w:rPr>
          <w:rFonts w:asciiTheme="minorHAnsi" w:hAnsiTheme="minorHAnsi"/>
          <w:bCs/>
          <w:sz w:val="24"/>
        </w:rPr>
        <w:t xml:space="preserve">shall mean the monthly service charges invoiced by Dynascale for Services solicited by the Referral Partner, excluding: (a) any applicable taxes; (b) pass-through charges for software or professional services; (c) promotional or other credits; (d) set-up or installation fees; and (e) any other non-recurring or one-time charges. For purposes of calculating commissions, Monthly Revenue shall be determined based solely on the charges applicable during the initial term of the applicable customer’s service agreement and shall not include amounts attributable to any renewal, extension, modification, or expansion of such agreement unless otherwise expressly agreed in writing. </w:t>
      </w:r>
      <w:r w:rsidR="00DD5532" w:rsidRPr="000846FC">
        <w:rPr>
          <w:rFonts w:asciiTheme="minorHAnsi" w:hAnsiTheme="minorHAnsi"/>
          <w:bCs/>
          <w:sz w:val="24"/>
        </w:rPr>
        <w:t xml:space="preserve">“Received Monthly Revenue” </w:t>
      </w:r>
      <w:r w:rsidR="00DD5532" w:rsidRPr="000846FC">
        <w:rPr>
          <w:rFonts w:asciiTheme="minorHAnsi" w:hAnsiTheme="minorHAnsi" w:cstheme="minorHAnsi"/>
          <w:bCs/>
          <w:sz w:val="24"/>
        </w:rPr>
        <w:t>shall mean the</w:t>
      </w:r>
      <w:r w:rsidR="00DD5532" w:rsidRPr="000846FC">
        <w:rPr>
          <w:rFonts w:asciiTheme="minorHAnsi" w:hAnsiTheme="minorHAnsi"/>
          <w:bCs/>
          <w:sz w:val="24"/>
        </w:rPr>
        <w:t xml:space="preserve"> Monthly Revenue </w:t>
      </w:r>
      <w:r w:rsidR="00DD5532" w:rsidRPr="000846FC">
        <w:rPr>
          <w:rFonts w:asciiTheme="minorHAnsi" w:hAnsiTheme="minorHAnsi" w:cstheme="minorHAnsi"/>
          <w:bCs/>
          <w:sz w:val="24"/>
        </w:rPr>
        <w:t>that</w:t>
      </w:r>
      <w:r w:rsidR="00DD5532" w:rsidRPr="000846FC">
        <w:rPr>
          <w:rFonts w:asciiTheme="minorHAnsi" w:hAnsiTheme="minorHAnsi"/>
          <w:bCs/>
          <w:sz w:val="24"/>
        </w:rPr>
        <w:t xml:space="preserve"> Dynascale </w:t>
      </w:r>
      <w:r w:rsidR="00DD5532" w:rsidRPr="000846FC">
        <w:rPr>
          <w:rFonts w:asciiTheme="minorHAnsi" w:hAnsiTheme="minorHAnsi" w:cstheme="minorHAnsi"/>
          <w:bCs/>
          <w:sz w:val="24"/>
        </w:rPr>
        <w:t xml:space="preserve">has </w:t>
      </w:r>
      <w:r w:rsidR="007F76B6" w:rsidRPr="000846FC">
        <w:rPr>
          <w:rFonts w:asciiTheme="minorHAnsi" w:hAnsiTheme="minorHAnsi" w:cstheme="minorHAnsi"/>
          <w:bCs/>
          <w:sz w:val="24"/>
        </w:rPr>
        <w:t>collected</w:t>
      </w:r>
      <w:r w:rsidR="00DD5532" w:rsidRPr="000846FC">
        <w:rPr>
          <w:rFonts w:asciiTheme="minorHAnsi" w:hAnsiTheme="minorHAnsi" w:cstheme="minorHAnsi"/>
          <w:bCs/>
          <w:sz w:val="24"/>
        </w:rPr>
        <w:t xml:space="preserve"> </w:t>
      </w:r>
      <w:r w:rsidR="00DD5532" w:rsidRPr="000846FC">
        <w:rPr>
          <w:rFonts w:asciiTheme="minorHAnsi" w:hAnsiTheme="minorHAnsi"/>
          <w:bCs/>
          <w:sz w:val="24"/>
        </w:rPr>
        <w:t>from the Referred Customer.</w:t>
      </w:r>
    </w:p>
    <w:p w14:paraId="406A42DD" w14:textId="0C7920FE" w:rsidR="000846FC" w:rsidRPr="000846FC" w:rsidRDefault="000846FC" w:rsidP="003F2126">
      <w:pPr>
        <w:pStyle w:val="BlockText"/>
        <w:numPr>
          <w:ilvl w:val="0"/>
          <w:numId w:val="34"/>
        </w:numPr>
        <w:ind w:left="1620" w:hanging="540"/>
        <w:rPr>
          <w:rFonts w:asciiTheme="minorHAnsi" w:hAnsiTheme="minorHAnsi" w:cstheme="minorHAnsi"/>
          <w:sz w:val="24"/>
        </w:rPr>
      </w:pPr>
      <w:r w:rsidRPr="000846FC">
        <w:rPr>
          <w:rFonts w:asciiTheme="minorHAnsi" w:hAnsiTheme="minorHAnsi"/>
          <w:b/>
          <w:sz w:val="24"/>
        </w:rPr>
        <w:t>“Referred Customer”</w:t>
      </w:r>
      <w:r w:rsidRPr="000846FC">
        <w:rPr>
          <w:rFonts w:asciiTheme="minorHAnsi" w:hAnsiTheme="minorHAnsi"/>
          <w:bCs/>
          <w:sz w:val="24"/>
        </w:rPr>
        <w:t xml:space="preserve"> shall mean any Lead registered by the Referral Partner that enters into a written agreement with Dynascale for the purchase of Services.</w:t>
      </w:r>
    </w:p>
    <w:p w14:paraId="277BBDBD" w14:textId="6B9DA43E" w:rsidR="000F7D03" w:rsidRPr="000846FC" w:rsidRDefault="000846FC" w:rsidP="003F2126">
      <w:pPr>
        <w:pStyle w:val="BlockText"/>
        <w:numPr>
          <w:ilvl w:val="0"/>
          <w:numId w:val="34"/>
        </w:numPr>
        <w:ind w:left="1620" w:hanging="540"/>
        <w:rPr>
          <w:rFonts w:asciiTheme="minorHAnsi" w:hAnsiTheme="minorHAnsi" w:cstheme="minorHAnsi"/>
          <w:sz w:val="24"/>
        </w:rPr>
      </w:pPr>
      <w:r w:rsidRPr="000846FC">
        <w:rPr>
          <w:rFonts w:asciiTheme="minorHAnsi" w:hAnsiTheme="minorHAnsi"/>
          <w:b/>
          <w:sz w:val="24"/>
        </w:rPr>
        <w:t>“Bookings”</w:t>
      </w:r>
      <w:r w:rsidRPr="003F2126">
        <w:rPr>
          <w:rFonts w:asciiTheme="minorHAnsi" w:hAnsiTheme="minorHAnsi"/>
          <w:b/>
          <w:sz w:val="24"/>
        </w:rPr>
        <w:t xml:space="preserve"> </w:t>
      </w:r>
      <w:r w:rsidRPr="000846FC">
        <w:rPr>
          <w:rFonts w:asciiTheme="minorHAnsi" w:hAnsiTheme="minorHAnsi"/>
          <w:bCs/>
          <w:sz w:val="24"/>
        </w:rPr>
        <w:t>shall mean the contracted Monthly Revenue attributable to the first full month of Services under a transaction executed by Dynascale and the applicable Referred Customer pursuant to a binding written agreement.</w:t>
      </w:r>
    </w:p>
    <w:p w14:paraId="7981C5BB" w14:textId="77777777" w:rsidR="00422885" w:rsidRDefault="00422885" w:rsidP="004022FA">
      <w:pPr>
        <w:pStyle w:val="BlockText"/>
        <w:ind w:left="540"/>
        <w:rPr>
          <w:rFonts w:asciiTheme="minorHAnsi" w:hAnsiTheme="minorHAnsi" w:cstheme="minorHAnsi"/>
          <w:sz w:val="24"/>
        </w:rPr>
      </w:pPr>
    </w:p>
    <w:p w14:paraId="33B7D4C1" w14:textId="6054E8A2" w:rsidR="007D36DC" w:rsidRPr="007D36DC" w:rsidRDefault="007D36DC" w:rsidP="007D36DC">
      <w:pPr>
        <w:pStyle w:val="BlockText"/>
        <w:ind w:left="540"/>
        <w:rPr>
          <w:rFonts w:asciiTheme="minorHAnsi" w:hAnsiTheme="minorHAnsi"/>
          <w:sz w:val="24"/>
        </w:rPr>
      </w:pPr>
      <w:r w:rsidRPr="007D36DC">
        <w:rPr>
          <w:rFonts w:asciiTheme="minorHAnsi" w:hAnsiTheme="minorHAnsi"/>
          <w:b/>
          <w:bCs/>
          <w:sz w:val="24"/>
        </w:rPr>
        <w:t>Commission Payment.</w:t>
      </w:r>
      <w:r w:rsidRPr="007D36DC">
        <w:rPr>
          <w:rFonts w:asciiTheme="minorHAnsi" w:hAnsiTheme="minorHAnsi"/>
          <w:sz w:val="24"/>
        </w:rPr>
        <w:t xml:space="preserve"> Dynascale shall remit commission payments to the Referral Partner within sixty (60) days following Dynascale’s actual receipt of payment from the applicable Referred Customer corresponding to the Monthly Revenue upon which such commission is based.</w:t>
      </w:r>
    </w:p>
    <w:p w14:paraId="2E69C469" w14:textId="77777777" w:rsidR="007D36DC" w:rsidRPr="007D36DC" w:rsidRDefault="007D36DC" w:rsidP="007D36DC">
      <w:pPr>
        <w:pStyle w:val="BlockText"/>
        <w:ind w:left="540"/>
        <w:rPr>
          <w:rFonts w:asciiTheme="minorHAnsi" w:hAnsiTheme="minorHAnsi"/>
          <w:sz w:val="24"/>
        </w:rPr>
      </w:pPr>
    </w:p>
    <w:p w14:paraId="2AA0B0E2" w14:textId="60010233" w:rsidR="007D36DC" w:rsidRPr="007D36DC" w:rsidRDefault="007D36DC" w:rsidP="007D36DC">
      <w:pPr>
        <w:pStyle w:val="BlockText"/>
        <w:ind w:left="540"/>
        <w:rPr>
          <w:rFonts w:asciiTheme="minorHAnsi" w:hAnsiTheme="minorHAnsi"/>
          <w:sz w:val="24"/>
        </w:rPr>
      </w:pPr>
      <w:r w:rsidRPr="007D36DC">
        <w:rPr>
          <w:rFonts w:asciiTheme="minorHAnsi" w:hAnsiTheme="minorHAnsi"/>
          <w:b/>
          <w:bCs/>
          <w:sz w:val="24"/>
        </w:rPr>
        <w:t>Set-Off and Recovery.</w:t>
      </w:r>
      <w:r w:rsidRPr="007D36DC">
        <w:rPr>
          <w:rFonts w:asciiTheme="minorHAnsi" w:hAnsiTheme="minorHAnsi"/>
          <w:sz w:val="24"/>
        </w:rPr>
        <w:t xml:space="preserve"> Dynascale reserves the right to deduct, offset, or otherwise set off against any commission payments any amounts owed by the Referral Partner to Dynascale, including, without limitation, any commissions previously paid in error or paid with respect to amounts subsequently refunded, credited, or uncollected.</w:t>
      </w:r>
    </w:p>
    <w:p w14:paraId="71AEA58A" w14:textId="77777777" w:rsidR="007D36DC" w:rsidRPr="007D36DC" w:rsidRDefault="007D36DC" w:rsidP="007D36DC">
      <w:pPr>
        <w:pStyle w:val="BlockText"/>
        <w:ind w:left="540"/>
        <w:rPr>
          <w:rFonts w:asciiTheme="minorHAnsi" w:hAnsiTheme="minorHAnsi"/>
          <w:sz w:val="24"/>
        </w:rPr>
      </w:pPr>
    </w:p>
    <w:p w14:paraId="6B9DA12B" w14:textId="0B56551D" w:rsidR="007D36DC" w:rsidRPr="007D36DC" w:rsidRDefault="007D36DC" w:rsidP="007D36DC">
      <w:pPr>
        <w:pStyle w:val="BlockText"/>
        <w:ind w:left="540"/>
        <w:rPr>
          <w:rFonts w:asciiTheme="minorHAnsi" w:hAnsiTheme="minorHAnsi" w:cstheme="minorHAnsi"/>
          <w:sz w:val="24"/>
        </w:rPr>
      </w:pPr>
      <w:r w:rsidRPr="007D36DC">
        <w:rPr>
          <w:rFonts w:asciiTheme="minorHAnsi" w:hAnsiTheme="minorHAnsi"/>
          <w:b/>
          <w:bCs/>
          <w:sz w:val="24"/>
        </w:rPr>
        <w:t>Calculation of Commissions.</w:t>
      </w:r>
      <w:r w:rsidRPr="007D36DC">
        <w:rPr>
          <w:rFonts w:asciiTheme="minorHAnsi" w:hAnsiTheme="minorHAnsi"/>
          <w:sz w:val="24"/>
        </w:rPr>
        <w:t xml:space="preserve"> In consideration of the services performed by the Referral Partner under this Agreement, Dynascale shall pay the Referral Partner commissions solely on qualifying sales of products and Services as specified herein. All commissions shall be calculated as a percentage of Monthly Recurring Revenue (“MRR”), Monthly Net Margin (“MNM”), or Net Margin (“NM”), as applicable, and shall exclude taxes, pass-through licensing or third-party costs, credits, refunds, chargebacks, and any other non-recurring, </w:t>
      </w:r>
      <w:r w:rsidRPr="007D36DC">
        <w:rPr>
          <w:rFonts w:asciiTheme="minorHAnsi" w:hAnsiTheme="minorHAnsi" w:cstheme="minorHAnsi"/>
          <w:sz w:val="24"/>
        </w:rPr>
        <w:t>one-time, or excluded fees. Commissions shall accrue only upon Dynascale’s actual receipt of payment from the Referred Customer.</w:t>
      </w:r>
    </w:p>
    <w:p w14:paraId="74F5BD86" w14:textId="77777777" w:rsidR="007D36DC" w:rsidRPr="007D36DC" w:rsidRDefault="007D36DC" w:rsidP="007D36DC">
      <w:pPr>
        <w:pStyle w:val="BlockText"/>
        <w:ind w:left="540"/>
        <w:rPr>
          <w:rFonts w:asciiTheme="minorHAnsi" w:hAnsiTheme="minorHAnsi" w:cstheme="minorHAnsi"/>
          <w:sz w:val="24"/>
        </w:rPr>
      </w:pPr>
    </w:p>
    <w:p w14:paraId="701FBB7E" w14:textId="77777777" w:rsidR="007D36DC" w:rsidRPr="003F2126" w:rsidRDefault="005B77D0" w:rsidP="003F2126">
      <w:pPr>
        <w:pStyle w:val="BlockText"/>
        <w:numPr>
          <w:ilvl w:val="6"/>
          <w:numId w:val="4"/>
        </w:numPr>
        <w:ind w:left="1080" w:hanging="540"/>
        <w:rPr>
          <w:rFonts w:asciiTheme="minorHAnsi" w:hAnsiTheme="minorHAnsi"/>
          <w:sz w:val="24"/>
        </w:rPr>
      </w:pPr>
      <w:r w:rsidRPr="007D36DC">
        <w:rPr>
          <w:rFonts w:asciiTheme="minorHAnsi" w:eastAsiaTheme="minorHAnsi" w:hAnsiTheme="minorHAnsi" w:cstheme="minorHAnsi"/>
          <w:b/>
          <w:sz w:val="24"/>
          <w:u w:val="single"/>
        </w:rPr>
        <w:t>COMMISSION SCHEDULE</w:t>
      </w:r>
      <w:r w:rsidR="007D36DC" w:rsidRPr="007D36DC">
        <w:rPr>
          <w:rFonts w:asciiTheme="minorHAnsi" w:eastAsiaTheme="minorHAnsi" w:hAnsiTheme="minorHAnsi" w:cstheme="minorHAnsi"/>
          <w:b/>
          <w:sz w:val="24"/>
          <w:u w:val="single"/>
        </w:rPr>
        <w:t>.</w:t>
      </w:r>
    </w:p>
    <w:p w14:paraId="07D711F4" w14:textId="77777777" w:rsidR="007D36DC" w:rsidRPr="003F2126" w:rsidRDefault="007D36DC" w:rsidP="003F2126">
      <w:pPr>
        <w:pStyle w:val="BlockText"/>
        <w:ind w:left="1080"/>
        <w:rPr>
          <w:rFonts w:asciiTheme="minorHAnsi" w:hAnsiTheme="minorHAnsi"/>
          <w:sz w:val="24"/>
        </w:rPr>
      </w:pPr>
    </w:p>
    <w:p w14:paraId="764C373F" w14:textId="185EEC9F" w:rsidR="007D36DC" w:rsidRPr="007D36DC" w:rsidRDefault="007F76B6" w:rsidP="003F2126">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t xml:space="preserve">Private Cloud: </w:t>
      </w:r>
      <w:r w:rsidRPr="007D36DC">
        <w:rPr>
          <w:rFonts w:asciiTheme="minorHAnsi" w:hAnsiTheme="minorHAnsi" w:cstheme="minorHAnsi"/>
          <w:sz w:val="24"/>
        </w:rPr>
        <w:t>20% of MRR collected from recurring hardware leases.</w:t>
      </w:r>
    </w:p>
    <w:p w14:paraId="327D689D" w14:textId="5155C07B" w:rsidR="007D36DC" w:rsidRPr="007D36DC" w:rsidRDefault="007F76B6" w:rsidP="003F2126">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t>Colocation:</w:t>
      </w:r>
      <w:r w:rsidRPr="007D36DC">
        <w:rPr>
          <w:rFonts w:asciiTheme="minorHAnsi" w:hAnsiTheme="minorHAnsi" w:cstheme="minorHAnsi"/>
          <w:sz w:val="24"/>
        </w:rPr>
        <w:t xml:space="preserve"> 10% of MRR collected from colocation services.</w:t>
      </w:r>
    </w:p>
    <w:p w14:paraId="7B311E9A" w14:textId="136B38EE" w:rsidR="007D36DC" w:rsidRPr="007D36DC" w:rsidRDefault="007F76B6" w:rsidP="003F2126">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t>General SaaS Licensing:</w:t>
      </w:r>
      <w:r w:rsidRPr="007D36DC">
        <w:rPr>
          <w:rFonts w:asciiTheme="minorHAnsi" w:hAnsiTheme="minorHAnsi" w:cstheme="minorHAnsi"/>
          <w:sz w:val="24"/>
        </w:rPr>
        <w:t xml:space="preserve"> 20% of MNM.</w:t>
      </w:r>
    </w:p>
    <w:p w14:paraId="0FCA544D" w14:textId="70439FB6" w:rsidR="007D36DC" w:rsidRPr="007D36DC" w:rsidRDefault="007F76B6" w:rsidP="003F2126">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t>One-Time Sales:</w:t>
      </w:r>
      <w:r w:rsidRPr="007D36DC">
        <w:rPr>
          <w:rFonts w:asciiTheme="minorHAnsi" w:hAnsiTheme="minorHAnsi" w:cstheme="minorHAnsi"/>
          <w:sz w:val="24"/>
        </w:rPr>
        <w:t xml:space="preserve"> 10% of NM.</w:t>
      </w:r>
    </w:p>
    <w:p w14:paraId="593F8A32" w14:textId="7994C6BF" w:rsidR="007D36DC" w:rsidRPr="007D36DC" w:rsidRDefault="007F76B6" w:rsidP="003F2126">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t>Office 365 Services:</w:t>
      </w:r>
      <w:r w:rsidRPr="007D36DC">
        <w:rPr>
          <w:rFonts w:asciiTheme="minorHAnsi" w:hAnsiTheme="minorHAnsi" w:cstheme="minorHAnsi"/>
          <w:sz w:val="24"/>
        </w:rPr>
        <w:t xml:space="preserve"> 20% of MNM.</w:t>
      </w:r>
    </w:p>
    <w:p w14:paraId="6E58C145" w14:textId="43AD911B" w:rsidR="007D36DC" w:rsidRPr="007D36DC" w:rsidRDefault="007F76B6" w:rsidP="77E40EC6">
      <w:pPr>
        <w:pStyle w:val="BlockText"/>
        <w:numPr>
          <w:ilvl w:val="0"/>
          <w:numId w:val="37"/>
        </w:numPr>
        <w:ind w:left="1620" w:hanging="540"/>
        <w:rPr>
          <w:rFonts w:asciiTheme="minorHAnsi" w:hAnsiTheme="minorHAnsi" w:cstheme="minorBidi"/>
          <w:sz w:val="24"/>
        </w:rPr>
      </w:pPr>
      <w:r w:rsidRPr="77E40EC6">
        <w:rPr>
          <w:rFonts w:asciiTheme="minorHAnsi" w:hAnsiTheme="minorHAnsi" w:cstheme="minorBidi"/>
          <w:b/>
          <w:bCs/>
          <w:sz w:val="24"/>
        </w:rPr>
        <w:t>Security-as-a-Service (S</w:t>
      </w:r>
      <w:r w:rsidR="27127CD9" w:rsidRPr="77E40EC6">
        <w:rPr>
          <w:rFonts w:asciiTheme="minorHAnsi" w:hAnsiTheme="minorHAnsi" w:cstheme="minorBidi"/>
          <w:b/>
          <w:bCs/>
          <w:sz w:val="24"/>
        </w:rPr>
        <w:t>aaS</w:t>
      </w:r>
      <w:r w:rsidRPr="77E40EC6">
        <w:rPr>
          <w:rFonts w:asciiTheme="minorHAnsi" w:hAnsiTheme="minorHAnsi" w:cstheme="minorBidi"/>
          <w:b/>
          <w:bCs/>
          <w:sz w:val="24"/>
        </w:rPr>
        <w:t>):</w:t>
      </w:r>
      <w:r w:rsidRPr="77E40EC6">
        <w:rPr>
          <w:rFonts w:asciiTheme="minorHAnsi" w:hAnsiTheme="minorHAnsi" w:cstheme="minorBidi"/>
          <w:sz w:val="24"/>
        </w:rPr>
        <w:t xml:space="preserve"> 20% of MNM.</w:t>
      </w:r>
    </w:p>
    <w:p w14:paraId="04AC37BD" w14:textId="60B637A5" w:rsidR="007D36DC" w:rsidRPr="007D36DC" w:rsidRDefault="007F76B6" w:rsidP="003F2126">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lastRenderedPageBreak/>
        <w:t>Vulnerability Management Services:</w:t>
      </w:r>
      <w:r w:rsidRPr="007D36DC">
        <w:rPr>
          <w:rFonts w:asciiTheme="minorHAnsi" w:hAnsiTheme="minorHAnsi" w:cstheme="minorHAnsi"/>
          <w:sz w:val="24"/>
        </w:rPr>
        <w:t xml:space="preserve"> 20% of MNM.</w:t>
      </w:r>
    </w:p>
    <w:p w14:paraId="61822991" w14:textId="102CC238" w:rsidR="007D36DC" w:rsidRPr="007D36DC" w:rsidRDefault="007F76B6" w:rsidP="003F2126">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t>Professional Services:</w:t>
      </w:r>
      <w:r w:rsidRPr="007D36DC">
        <w:rPr>
          <w:rFonts w:asciiTheme="minorHAnsi" w:hAnsiTheme="minorHAnsi" w:cstheme="minorHAnsi"/>
          <w:sz w:val="24"/>
        </w:rPr>
        <w:t xml:space="preserve"> 20% of MNM.</w:t>
      </w:r>
    </w:p>
    <w:p w14:paraId="66DC2531" w14:textId="1DA2E9F8" w:rsidR="007D36DC" w:rsidRPr="007D36DC" w:rsidRDefault="007F76B6" w:rsidP="77E40EC6">
      <w:pPr>
        <w:pStyle w:val="BlockText"/>
        <w:numPr>
          <w:ilvl w:val="0"/>
          <w:numId w:val="37"/>
        </w:numPr>
        <w:ind w:left="1620" w:hanging="540"/>
        <w:rPr>
          <w:rFonts w:asciiTheme="minorHAnsi" w:hAnsiTheme="minorHAnsi" w:cstheme="minorBidi"/>
          <w:sz w:val="24"/>
        </w:rPr>
      </w:pPr>
      <w:r w:rsidRPr="77E40EC6">
        <w:rPr>
          <w:rFonts w:asciiTheme="minorHAnsi" w:hAnsiTheme="minorHAnsi" w:cstheme="minorBidi"/>
          <w:b/>
          <w:bCs/>
          <w:sz w:val="24"/>
        </w:rPr>
        <w:t>UCaaS (Unified Communications a</w:t>
      </w:r>
      <w:r w:rsidR="42A32405" w:rsidRPr="77E40EC6">
        <w:rPr>
          <w:rFonts w:asciiTheme="minorHAnsi" w:hAnsiTheme="minorHAnsi" w:cstheme="minorBidi"/>
          <w:b/>
          <w:bCs/>
          <w:sz w:val="24"/>
        </w:rPr>
        <w:t>s</w:t>
      </w:r>
      <w:r w:rsidRPr="77E40EC6">
        <w:rPr>
          <w:rFonts w:asciiTheme="minorHAnsi" w:hAnsiTheme="minorHAnsi" w:cstheme="minorBidi"/>
          <w:b/>
          <w:bCs/>
          <w:sz w:val="24"/>
        </w:rPr>
        <w:t xml:space="preserve"> a Service):</w:t>
      </w:r>
      <w:r w:rsidRPr="77E40EC6">
        <w:rPr>
          <w:rFonts w:asciiTheme="minorHAnsi" w:hAnsiTheme="minorHAnsi" w:cstheme="minorBidi"/>
          <w:sz w:val="24"/>
        </w:rPr>
        <w:t xml:space="preserve"> 20% of MNM.</w:t>
      </w:r>
    </w:p>
    <w:p w14:paraId="14FE4EFF" w14:textId="6E9FA18B" w:rsidR="006A75D7" w:rsidRPr="006A75D7" w:rsidRDefault="007F76B6" w:rsidP="006A75D7">
      <w:pPr>
        <w:pStyle w:val="BlockText"/>
        <w:numPr>
          <w:ilvl w:val="0"/>
          <w:numId w:val="37"/>
        </w:numPr>
        <w:ind w:left="1620" w:hanging="540"/>
        <w:rPr>
          <w:rFonts w:asciiTheme="minorHAnsi" w:hAnsiTheme="minorHAnsi" w:cstheme="minorHAnsi"/>
          <w:sz w:val="24"/>
        </w:rPr>
      </w:pPr>
      <w:r w:rsidRPr="007D36DC">
        <w:rPr>
          <w:rFonts w:asciiTheme="minorHAnsi" w:hAnsiTheme="minorHAnsi" w:cstheme="minorHAnsi"/>
          <w:b/>
          <w:bCs/>
          <w:sz w:val="24"/>
        </w:rPr>
        <w:t>Hardware Sales:</w:t>
      </w:r>
      <w:r w:rsidRPr="007D36DC">
        <w:rPr>
          <w:rFonts w:asciiTheme="minorHAnsi" w:hAnsiTheme="minorHAnsi" w:cstheme="minorHAnsi"/>
          <w:sz w:val="24"/>
        </w:rPr>
        <w:t xml:space="preserve"> 10% of NM</w:t>
      </w:r>
    </w:p>
    <w:p w14:paraId="58E30936" w14:textId="77777777" w:rsidR="007D36DC" w:rsidRDefault="007D36DC" w:rsidP="007D36DC">
      <w:pPr>
        <w:pStyle w:val="BlockText"/>
        <w:ind w:left="2880"/>
        <w:rPr>
          <w:rFonts w:asciiTheme="minorHAnsi" w:hAnsiTheme="minorHAnsi" w:cstheme="minorHAnsi"/>
          <w:sz w:val="24"/>
        </w:rPr>
      </w:pPr>
    </w:p>
    <w:p w14:paraId="2CA65961" w14:textId="77777777" w:rsidR="007D36DC" w:rsidRPr="007D36DC" w:rsidRDefault="007D36DC" w:rsidP="007D36DC">
      <w:pPr>
        <w:pStyle w:val="BlockText"/>
        <w:ind w:left="2880"/>
        <w:rPr>
          <w:rFonts w:asciiTheme="minorHAnsi" w:hAnsiTheme="minorHAnsi" w:cstheme="minorHAnsi"/>
          <w:sz w:val="24"/>
        </w:rPr>
      </w:pPr>
    </w:p>
    <w:p w14:paraId="094E8DC6" w14:textId="77777777" w:rsidR="007D36DC" w:rsidRPr="003F2126" w:rsidRDefault="000846FC" w:rsidP="003F2126">
      <w:pPr>
        <w:pStyle w:val="BlockText"/>
        <w:numPr>
          <w:ilvl w:val="3"/>
          <w:numId w:val="4"/>
        </w:numPr>
        <w:ind w:left="540" w:hanging="540"/>
        <w:rPr>
          <w:rFonts w:asciiTheme="minorHAnsi" w:hAnsiTheme="minorHAnsi"/>
          <w:sz w:val="24"/>
        </w:rPr>
      </w:pPr>
      <w:r w:rsidRPr="003F2126">
        <w:rPr>
          <w:rFonts w:asciiTheme="minorHAnsi" w:hAnsiTheme="minorHAnsi"/>
          <w:b/>
          <w:sz w:val="24"/>
        </w:rPr>
        <w:t>FINAL AGREEMENT.</w:t>
      </w:r>
    </w:p>
    <w:p w14:paraId="3B703EB7" w14:textId="77777777" w:rsidR="007D36DC" w:rsidRPr="003F2126" w:rsidRDefault="007D36DC" w:rsidP="003F2126">
      <w:pPr>
        <w:pStyle w:val="BlockText"/>
        <w:ind w:left="540"/>
        <w:rPr>
          <w:rFonts w:asciiTheme="minorHAnsi" w:hAnsiTheme="minorHAnsi"/>
          <w:b/>
          <w:sz w:val="24"/>
        </w:rPr>
      </w:pPr>
    </w:p>
    <w:p w14:paraId="755FF567" w14:textId="03A3BC02" w:rsidR="000846FC" w:rsidRPr="003F2126" w:rsidRDefault="000846FC" w:rsidP="003F2126">
      <w:pPr>
        <w:pStyle w:val="BlockText"/>
        <w:ind w:left="540"/>
        <w:rPr>
          <w:rFonts w:asciiTheme="minorHAnsi" w:hAnsiTheme="minorHAnsi"/>
          <w:sz w:val="24"/>
        </w:rPr>
      </w:pPr>
      <w:r w:rsidRPr="003F2126">
        <w:rPr>
          <w:rFonts w:asciiTheme="minorHAnsi" w:hAnsiTheme="minorHAnsi"/>
          <w:sz w:val="24"/>
        </w:rPr>
        <w:t>This Agreement represents the entire and exclusive agreement between the Parties concerning the subject matter herein and supersedes and replaces all prior or contemporaneous agreements, understandings, negotiations, representations, or communications, whether written or oral, relating thereto.</w:t>
      </w:r>
    </w:p>
    <w:p w14:paraId="3D7E3035" w14:textId="77777777" w:rsidR="00CC49AC" w:rsidRPr="003F2126" w:rsidRDefault="00CC49AC" w:rsidP="003F2126">
      <w:pPr>
        <w:pStyle w:val="BlockText"/>
        <w:ind w:left="1440"/>
        <w:rPr>
          <w:rFonts w:asciiTheme="minorHAnsi" w:hAnsiTheme="minorHAnsi"/>
        </w:rPr>
      </w:pPr>
    </w:p>
    <w:p w14:paraId="4ABDA062" w14:textId="77777777" w:rsidR="000846FC" w:rsidRPr="003F2126" w:rsidRDefault="000846FC" w:rsidP="003F2126">
      <w:pPr>
        <w:pStyle w:val="BlockText"/>
        <w:ind w:left="0"/>
        <w:rPr>
          <w:rFonts w:asciiTheme="minorHAnsi" w:hAnsiTheme="minorHAnsi"/>
        </w:rPr>
      </w:pPr>
    </w:p>
    <w:p w14:paraId="44C795DD" w14:textId="77777777" w:rsidR="000846FC" w:rsidRPr="007F76B6" w:rsidRDefault="000846FC" w:rsidP="000846FC">
      <w:pPr>
        <w:rPr>
          <w:color w:val="000000" w:themeColor="text1"/>
        </w:rPr>
      </w:pPr>
      <w:r>
        <w:t>Each Party represents that the execution and delivery of this Agreement is the duly authorized and binding act of the Party, and that the party’s signatory hereto is duly authorized to execute this Agreement on behalf of that Party. </w:t>
      </w:r>
    </w:p>
    <w:p w14:paraId="54DED48D" w14:textId="77777777" w:rsidR="000846FC" w:rsidRDefault="000846FC" w:rsidP="000846FC">
      <w:pPr>
        <w:rPr>
          <w:color w:val="000000" w:themeColor="text1"/>
        </w:rPr>
      </w:pPr>
    </w:p>
    <w:p w14:paraId="3142D839" w14:textId="77777777" w:rsidR="007600CD" w:rsidRDefault="007600CD" w:rsidP="000846FC">
      <w:pPr>
        <w:keepNext/>
        <w:tabs>
          <w:tab w:val="left" w:pos="3960"/>
        </w:tabs>
        <w:spacing w:line="0" w:lineRule="atLeast"/>
        <w:rPr>
          <w:b/>
        </w:rPr>
      </w:pPr>
    </w:p>
    <w:p w14:paraId="4886809D" w14:textId="14741301" w:rsidR="00A84758" w:rsidRPr="005C5BE0" w:rsidRDefault="00A84758" w:rsidP="00B4251E">
      <w:pPr>
        <w:keepNext/>
        <w:tabs>
          <w:tab w:val="left" w:pos="3960"/>
        </w:tabs>
        <w:spacing w:line="0" w:lineRule="atLeast"/>
        <w:ind w:left="3960"/>
        <w:rPr>
          <w:u w:val="single"/>
        </w:rPr>
      </w:pPr>
      <w:r w:rsidRPr="000257E9">
        <w:rPr>
          <w:b/>
        </w:rPr>
        <w:t>Referral Partner</w:t>
      </w:r>
      <w:r>
        <w:rPr>
          <w:b/>
        </w:rPr>
        <w:t>:</w:t>
      </w:r>
      <w:r w:rsidR="005C5BE0">
        <w:rPr>
          <w:b/>
          <w:u w:val="single"/>
        </w:rPr>
        <w:t xml:space="preserve">                                                     </w:t>
      </w:r>
    </w:p>
    <w:p w14:paraId="693CE7E5" w14:textId="77777777" w:rsidR="00CC49AC" w:rsidRDefault="00CC49AC" w:rsidP="00B4251E">
      <w:pPr>
        <w:keepNext/>
        <w:tabs>
          <w:tab w:val="left" w:pos="3960"/>
        </w:tabs>
        <w:spacing w:line="0" w:lineRule="atLeast"/>
        <w:ind w:left="3960"/>
      </w:pPr>
    </w:p>
    <w:p w14:paraId="1543FA1B" w14:textId="6ECA0F37" w:rsidR="00A84758" w:rsidRDefault="000846FC" w:rsidP="00B4251E">
      <w:pPr>
        <w:keepNext/>
        <w:tabs>
          <w:tab w:val="left" w:pos="3960"/>
        </w:tabs>
        <w:spacing w:line="0" w:lineRule="atLeast"/>
        <w:ind w:left="3960"/>
      </w:pPr>
      <w:r w:rsidRPr="007F76B6">
        <w:t>Signature:</w:t>
      </w:r>
      <w:r w:rsidR="00CC49AC">
        <w:rPr>
          <w:u w:val="single"/>
        </w:rPr>
        <w:t>                                                                  </w:t>
      </w:r>
      <w:r w:rsidRPr="007F76B6">
        <w:rPr>
          <w:sz w:val="18"/>
        </w:rPr>
        <w:tab/>
      </w:r>
    </w:p>
    <w:p w14:paraId="3563413F" w14:textId="77777777" w:rsidR="00CC49AC" w:rsidRDefault="00CC49AC" w:rsidP="00B4251E">
      <w:pPr>
        <w:keepNext/>
        <w:tabs>
          <w:tab w:val="left" w:pos="3960"/>
        </w:tabs>
        <w:spacing w:line="0" w:lineRule="atLeast"/>
        <w:ind w:left="3960"/>
      </w:pPr>
    </w:p>
    <w:p w14:paraId="12D1070E" w14:textId="7F3570B9" w:rsidR="000846FC" w:rsidRPr="007F76B6" w:rsidRDefault="000846FC" w:rsidP="00B4251E">
      <w:pPr>
        <w:keepNext/>
        <w:tabs>
          <w:tab w:val="left" w:pos="3960"/>
        </w:tabs>
        <w:spacing w:line="0" w:lineRule="atLeast"/>
        <w:ind w:left="3960"/>
      </w:pPr>
      <w:r w:rsidRPr="007F76B6">
        <w:t>Name:</w:t>
      </w:r>
      <w:r w:rsidR="00CC49AC">
        <w:rPr>
          <w:u w:val="single"/>
        </w:rPr>
        <w:t>                                                                        </w:t>
      </w:r>
      <w:r w:rsidRPr="007F76B6">
        <w:rPr>
          <w:sz w:val="18"/>
        </w:rPr>
        <w:tab/>
      </w:r>
      <w:r w:rsidRPr="007F76B6">
        <w:rPr>
          <w:sz w:val="18"/>
        </w:rPr>
        <w:tab/>
      </w:r>
    </w:p>
    <w:p w14:paraId="6FDAE04F" w14:textId="77777777" w:rsidR="00CC49AC" w:rsidRDefault="00CC49AC" w:rsidP="00B4251E">
      <w:pPr>
        <w:keepNext/>
        <w:tabs>
          <w:tab w:val="left" w:pos="3960"/>
        </w:tabs>
        <w:spacing w:line="0" w:lineRule="atLeast"/>
        <w:ind w:left="3960"/>
      </w:pPr>
    </w:p>
    <w:p w14:paraId="71BDF05F" w14:textId="719D696C" w:rsidR="000846FC" w:rsidRPr="007F76B6" w:rsidRDefault="000846FC" w:rsidP="00B4251E">
      <w:pPr>
        <w:keepNext/>
        <w:tabs>
          <w:tab w:val="left" w:pos="3960"/>
        </w:tabs>
        <w:spacing w:line="0" w:lineRule="atLeast"/>
        <w:ind w:left="3960"/>
      </w:pPr>
      <w:r w:rsidRPr="007F76B6">
        <w:t>Position:</w:t>
      </w:r>
      <w:r w:rsidR="00CC49AC">
        <w:rPr>
          <w:u w:val="single"/>
        </w:rPr>
        <w:t>                                                                    </w:t>
      </w:r>
      <w:r w:rsidRPr="007F76B6">
        <w:rPr>
          <w:sz w:val="18"/>
        </w:rPr>
        <w:tab/>
      </w:r>
      <w:r w:rsidRPr="007F76B6">
        <w:rPr>
          <w:sz w:val="18"/>
        </w:rPr>
        <w:tab/>
      </w:r>
    </w:p>
    <w:p w14:paraId="2A674375" w14:textId="77777777" w:rsidR="00CC49AC" w:rsidRDefault="00CC49AC" w:rsidP="00B4251E">
      <w:pPr>
        <w:keepNext/>
        <w:tabs>
          <w:tab w:val="left" w:pos="3960"/>
        </w:tabs>
        <w:spacing w:line="0" w:lineRule="atLeast"/>
        <w:ind w:left="3960"/>
      </w:pPr>
    </w:p>
    <w:p w14:paraId="15F9093B" w14:textId="794C2B15" w:rsidR="000846FC" w:rsidRPr="007F76B6" w:rsidRDefault="000846FC" w:rsidP="00B4251E">
      <w:pPr>
        <w:keepNext/>
        <w:tabs>
          <w:tab w:val="left" w:pos="3960"/>
        </w:tabs>
        <w:spacing w:line="0" w:lineRule="atLeast"/>
        <w:ind w:left="3960"/>
      </w:pPr>
      <w:r w:rsidRPr="007F76B6">
        <w:t>Date:</w:t>
      </w:r>
      <w:r w:rsidR="00CC49AC">
        <w:rPr>
          <w:u w:val="single"/>
        </w:rPr>
        <w:t>                                                                          </w:t>
      </w:r>
      <w:r w:rsidRPr="007F76B6">
        <w:rPr>
          <w:sz w:val="18"/>
        </w:rPr>
        <w:tab/>
      </w:r>
      <w:r w:rsidRPr="007F76B6">
        <w:rPr>
          <w:sz w:val="18"/>
        </w:rPr>
        <w:tab/>
      </w:r>
    </w:p>
    <w:p w14:paraId="0DE3E81D" w14:textId="77777777" w:rsidR="000846FC" w:rsidRPr="007F76B6" w:rsidRDefault="000846FC" w:rsidP="00B4251E">
      <w:pPr>
        <w:keepNext/>
        <w:tabs>
          <w:tab w:val="left" w:pos="3960"/>
        </w:tabs>
        <w:spacing w:line="0" w:lineRule="atLeast"/>
        <w:ind w:left="3960"/>
      </w:pPr>
    </w:p>
    <w:p w14:paraId="086284A6" w14:textId="115E2CBE" w:rsidR="000846FC" w:rsidRPr="007F76B6" w:rsidRDefault="000846FC" w:rsidP="00B4251E">
      <w:pPr>
        <w:keepNext/>
        <w:tabs>
          <w:tab w:val="left" w:pos="3960"/>
        </w:tabs>
        <w:spacing w:line="0" w:lineRule="atLeast"/>
        <w:ind w:left="3960"/>
      </w:pPr>
      <w:r w:rsidRPr="004022FA">
        <w:rPr>
          <w:rFonts w:cstheme="minorHAnsi"/>
        </w:rPr>
        <w:tab/>
      </w:r>
      <w:r w:rsidRPr="004022FA">
        <w:rPr>
          <w:rFonts w:cstheme="minorHAnsi"/>
        </w:rPr>
        <w:tab/>
      </w:r>
    </w:p>
    <w:p w14:paraId="7CAAF0C5" w14:textId="77777777" w:rsidR="007600CD" w:rsidRPr="003F2126" w:rsidRDefault="007600CD" w:rsidP="003F2126">
      <w:pPr>
        <w:keepNext/>
        <w:tabs>
          <w:tab w:val="left" w:pos="3960"/>
        </w:tabs>
        <w:spacing w:line="0" w:lineRule="atLeast"/>
        <w:ind w:left="3960"/>
        <w:rPr>
          <w:b/>
        </w:rPr>
      </w:pPr>
    </w:p>
    <w:p w14:paraId="2E69C179" w14:textId="44A4ADC3" w:rsidR="00A84758" w:rsidRDefault="000846FC" w:rsidP="00B4251E">
      <w:pPr>
        <w:keepNext/>
        <w:tabs>
          <w:tab w:val="left" w:pos="3960"/>
        </w:tabs>
        <w:spacing w:line="0" w:lineRule="atLeast"/>
        <w:ind w:left="3960"/>
        <w:rPr>
          <w:b/>
        </w:rPr>
      </w:pPr>
      <w:r w:rsidRPr="007F76B6">
        <w:rPr>
          <w:b/>
        </w:rPr>
        <w:t>DYNASCALE TECHNOLOGIES, INC</w:t>
      </w:r>
      <w:r w:rsidR="00A84758">
        <w:rPr>
          <w:b/>
        </w:rPr>
        <w:t>.</w:t>
      </w:r>
    </w:p>
    <w:p w14:paraId="5323D317" w14:textId="77777777" w:rsidR="00CC49AC" w:rsidRDefault="00CC49AC" w:rsidP="00B4251E">
      <w:pPr>
        <w:keepNext/>
        <w:tabs>
          <w:tab w:val="left" w:pos="3960"/>
        </w:tabs>
        <w:spacing w:line="0" w:lineRule="atLeast"/>
        <w:ind w:left="3960"/>
        <w:rPr>
          <w:b/>
        </w:rPr>
      </w:pPr>
    </w:p>
    <w:p w14:paraId="5856F67E" w14:textId="526B97CB" w:rsidR="000846FC" w:rsidRPr="00CC49AC" w:rsidRDefault="000846FC" w:rsidP="00B4251E">
      <w:pPr>
        <w:keepNext/>
        <w:tabs>
          <w:tab w:val="left" w:pos="3960"/>
        </w:tabs>
        <w:spacing w:line="0" w:lineRule="atLeast"/>
        <w:ind w:left="3960"/>
        <w:rPr>
          <w:u w:val="single"/>
        </w:rPr>
      </w:pPr>
      <w:r w:rsidRPr="007F76B6">
        <w:t>Signature:</w:t>
      </w:r>
      <w:r w:rsidR="00CC49AC">
        <w:rPr>
          <w:sz w:val="18"/>
          <w:u w:val="single"/>
        </w:rPr>
        <w:t>                                                                                       </w:t>
      </w:r>
    </w:p>
    <w:p w14:paraId="2AF8C4C8" w14:textId="77777777" w:rsidR="00CC49AC" w:rsidRDefault="00CC49AC" w:rsidP="00B4251E">
      <w:pPr>
        <w:keepNext/>
        <w:tabs>
          <w:tab w:val="left" w:pos="3960"/>
        </w:tabs>
        <w:spacing w:line="0" w:lineRule="atLeast"/>
        <w:ind w:left="3960"/>
      </w:pPr>
    </w:p>
    <w:p w14:paraId="451050AE" w14:textId="1E7C2A17" w:rsidR="000846FC" w:rsidRPr="00CC49AC" w:rsidRDefault="000846FC" w:rsidP="00B4251E">
      <w:pPr>
        <w:keepNext/>
        <w:tabs>
          <w:tab w:val="left" w:pos="3960"/>
        </w:tabs>
        <w:spacing w:line="0" w:lineRule="atLeast"/>
        <w:ind w:left="3960"/>
        <w:rPr>
          <w:u w:val="single"/>
        </w:rPr>
      </w:pPr>
      <w:r w:rsidRPr="007F76B6">
        <w:t>Name</w:t>
      </w:r>
      <w:r w:rsidR="00CC49AC">
        <w:t>:</w:t>
      </w:r>
      <w:r w:rsidR="00CC49AC">
        <w:rPr>
          <w:u w:val="single"/>
        </w:rPr>
        <w:t>                                                                        </w:t>
      </w:r>
    </w:p>
    <w:p w14:paraId="2EE5CC56" w14:textId="77777777" w:rsidR="00CC49AC" w:rsidRDefault="00CC49AC" w:rsidP="00B4251E">
      <w:pPr>
        <w:keepNext/>
        <w:tabs>
          <w:tab w:val="left" w:pos="3960"/>
        </w:tabs>
        <w:spacing w:line="0" w:lineRule="atLeast"/>
        <w:ind w:left="3960"/>
      </w:pPr>
    </w:p>
    <w:p w14:paraId="36E32F01" w14:textId="7F4F1A4B" w:rsidR="000846FC" w:rsidRPr="00CC49AC" w:rsidRDefault="000846FC" w:rsidP="00B4251E">
      <w:pPr>
        <w:keepNext/>
        <w:tabs>
          <w:tab w:val="left" w:pos="3960"/>
        </w:tabs>
        <w:spacing w:line="0" w:lineRule="atLeast"/>
        <w:ind w:left="3960"/>
        <w:rPr>
          <w:u w:val="single"/>
        </w:rPr>
      </w:pPr>
      <w:r w:rsidRPr="007F76B6">
        <w:t>Position:</w:t>
      </w:r>
      <w:r w:rsidR="00CC49AC">
        <w:rPr>
          <w:u w:val="single"/>
        </w:rPr>
        <w:t>                                                                    </w:t>
      </w:r>
    </w:p>
    <w:p w14:paraId="644BAA7E" w14:textId="77777777" w:rsidR="00CC49AC" w:rsidRDefault="00CC49AC" w:rsidP="00B4251E">
      <w:pPr>
        <w:keepNext/>
        <w:tabs>
          <w:tab w:val="left" w:pos="3960"/>
        </w:tabs>
        <w:spacing w:line="0" w:lineRule="atLeast"/>
        <w:ind w:left="3960"/>
      </w:pPr>
    </w:p>
    <w:p w14:paraId="3E67F481" w14:textId="53BDA2F0" w:rsidR="000846FC" w:rsidRPr="00CC49AC" w:rsidRDefault="000846FC" w:rsidP="00B4251E">
      <w:pPr>
        <w:keepNext/>
        <w:tabs>
          <w:tab w:val="left" w:pos="3960"/>
        </w:tabs>
        <w:spacing w:line="0" w:lineRule="atLeast"/>
        <w:ind w:left="3960"/>
        <w:rPr>
          <w:u w:val="single"/>
        </w:rPr>
      </w:pPr>
      <w:r w:rsidRPr="007F76B6">
        <w:t>Date:</w:t>
      </w:r>
      <w:r w:rsidR="00CC49AC">
        <w:rPr>
          <w:u w:val="single"/>
        </w:rPr>
        <w:t>                                                                          </w:t>
      </w:r>
    </w:p>
    <w:p w14:paraId="4E481F3D" w14:textId="77777777" w:rsidR="000846FC" w:rsidRPr="003F2126" w:rsidRDefault="000846FC" w:rsidP="005C7F66">
      <w:pPr>
        <w:pStyle w:val="BlockText"/>
        <w:ind w:left="1440"/>
        <w:rPr>
          <w:rFonts w:asciiTheme="minorHAnsi" w:hAnsiTheme="minorHAnsi"/>
        </w:rPr>
      </w:pPr>
    </w:p>
    <w:sectPr w:rsidR="000846FC" w:rsidRPr="003F2126" w:rsidSect="00162D6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4292" w14:textId="77777777" w:rsidR="00917CDF" w:rsidRDefault="00917CDF" w:rsidP="0060193C">
      <w:r>
        <w:separator/>
      </w:r>
    </w:p>
  </w:endnote>
  <w:endnote w:type="continuationSeparator" w:id="0">
    <w:p w14:paraId="58E015DF" w14:textId="77777777" w:rsidR="00917CDF" w:rsidRDefault="00917CDF" w:rsidP="0060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824739"/>
      <w:docPartObj>
        <w:docPartGallery w:val="Page Numbers (Bottom of Page)"/>
        <w:docPartUnique/>
      </w:docPartObj>
    </w:sdtPr>
    <w:sdtEndPr/>
    <w:sdtContent>
      <w:sdt>
        <w:sdtPr>
          <w:id w:val="1728636285"/>
          <w:docPartObj>
            <w:docPartGallery w:val="Page Numbers (Top of Page)"/>
            <w:docPartUnique/>
          </w:docPartObj>
        </w:sdtPr>
        <w:sdtEndPr/>
        <w:sdtContent>
          <w:p w14:paraId="25052632" w14:textId="77777777" w:rsidR="00794EC8" w:rsidRDefault="001461C3" w:rsidP="0008669E">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F5D5A6D" w14:textId="10CA203F" w:rsidR="00794EC8" w:rsidRPr="005C185B" w:rsidRDefault="00794EC8" w:rsidP="00794EC8">
            <w:pPr>
              <w:pStyle w:val="Footer"/>
              <w:rPr>
                <w:b/>
                <w:bCs/>
                <w:sz w:val="16"/>
                <w:szCs w:val="16"/>
              </w:rPr>
            </w:pPr>
            <w:r w:rsidRPr="005C185B">
              <w:rPr>
                <w:b/>
                <w:bCs/>
                <w:sz w:val="16"/>
                <w:szCs w:val="16"/>
              </w:rPr>
              <w:t>Confidential</w:t>
            </w:r>
          </w:p>
          <w:p w14:paraId="61A17020" w14:textId="55BD8265" w:rsidR="0060193C" w:rsidRDefault="005C185B" w:rsidP="003F2126">
            <w:pPr>
              <w:pStyle w:val="Footer"/>
            </w:pPr>
            <w:r w:rsidRPr="005C185B">
              <w:rPr>
                <w:sz w:val="16"/>
                <w:szCs w:val="16"/>
              </w:rPr>
              <w:t>Version 03012026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1D62" w14:textId="77777777" w:rsidR="00917CDF" w:rsidRDefault="00917CDF" w:rsidP="0060193C">
      <w:r>
        <w:separator/>
      </w:r>
    </w:p>
  </w:footnote>
  <w:footnote w:type="continuationSeparator" w:id="0">
    <w:p w14:paraId="679931C7" w14:textId="77777777" w:rsidR="00917CDF" w:rsidRDefault="00917CDF" w:rsidP="00601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8CD"/>
    <w:multiLevelType w:val="hybridMultilevel"/>
    <w:tmpl w:val="D83053BE"/>
    <w:lvl w:ilvl="0" w:tplc="0A28FC16">
      <w:start w:val="1"/>
      <w:numFmt w:val="upperLetter"/>
      <w:lvlText w:val="%1."/>
      <w:lvlJc w:val="left"/>
      <w:pPr>
        <w:ind w:left="1440" w:hanging="360"/>
      </w:pPr>
      <w:rPr>
        <w:rFonts w:cs="Arial" w:hint="default"/>
        <w:b/>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580AAF"/>
    <w:multiLevelType w:val="multilevel"/>
    <w:tmpl w:val="1CC8A4FE"/>
    <w:lvl w:ilvl="0">
      <w:start w:val="10"/>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D663592"/>
    <w:multiLevelType w:val="hybridMultilevel"/>
    <w:tmpl w:val="F3F6D77E"/>
    <w:lvl w:ilvl="0" w:tplc="87789224">
      <w:start w:val="12"/>
      <w:numFmt w:val="decimal"/>
      <w:lvlText w:val="%1."/>
      <w:lvlJc w:val="left"/>
      <w:pPr>
        <w:ind w:left="900" w:hanging="360"/>
      </w:pPr>
      <w:rPr>
        <w:rFonts w:eastAsiaTheme="minorHAnsi"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FCE0799"/>
    <w:multiLevelType w:val="multilevel"/>
    <w:tmpl w:val="6AC0DCE0"/>
    <w:lvl w:ilvl="0">
      <w:start w:val="5"/>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4" w15:restartNumberingAfterBreak="0">
    <w:nsid w:val="14EE292D"/>
    <w:multiLevelType w:val="multilevel"/>
    <w:tmpl w:val="DC6814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CE453E"/>
    <w:multiLevelType w:val="multilevel"/>
    <w:tmpl w:val="F000C7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651297"/>
    <w:multiLevelType w:val="hybridMultilevel"/>
    <w:tmpl w:val="09E85F42"/>
    <w:lvl w:ilvl="0" w:tplc="BFB4F914">
      <w:start w:val="1"/>
      <w:numFmt w:val="upperLetter"/>
      <w:lvlText w:val="%1."/>
      <w:lvlJc w:val="left"/>
      <w:pPr>
        <w:ind w:left="720" w:hanging="360"/>
      </w:pPr>
      <w:rPr>
        <w:rFonts w:hint="default"/>
        <w:b/>
        <w:bCs/>
        <w:i w:val="0"/>
        <w:iCs w:val="0"/>
      </w:rPr>
    </w:lvl>
    <w:lvl w:ilvl="1" w:tplc="FD36A14C">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3E7079E"/>
    <w:multiLevelType w:val="multilevel"/>
    <w:tmpl w:val="041E5E64"/>
    <w:lvl w:ilvl="0">
      <w:start w:val="2"/>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bCs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8" w15:restartNumberingAfterBreak="0">
    <w:nsid w:val="24D467A5"/>
    <w:multiLevelType w:val="hybridMultilevel"/>
    <w:tmpl w:val="FFFFFFFF"/>
    <w:lvl w:ilvl="0" w:tplc="728259DE">
      <w:start w:val="1"/>
      <w:numFmt w:val="bullet"/>
      <w:lvlText w:val=""/>
      <w:lvlJc w:val="left"/>
      <w:pPr>
        <w:ind w:left="720" w:hanging="360"/>
      </w:pPr>
      <w:rPr>
        <w:rFonts w:ascii="Symbol" w:hAnsi="Symbol" w:hint="default"/>
      </w:rPr>
    </w:lvl>
    <w:lvl w:ilvl="1" w:tplc="2736B64E">
      <w:start w:val="1"/>
      <w:numFmt w:val="bullet"/>
      <w:lvlText w:val="o"/>
      <w:lvlJc w:val="left"/>
      <w:pPr>
        <w:ind w:left="1440" w:hanging="360"/>
      </w:pPr>
      <w:rPr>
        <w:rFonts w:ascii="Courier New" w:hAnsi="Courier New" w:hint="default"/>
      </w:rPr>
    </w:lvl>
    <w:lvl w:ilvl="2" w:tplc="57A85BB2">
      <w:start w:val="1"/>
      <w:numFmt w:val="bullet"/>
      <w:lvlText w:val=""/>
      <w:lvlJc w:val="left"/>
      <w:pPr>
        <w:ind w:left="2160" w:hanging="360"/>
      </w:pPr>
      <w:rPr>
        <w:rFonts w:ascii="Wingdings" w:hAnsi="Wingdings" w:hint="default"/>
      </w:rPr>
    </w:lvl>
    <w:lvl w:ilvl="3" w:tplc="57DE6600">
      <w:start w:val="1"/>
      <w:numFmt w:val="bullet"/>
      <w:lvlText w:val=""/>
      <w:lvlJc w:val="left"/>
      <w:pPr>
        <w:ind w:left="2880" w:hanging="360"/>
      </w:pPr>
      <w:rPr>
        <w:rFonts w:ascii="Symbol" w:hAnsi="Symbol" w:hint="default"/>
      </w:rPr>
    </w:lvl>
    <w:lvl w:ilvl="4" w:tplc="75F24CEC">
      <w:start w:val="1"/>
      <w:numFmt w:val="bullet"/>
      <w:lvlText w:val="o"/>
      <w:lvlJc w:val="left"/>
      <w:pPr>
        <w:ind w:left="3600" w:hanging="360"/>
      </w:pPr>
      <w:rPr>
        <w:rFonts w:ascii="Courier New" w:hAnsi="Courier New" w:hint="default"/>
      </w:rPr>
    </w:lvl>
    <w:lvl w:ilvl="5" w:tplc="59A80B88">
      <w:start w:val="1"/>
      <w:numFmt w:val="bullet"/>
      <w:lvlText w:val=""/>
      <w:lvlJc w:val="left"/>
      <w:pPr>
        <w:ind w:left="4320" w:hanging="360"/>
      </w:pPr>
      <w:rPr>
        <w:rFonts w:ascii="Wingdings" w:hAnsi="Wingdings" w:hint="default"/>
      </w:rPr>
    </w:lvl>
    <w:lvl w:ilvl="6" w:tplc="D862DAD0">
      <w:start w:val="1"/>
      <w:numFmt w:val="bullet"/>
      <w:lvlText w:val=""/>
      <w:lvlJc w:val="left"/>
      <w:pPr>
        <w:ind w:left="5040" w:hanging="360"/>
      </w:pPr>
      <w:rPr>
        <w:rFonts w:ascii="Symbol" w:hAnsi="Symbol" w:hint="default"/>
      </w:rPr>
    </w:lvl>
    <w:lvl w:ilvl="7" w:tplc="F9C22EEC">
      <w:start w:val="1"/>
      <w:numFmt w:val="bullet"/>
      <w:lvlText w:val="o"/>
      <w:lvlJc w:val="left"/>
      <w:pPr>
        <w:ind w:left="5760" w:hanging="360"/>
      </w:pPr>
      <w:rPr>
        <w:rFonts w:ascii="Courier New" w:hAnsi="Courier New" w:hint="default"/>
      </w:rPr>
    </w:lvl>
    <w:lvl w:ilvl="8" w:tplc="70B2F292">
      <w:start w:val="1"/>
      <w:numFmt w:val="bullet"/>
      <w:lvlText w:val=""/>
      <w:lvlJc w:val="left"/>
      <w:pPr>
        <w:ind w:left="6480" w:hanging="360"/>
      </w:pPr>
      <w:rPr>
        <w:rFonts w:ascii="Wingdings" w:hAnsi="Wingdings" w:hint="default"/>
      </w:rPr>
    </w:lvl>
  </w:abstractNum>
  <w:abstractNum w:abstractNumId="9" w15:restartNumberingAfterBreak="0">
    <w:nsid w:val="24FC06AF"/>
    <w:multiLevelType w:val="hybridMultilevel"/>
    <w:tmpl w:val="12CA327E"/>
    <w:lvl w:ilvl="0" w:tplc="857A407A">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E2775"/>
    <w:multiLevelType w:val="multilevel"/>
    <w:tmpl w:val="CADCD934"/>
    <w:lvl w:ilvl="0">
      <w:start w:val="15"/>
      <w:numFmt w:val="decimal"/>
      <w:lvlText w:val="%1"/>
      <w:lvlJc w:val="left"/>
      <w:pPr>
        <w:ind w:left="420" w:hanging="420"/>
      </w:pPr>
      <w:rPr>
        <w:rFonts w:eastAsiaTheme="minorHAnsi" w:hint="default"/>
        <w:b/>
      </w:rPr>
    </w:lvl>
    <w:lvl w:ilvl="1">
      <w:start w:val="1"/>
      <w:numFmt w:val="decimal"/>
      <w:lvlText w:val="%1.%2"/>
      <w:lvlJc w:val="left"/>
      <w:pPr>
        <w:ind w:left="960" w:hanging="420"/>
      </w:pPr>
      <w:rPr>
        <w:rFonts w:eastAsiaTheme="minorHAnsi" w:hint="default"/>
        <w:b/>
      </w:rPr>
    </w:lvl>
    <w:lvl w:ilvl="2">
      <w:start w:val="1"/>
      <w:numFmt w:val="decimal"/>
      <w:lvlText w:val="%1.%2.%3"/>
      <w:lvlJc w:val="left"/>
      <w:pPr>
        <w:ind w:left="1800" w:hanging="720"/>
      </w:pPr>
      <w:rPr>
        <w:rFonts w:eastAsiaTheme="minorHAnsi" w:hint="default"/>
        <w:b/>
      </w:rPr>
    </w:lvl>
    <w:lvl w:ilvl="3">
      <w:start w:val="1"/>
      <w:numFmt w:val="decimal"/>
      <w:lvlText w:val="%1.%2.%3.%4"/>
      <w:lvlJc w:val="left"/>
      <w:pPr>
        <w:ind w:left="2340" w:hanging="720"/>
      </w:pPr>
      <w:rPr>
        <w:rFonts w:eastAsiaTheme="minorHAnsi" w:hint="default"/>
        <w:b/>
      </w:rPr>
    </w:lvl>
    <w:lvl w:ilvl="4">
      <w:start w:val="1"/>
      <w:numFmt w:val="decimal"/>
      <w:lvlText w:val="%1.%2.%3.%4.%5"/>
      <w:lvlJc w:val="left"/>
      <w:pPr>
        <w:ind w:left="3240" w:hanging="1080"/>
      </w:pPr>
      <w:rPr>
        <w:rFonts w:eastAsiaTheme="minorHAnsi" w:hint="default"/>
        <w:b/>
      </w:rPr>
    </w:lvl>
    <w:lvl w:ilvl="5">
      <w:start w:val="1"/>
      <w:numFmt w:val="decimal"/>
      <w:lvlText w:val="%1.%2.%3.%4.%5.%6"/>
      <w:lvlJc w:val="left"/>
      <w:pPr>
        <w:ind w:left="3780" w:hanging="1080"/>
      </w:pPr>
      <w:rPr>
        <w:rFonts w:eastAsiaTheme="minorHAnsi" w:hint="default"/>
        <w:b/>
      </w:rPr>
    </w:lvl>
    <w:lvl w:ilvl="6">
      <w:start w:val="1"/>
      <w:numFmt w:val="decimal"/>
      <w:lvlText w:val="%1.%2.%3.%4.%5.%6.%7"/>
      <w:lvlJc w:val="left"/>
      <w:pPr>
        <w:ind w:left="4680" w:hanging="1440"/>
      </w:pPr>
      <w:rPr>
        <w:rFonts w:eastAsiaTheme="minorHAnsi" w:hint="default"/>
        <w:b/>
      </w:rPr>
    </w:lvl>
    <w:lvl w:ilvl="7">
      <w:start w:val="1"/>
      <w:numFmt w:val="decimal"/>
      <w:lvlText w:val="%1.%2.%3.%4.%5.%6.%7.%8"/>
      <w:lvlJc w:val="left"/>
      <w:pPr>
        <w:ind w:left="5220" w:hanging="1440"/>
      </w:pPr>
      <w:rPr>
        <w:rFonts w:eastAsiaTheme="minorHAnsi" w:hint="default"/>
        <w:b/>
      </w:rPr>
    </w:lvl>
    <w:lvl w:ilvl="8">
      <w:start w:val="1"/>
      <w:numFmt w:val="decimal"/>
      <w:lvlText w:val="%1.%2.%3.%4.%5.%6.%7.%8.%9"/>
      <w:lvlJc w:val="left"/>
      <w:pPr>
        <w:ind w:left="6120" w:hanging="1800"/>
      </w:pPr>
      <w:rPr>
        <w:rFonts w:eastAsiaTheme="minorHAnsi" w:hint="default"/>
        <w:b/>
      </w:rPr>
    </w:lvl>
  </w:abstractNum>
  <w:abstractNum w:abstractNumId="11" w15:restartNumberingAfterBreak="0">
    <w:nsid w:val="2A4676DB"/>
    <w:multiLevelType w:val="multilevel"/>
    <w:tmpl w:val="1086213A"/>
    <w:lvl w:ilvl="0">
      <w:start w:val="10"/>
      <w:numFmt w:val="decimal"/>
      <w:lvlText w:val="%1"/>
      <w:lvlJc w:val="left"/>
      <w:pPr>
        <w:ind w:left="420" w:hanging="420"/>
      </w:pPr>
      <w:rPr>
        <w:rFonts w:hint="default"/>
        <w:b/>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2" w15:restartNumberingAfterBreak="0">
    <w:nsid w:val="2BA0464F"/>
    <w:multiLevelType w:val="multilevel"/>
    <w:tmpl w:val="EE8E6588"/>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2C4B6DDC"/>
    <w:multiLevelType w:val="hybridMultilevel"/>
    <w:tmpl w:val="D04CA154"/>
    <w:lvl w:ilvl="0" w:tplc="7E10B5D0">
      <w:start w:val="1"/>
      <w:numFmt w:val="upp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24F4F8C"/>
    <w:multiLevelType w:val="multilevel"/>
    <w:tmpl w:val="E3C8F7EE"/>
    <w:lvl w:ilvl="0">
      <w:start w:val="11"/>
      <w:numFmt w:val="decimal"/>
      <w:lvlText w:val="%1"/>
      <w:lvlJc w:val="left"/>
      <w:pPr>
        <w:ind w:left="420" w:hanging="420"/>
      </w:pPr>
      <w:rPr>
        <w:rFonts w:hint="default"/>
        <w:b/>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5" w15:restartNumberingAfterBreak="0">
    <w:nsid w:val="347B0901"/>
    <w:multiLevelType w:val="multilevel"/>
    <w:tmpl w:val="50868456"/>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3834562F"/>
    <w:multiLevelType w:val="multilevel"/>
    <w:tmpl w:val="3F9A5EFC"/>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38E55EBD"/>
    <w:multiLevelType w:val="hybridMultilevel"/>
    <w:tmpl w:val="C8CCCFFA"/>
    <w:lvl w:ilvl="0" w:tplc="084E04EE">
      <w:start w:val="1"/>
      <w:numFmt w:val="decimal"/>
      <w:lvlText w:val="%1."/>
      <w:lvlJc w:val="left"/>
      <w:pPr>
        <w:ind w:left="1080" w:hanging="720"/>
      </w:pPr>
      <w:rPr>
        <w:rFonts w:ascii="Calibri" w:eastAsia="Times New Roman" w:hAnsi="Calibri" w:cs="Calibri"/>
        <w:b/>
        <w:bCs/>
      </w:rPr>
    </w:lvl>
    <w:lvl w:ilvl="1" w:tplc="4B521136">
      <w:start w:val="1"/>
      <w:numFmt w:val="lowerLetter"/>
      <w:lvlText w:val="%2."/>
      <w:lvlJc w:val="left"/>
      <w:pPr>
        <w:ind w:left="1440" w:hanging="360"/>
      </w:pPr>
      <w:rPr>
        <w:b/>
        <w:bCs/>
      </w:rPr>
    </w:lvl>
    <w:lvl w:ilvl="2" w:tplc="3C74968A">
      <w:start w:val="1"/>
      <w:numFmt w:val="lowerRoman"/>
      <w:lvlText w:val="%3."/>
      <w:lvlJc w:val="right"/>
      <w:pPr>
        <w:ind w:left="2160" w:hanging="180"/>
      </w:pPr>
      <w:rPr>
        <w:b/>
        <w:bCs/>
      </w:rPr>
    </w:lvl>
    <w:lvl w:ilvl="3" w:tplc="CEB22598">
      <w:start w:val="4"/>
      <w:numFmt w:val="upperLetter"/>
      <w:lvlText w:val="%4."/>
      <w:lvlJc w:val="left"/>
      <w:pPr>
        <w:ind w:left="2880" w:hanging="360"/>
      </w:pPr>
      <w:rPr>
        <w:rFonts w:hint="default"/>
        <w: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22D1A"/>
    <w:multiLevelType w:val="hybridMultilevel"/>
    <w:tmpl w:val="A52C3936"/>
    <w:lvl w:ilvl="0" w:tplc="D98A42B6">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0619B"/>
    <w:multiLevelType w:val="multilevel"/>
    <w:tmpl w:val="674C64A6"/>
    <w:lvl w:ilvl="0">
      <w:start w:val="7"/>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0" w15:restartNumberingAfterBreak="0">
    <w:nsid w:val="3AEA61E5"/>
    <w:multiLevelType w:val="hybridMultilevel"/>
    <w:tmpl w:val="63AEA7AE"/>
    <w:lvl w:ilvl="0" w:tplc="E91C881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526B7"/>
    <w:multiLevelType w:val="hybridMultilevel"/>
    <w:tmpl w:val="F7AE6A4E"/>
    <w:lvl w:ilvl="0" w:tplc="7700CF4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7146D"/>
    <w:multiLevelType w:val="hybridMultilevel"/>
    <w:tmpl w:val="8AC8C588"/>
    <w:lvl w:ilvl="0" w:tplc="1F36C59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AC7779C"/>
    <w:multiLevelType w:val="hybridMultilevel"/>
    <w:tmpl w:val="3AA2ECDC"/>
    <w:lvl w:ilvl="0" w:tplc="AB6A6D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00DD1C"/>
    <w:multiLevelType w:val="hybridMultilevel"/>
    <w:tmpl w:val="B5F87492"/>
    <w:lvl w:ilvl="0" w:tplc="475846F6">
      <w:start w:val="1"/>
      <w:numFmt w:val="upperLetter"/>
      <w:lvlText w:val="%1."/>
      <w:lvlJc w:val="left"/>
      <w:pPr>
        <w:ind w:left="720" w:hanging="360"/>
      </w:pPr>
      <w:rPr>
        <w:rFonts w:hint="default"/>
        <w:i w:val="0"/>
        <w:iCs w:val="0"/>
      </w:rPr>
    </w:lvl>
    <w:lvl w:ilvl="1" w:tplc="9C2E06EE">
      <w:start w:val="1"/>
      <w:numFmt w:val="lowerLetter"/>
      <w:lvlText w:val="%2."/>
      <w:lvlJc w:val="left"/>
      <w:pPr>
        <w:ind w:left="1440" w:hanging="360"/>
      </w:pPr>
    </w:lvl>
    <w:lvl w:ilvl="2" w:tplc="5674231E">
      <w:start w:val="1"/>
      <w:numFmt w:val="lowerRoman"/>
      <w:lvlText w:val="%3."/>
      <w:lvlJc w:val="right"/>
      <w:pPr>
        <w:ind w:left="2160" w:hanging="180"/>
      </w:pPr>
    </w:lvl>
    <w:lvl w:ilvl="3" w:tplc="B38C775E">
      <w:start w:val="1"/>
      <w:numFmt w:val="decimal"/>
      <w:lvlText w:val="%4."/>
      <w:lvlJc w:val="left"/>
      <w:pPr>
        <w:ind w:left="2880" w:hanging="360"/>
      </w:pPr>
      <w:rPr>
        <w:b/>
        <w:bCs/>
        <w:i w:val="0"/>
        <w:iCs w:val="0"/>
      </w:rPr>
    </w:lvl>
    <w:lvl w:ilvl="4" w:tplc="0EDC784A">
      <w:start w:val="1"/>
      <w:numFmt w:val="lowerLetter"/>
      <w:lvlText w:val="%5."/>
      <w:lvlJc w:val="left"/>
      <w:pPr>
        <w:ind w:left="3600" w:hanging="360"/>
      </w:pPr>
    </w:lvl>
    <w:lvl w:ilvl="5" w:tplc="15A22660">
      <w:start w:val="1"/>
      <w:numFmt w:val="lowerRoman"/>
      <w:lvlText w:val="%6."/>
      <w:lvlJc w:val="right"/>
      <w:pPr>
        <w:ind w:left="4320" w:hanging="180"/>
      </w:pPr>
    </w:lvl>
    <w:lvl w:ilvl="6" w:tplc="7756929C">
      <w:start w:val="1"/>
      <w:numFmt w:val="decimal"/>
      <w:lvlText w:val="%7."/>
      <w:lvlJc w:val="left"/>
      <w:pPr>
        <w:ind w:left="5040" w:hanging="360"/>
      </w:pPr>
      <w:rPr>
        <w:b/>
        <w:bCs/>
      </w:rPr>
    </w:lvl>
    <w:lvl w:ilvl="7" w:tplc="62AA7434">
      <w:start w:val="1"/>
      <w:numFmt w:val="lowerLetter"/>
      <w:lvlText w:val="%8."/>
      <w:lvlJc w:val="left"/>
      <w:pPr>
        <w:ind w:left="5760" w:hanging="360"/>
      </w:pPr>
    </w:lvl>
    <w:lvl w:ilvl="8" w:tplc="8DE0558A">
      <w:start w:val="1"/>
      <w:numFmt w:val="lowerRoman"/>
      <w:lvlText w:val="%9."/>
      <w:lvlJc w:val="right"/>
      <w:pPr>
        <w:ind w:left="6480" w:hanging="180"/>
      </w:pPr>
    </w:lvl>
  </w:abstractNum>
  <w:abstractNum w:abstractNumId="25" w15:restartNumberingAfterBreak="0">
    <w:nsid w:val="515201A2"/>
    <w:multiLevelType w:val="multilevel"/>
    <w:tmpl w:val="7F069790"/>
    <w:lvl w:ilvl="0">
      <w:start w:val="3"/>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6" w15:restartNumberingAfterBreak="0">
    <w:nsid w:val="534D7C79"/>
    <w:multiLevelType w:val="multilevel"/>
    <w:tmpl w:val="E4183264"/>
    <w:lvl w:ilvl="0">
      <w:start w:val="10"/>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5529789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592866"/>
    <w:multiLevelType w:val="multilevel"/>
    <w:tmpl w:val="F1A2806E"/>
    <w:lvl w:ilvl="0">
      <w:start w:val="2"/>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9" w15:restartNumberingAfterBreak="0">
    <w:nsid w:val="5B7E3335"/>
    <w:multiLevelType w:val="multilevel"/>
    <w:tmpl w:val="4A0AD77C"/>
    <w:lvl w:ilvl="0">
      <w:start w:val="14"/>
      <w:numFmt w:val="decimal"/>
      <w:lvlText w:val="%1"/>
      <w:lvlJc w:val="left"/>
      <w:pPr>
        <w:ind w:left="420" w:hanging="420"/>
      </w:pPr>
      <w:rPr>
        <w:rFonts w:eastAsiaTheme="minorHAnsi" w:hint="default"/>
        <w:b/>
      </w:rPr>
    </w:lvl>
    <w:lvl w:ilvl="1">
      <w:start w:val="1"/>
      <w:numFmt w:val="decimal"/>
      <w:lvlText w:val="%1.%2"/>
      <w:lvlJc w:val="left"/>
      <w:pPr>
        <w:ind w:left="900" w:hanging="420"/>
      </w:pPr>
      <w:rPr>
        <w:rFonts w:eastAsiaTheme="minorHAnsi" w:hint="default"/>
        <w:b/>
      </w:rPr>
    </w:lvl>
    <w:lvl w:ilvl="2">
      <w:start w:val="1"/>
      <w:numFmt w:val="decimal"/>
      <w:lvlText w:val="%1.%2.%3"/>
      <w:lvlJc w:val="left"/>
      <w:pPr>
        <w:ind w:left="1680" w:hanging="720"/>
      </w:pPr>
      <w:rPr>
        <w:rFonts w:eastAsiaTheme="minorHAnsi" w:hint="default"/>
        <w:b/>
      </w:rPr>
    </w:lvl>
    <w:lvl w:ilvl="3">
      <w:start w:val="1"/>
      <w:numFmt w:val="decimal"/>
      <w:lvlText w:val="%1.%2.%3.%4"/>
      <w:lvlJc w:val="left"/>
      <w:pPr>
        <w:ind w:left="2160" w:hanging="720"/>
      </w:pPr>
      <w:rPr>
        <w:rFonts w:eastAsiaTheme="minorHAnsi" w:hint="default"/>
        <w:b/>
      </w:rPr>
    </w:lvl>
    <w:lvl w:ilvl="4">
      <w:start w:val="1"/>
      <w:numFmt w:val="decimal"/>
      <w:lvlText w:val="%1.%2.%3.%4.%5"/>
      <w:lvlJc w:val="left"/>
      <w:pPr>
        <w:ind w:left="3000" w:hanging="1080"/>
      </w:pPr>
      <w:rPr>
        <w:rFonts w:eastAsiaTheme="minorHAnsi" w:hint="default"/>
        <w:b/>
      </w:rPr>
    </w:lvl>
    <w:lvl w:ilvl="5">
      <w:start w:val="1"/>
      <w:numFmt w:val="decimal"/>
      <w:lvlText w:val="%1.%2.%3.%4.%5.%6"/>
      <w:lvlJc w:val="left"/>
      <w:pPr>
        <w:ind w:left="3480" w:hanging="1080"/>
      </w:pPr>
      <w:rPr>
        <w:rFonts w:eastAsiaTheme="minorHAnsi" w:hint="default"/>
        <w:b/>
      </w:rPr>
    </w:lvl>
    <w:lvl w:ilvl="6">
      <w:start w:val="1"/>
      <w:numFmt w:val="decimal"/>
      <w:lvlText w:val="%1.%2.%3.%4.%5.%6.%7"/>
      <w:lvlJc w:val="left"/>
      <w:pPr>
        <w:ind w:left="4320" w:hanging="1440"/>
      </w:pPr>
      <w:rPr>
        <w:rFonts w:eastAsiaTheme="minorHAnsi" w:hint="default"/>
        <w:b/>
      </w:rPr>
    </w:lvl>
    <w:lvl w:ilvl="7">
      <w:start w:val="1"/>
      <w:numFmt w:val="decimal"/>
      <w:lvlText w:val="%1.%2.%3.%4.%5.%6.%7.%8"/>
      <w:lvlJc w:val="left"/>
      <w:pPr>
        <w:ind w:left="4800" w:hanging="1440"/>
      </w:pPr>
      <w:rPr>
        <w:rFonts w:eastAsiaTheme="minorHAnsi" w:hint="default"/>
        <w:b/>
      </w:rPr>
    </w:lvl>
    <w:lvl w:ilvl="8">
      <w:start w:val="1"/>
      <w:numFmt w:val="decimal"/>
      <w:lvlText w:val="%1.%2.%3.%4.%5.%6.%7.%8.%9"/>
      <w:lvlJc w:val="left"/>
      <w:pPr>
        <w:ind w:left="5640" w:hanging="1800"/>
      </w:pPr>
      <w:rPr>
        <w:rFonts w:eastAsiaTheme="minorHAnsi" w:hint="default"/>
        <w:b/>
      </w:rPr>
    </w:lvl>
  </w:abstractNum>
  <w:abstractNum w:abstractNumId="30" w15:restartNumberingAfterBreak="0">
    <w:nsid w:val="5EBC19C1"/>
    <w:multiLevelType w:val="multilevel"/>
    <w:tmpl w:val="612074D6"/>
    <w:lvl w:ilvl="0">
      <w:start w:val="3"/>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1" w15:restartNumberingAfterBreak="0">
    <w:nsid w:val="67613F33"/>
    <w:multiLevelType w:val="multilevel"/>
    <w:tmpl w:val="AD8AFB26"/>
    <w:lvl w:ilvl="0">
      <w:start w:val="12"/>
      <w:numFmt w:val="decimal"/>
      <w:lvlText w:val="%1."/>
      <w:lvlJc w:val="left"/>
      <w:pPr>
        <w:ind w:left="480" w:hanging="480"/>
      </w:pPr>
      <w:rPr>
        <w:rFonts w:eastAsiaTheme="minorHAnsi" w:hint="default"/>
        <w:b/>
      </w:rPr>
    </w:lvl>
    <w:lvl w:ilvl="1">
      <w:start w:val="1"/>
      <w:numFmt w:val="decimal"/>
      <w:lvlText w:val="%1.%2."/>
      <w:lvlJc w:val="left"/>
      <w:pPr>
        <w:ind w:left="1020" w:hanging="480"/>
      </w:pPr>
      <w:rPr>
        <w:rFonts w:eastAsiaTheme="minorHAnsi" w:hint="default"/>
        <w:b/>
      </w:rPr>
    </w:lvl>
    <w:lvl w:ilvl="2">
      <w:start w:val="1"/>
      <w:numFmt w:val="decimal"/>
      <w:lvlText w:val="%1.%2.%3."/>
      <w:lvlJc w:val="left"/>
      <w:pPr>
        <w:ind w:left="1800" w:hanging="720"/>
      </w:pPr>
      <w:rPr>
        <w:rFonts w:eastAsiaTheme="minorHAnsi" w:hint="default"/>
        <w:b/>
      </w:rPr>
    </w:lvl>
    <w:lvl w:ilvl="3">
      <w:start w:val="1"/>
      <w:numFmt w:val="decimal"/>
      <w:lvlText w:val="%1.%2.%3.%4."/>
      <w:lvlJc w:val="left"/>
      <w:pPr>
        <w:ind w:left="2340" w:hanging="720"/>
      </w:pPr>
      <w:rPr>
        <w:rFonts w:eastAsiaTheme="minorHAnsi" w:hint="default"/>
        <w:b/>
      </w:rPr>
    </w:lvl>
    <w:lvl w:ilvl="4">
      <w:start w:val="1"/>
      <w:numFmt w:val="decimal"/>
      <w:lvlText w:val="%1.%2.%3.%4.%5."/>
      <w:lvlJc w:val="left"/>
      <w:pPr>
        <w:ind w:left="3240" w:hanging="1080"/>
      </w:pPr>
      <w:rPr>
        <w:rFonts w:eastAsiaTheme="minorHAnsi" w:hint="default"/>
        <w:b/>
      </w:rPr>
    </w:lvl>
    <w:lvl w:ilvl="5">
      <w:start w:val="1"/>
      <w:numFmt w:val="decimal"/>
      <w:lvlText w:val="%1.%2.%3.%4.%5.%6."/>
      <w:lvlJc w:val="left"/>
      <w:pPr>
        <w:ind w:left="3780" w:hanging="1080"/>
      </w:pPr>
      <w:rPr>
        <w:rFonts w:eastAsiaTheme="minorHAnsi" w:hint="default"/>
        <w:b/>
      </w:rPr>
    </w:lvl>
    <w:lvl w:ilvl="6">
      <w:start w:val="1"/>
      <w:numFmt w:val="decimal"/>
      <w:lvlText w:val="%1.%2.%3.%4.%5.%6.%7."/>
      <w:lvlJc w:val="left"/>
      <w:pPr>
        <w:ind w:left="4680" w:hanging="1440"/>
      </w:pPr>
      <w:rPr>
        <w:rFonts w:eastAsiaTheme="minorHAnsi" w:hint="default"/>
        <w:b/>
      </w:rPr>
    </w:lvl>
    <w:lvl w:ilvl="7">
      <w:start w:val="1"/>
      <w:numFmt w:val="decimal"/>
      <w:lvlText w:val="%1.%2.%3.%4.%5.%6.%7.%8."/>
      <w:lvlJc w:val="left"/>
      <w:pPr>
        <w:ind w:left="5220" w:hanging="1440"/>
      </w:pPr>
      <w:rPr>
        <w:rFonts w:eastAsiaTheme="minorHAnsi" w:hint="default"/>
        <w:b/>
      </w:rPr>
    </w:lvl>
    <w:lvl w:ilvl="8">
      <w:start w:val="1"/>
      <w:numFmt w:val="decimal"/>
      <w:lvlText w:val="%1.%2.%3.%4.%5.%6.%7.%8.%9."/>
      <w:lvlJc w:val="left"/>
      <w:pPr>
        <w:ind w:left="6120" w:hanging="1800"/>
      </w:pPr>
      <w:rPr>
        <w:rFonts w:eastAsiaTheme="minorHAnsi" w:hint="default"/>
        <w:b/>
      </w:rPr>
    </w:lvl>
  </w:abstractNum>
  <w:abstractNum w:abstractNumId="32" w15:restartNumberingAfterBreak="0">
    <w:nsid w:val="68B52FB4"/>
    <w:multiLevelType w:val="multilevel"/>
    <w:tmpl w:val="A6268730"/>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6AE052BF"/>
    <w:multiLevelType w:val="multilevel"/>
    <w:tmpl w:val="6DA00602"/>
    <w:lvl w:ilvl="0">
      <w:start w:val="13"/>
      <w:numFmt w:val="decimal"/>
      <w:lvlText w:val="%1"/>
      <w:lvlJc w:val="left"/>
      <w:pPr>
        <w:ind w:left="420" w:hanging="420"/>
      </w:pPr>
      <w:rPr>
        <w:rFonts w:eastAsiaTheme="minorHAnsi" w:hint="default"/>
        <w:b/>
      </w:rPr>
    </w:lvl>
    <w:lvl w:ilvl="1">
      <w:start w:val="1"/>
      <w:numFmt w:val="decimal"/>
      <w:lvlText w:val="%1.%2"/>
      <w:lvlJc w:val="left"/>
      <w:pPr>
        <w:ind w:left="960" w:hanging="420"/>
      </w:pPr>
      <w:rPr>
        <w:rFonts w:eastAsiaTheme="minorHAnsi" w:hint="default"/>
        <w:b/>
      </w:rPr>
    </w:lvl>
    <w:lvl w:ilvl="2">
      <w:start w:val="1"/>
      <w:numFmt w:val="decimal"/>
      <w:lvlText w:val="%1.%2.%3"/>
      <w:lvlJc w:val="left"/>
      <w:pPr>
        <w:ind w:left="1800" w:hanging="720"/>
      </w:pPr>
      <w:rPr>
        <w:rFonts w:eastAsiaTheme="minorHAnsi" w:hint="default"/>
        <w:b/>
      </w:rPr>
    </w:lvl>
    <w:lvl w:ilvl="3">
      <w:start w:val="1"/>
      <w:numFmt w:val="decimal"/>
      <w:lvlText w:val="%1.%2.%3.%4"/>
      <w:lvlJc w:val="left"/>
      <w:pPr>
        <w:ind w:left="2340" w:hanging="720"/>
      </w:pPr>
      <w:rPr>
        <w:rFonts w:eastAsiaTheme="minorHAnsi" w:hint="default"/>
        <w:b/>
      </w:rPr>
    </w:lvl>
    <w:lvl w:ilvl="4">
      <w:start w:val="1"/>
      <w:numFmt w:val="decimal"/>
      <w:lvlText w:val="%1.%2.%3.%4.%5"/>
      <w:lvlJc w:val="left"/>
      <w:pPr>
        <w:ind w:left="3240" w:hanging="1080"/>
      </w:pPr>
      <w:rPr>
        <w:rFonts w:eastAsiaTheme="minorHAnsi" w:hint="default"/>
        <w:b/>
      </w:rPr>
    </w:lvl>
    <w:lvl w:ilvl="5">
      <w:start w:val="1"/>
      <w:numFmt w:val="decimal"/>
      <w:lvlText w:val="%1.%2.%3.%4.%5.%6"/>
      <w:lvlJc w:val="left"/>
      <w:pPr>
        <w:ind w:left="3780" w:hanging="1080"/>
      </w:pPr>
      <w:rPr>
        <w:rFonts w:eastAsiaTheme="minorHAnsi" w:hint="default"/>
        <w:b/>
      </w:rPr>
    </w:lvl>
    <w:lvl w:ilvl="6">
      <w:start w:val="1"/>
      <w:numFmt w:val="decimal"/>
      <w:lvlText w:val="%1.%2.%3.%4.%5.%6.%7"/>
      <w:lvlJc w:val="left"/>
      <w:pPr>
        <w:ind w:left="4680" w:hanging="1440"/>
      </w:pPr>
      <w:rPr>
        <w:rFonts w:eastAsiaTheme="minorHAnsi" w:hint="default"/>
        <w:b/>
      </w:rPr>
    </w:lvl>
    <w:lvl w:ilvl="7">
      <w:start w:val="1"/>
      <w:numFmt w:val="decimal"/>
      <w:lvlText w:val="%1.%2.%3.%4.%5.%6.%7.%8"/>
      <w:lvlJc w:val="left"/>
      <w:pPr>
        <w:ind w:left="5220" w:hanging="1440"/>
      </w:pPr>
      <w:rPr>
        <w:rFonts w:eastAsiaTheme="minorHAnsi" w:hint="default"/>
        <w:b/>
      </w:rPr>
    </w:lvl>
    <w:lvl w:ilvl="8">
      <w:start w:val="1"/>
      <w:numFmt w:val="decimal"/>
      <w:lvlText w:val="%1.%2.%3.%4.%5.%6.%7.%8.%9"/>
      <w:lvlJc w:val="left"/>
      <w:pPr>
        <w:ind w:left="6120" w:hanging="1800"/>
      </w:pPr>
      <w:rPr>
        <w:rFonts w:eastAsiaTheme="minorHAnsi" w:hint="default"/>
        <w:b/>
      </w:rPr>
    </w:lvl>
  </w:abstractNum>
  <w:abstractNum w:abstractNumId="34" w15:restartNumberingAfterBreak="0">
    <w:nsid w:val="72FB6AEB"/>
    <w:multiLevelType w:val="multilevel"/>
    <w:tmpl w:val="34BA1006"/>
    <w:lvl w:ilvl="0">
      <w:start w:val="12"/>
      <w:numFmt w:val="decimal"/>
      <w:lvlText w:val="%1"/>
      <w:lvlJc w:val="left"/>
      <w:pPr>
        <w:ind w:left="420" w:hanging="420"/>
      </w:pPr>
      <w:rPr>
        <w:rFonts w:eastAsiaTheme="minorHAnsi" w:hint="default"/>
        <w:b/>
      </w:rPr>
    </w:lvl>
    <w:lvl w:ilvl="1">
      <w:start w:val="1"/>
      <w:numFmt w:val="decimal"/>
      <w:lvlText w:val="%1.%2"/>
      <w:lvlJc w:val="left"/>
      <w:pPr>
        <w:ind w:left="960" w:hanging="420"/>
      </w:pPr>
      <w:rPr>
        <w:rFonts w:eastAsiaTheme="minorHAnsi" w:hint="default"/>
        <w:b/>
      </w:rPr>
    </w:lvl>
    <w:lvl w:ilvl="2">
      <w:start w:val="1"/>
      <w:numFmt w:val="decimal"/>
      <w:lvlText w:val="%1.%2.%3"/>
      <w:lvlJc w:val="left"/>
      <w:pPr>
        <w:ind w:left="1800" w:hanging="720"/>
      </w:pPr>
      <w:rPr>
        <w:rFonts w:eastAsiaTheme="minorHAnsi" w:hint="default"/>
        <w:b/>
      </w:rPr>
    </w:lvl>
    <w:lvl w:ilvl="3">
      <w:start w:val="1"/>
      <w:numFmt w:val="decimal"/>
      <w:lvlText w:val="%1.%2.%3.%4"/>
      <w:lvlJc w:val="left"/>
      <w:pPr>
        <w:ind w:left="2340" w:hanging="720"/>
      </w:pPr>
      <w:rPr>
        <w:rFonts w:eastAsiaTheme="minorHAnsi" w:hint="default"/>
        <w:b/>
      </w:rPr>
    </w:lvl>
    <w:lvl w:ilvl="4">
      <w:start w:val="1"/>
      <w:numFmt w:val="decimal"/>
      <w:lvlText w:val="%1.%2.%3.%4.%5"/>
      <w:lvlJc w:val="left"/>
      <w:pPr>
        <w:ind w:left="3240" w:hanging="1080"/>
      </w:pPr>
      <w:rPr>
        <w:rFonts w:eastAsiaTheme="minorHAnsi" w:hint="default"/>
        <w:b/>
      </w:rPr>
    </w:lvl>
    <w:lvl w:ilvl="5">
      <w:start w:val="1"/>
      <w:numFmt w:val="decimal"/>
      <w:lvlText w:val="%1.%2.%3.%4.%5.%6"/>
      <w:lvlJc w:val="left"/>
      <w:pPr>
        <w:ind w:left="3780" w:hanging="1080"/>
      </w:pPr>
      <w:rPr>
        <w:rFonts w:eastAsiaTheme="minorHAnsi" w:hint="default"/>
        <w:b/>
      </w:rPr>
    </w:lvl>
    <w:lvl w:ilvl="6">
      <w:start w:val="1"/>
      <w:numFmt w:val="decimal"/>
      <w:lvlText w:val="%1.%2.%3.%4.%5.%6.%7"/>
      <w:lvlJc w:val="left"/>
      <w:pPr>
        <w:ind w:left="4680" w:hanging="1440"/>
      </w:pPr>
      <w:rPr>
        <w:rFonts w:eastAsiaTheme="minorHAnsi" w:hint="default"/>
        <w:b/>
      </w:rPr>
    </w:lvl>
    <w:lvl w:ilvl="7">
      <w:start w:val="1"/>
      <w:numFmt w:val="decimal"/>
      <w:lvlText w:val="%1.%2.%3.%4.%5.%6.%7.%8"/>
      <w:lvlJc w:val="left"/>
      <w:pPr>
        <w:ind w:left="5220" w:hanging="1440"/>
      </w:pPr>
      <w:rPr>
        <w:rFonts w:eastAsiaTheme="minorHAnsi" w:hint="default"/>
        <w:b/>
      </w:rPr>
    </w:lvl>
    <w:lvl w:ilvl="8">
      <w:start w:val="1"/>
      <w:numFmt w:val="decimal"/>
      <w:lvlText w:val="%1.%2.%3.%4.%5.%6.%7.%8.%9"/>
      <w:lvlJc w:val="left"/>
      <w:pPr>
        <w:ind w:left="6120" w:hanging="1800"/>
      </w:pPr>
      <w:rPr>
        <w:rFonts w:eastAsiaTheme="minorHAnsi" w:hint="default"/>
        <w:b/>
      </w:rPr>
    </w:lvl>
  </w:abstractNum>
  <w:abstractNum w:abstractNumId="35" w15:restartNumberingAfterBreak="0">
    <w:nsid w:val="77D61255"/>
    <w:multiLevelType w:val="multilevel"/>
    <w:tmpl w:val="2FFEACBA"/>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18"/>
        <w:szCs w:val="18"/>
      </w:rPr>
    </w:lvl>
    <w:lvl w:ilvl="1">
      <w:start w:val="1"/>
      <w:numFmt w:val="decimal"/>
      <w:pStyle w:val="Heading2"/>
      <w:lvlText w:val="%1.%2"/>
      <w:lvlJc w:val="left"/>
      <w:pPr>
        <w:tabs>
          <w:tab w:val="num" w:pos="720"/>
        </w:tabs>
        <w:ind w:left="720" w:hanging="720"/>
      </w:pPr>
      <w:rPr>
        <w:rFonts w:ascii="Book Antiqua" w:hAnsi="Book Antiqua" w:hint="default"/>
        <w:b w:val="0"/>
        <w:i w:val="0"/>
        <w:caps w:val="0"/>
        <w:sz w:val="18"/>
        <w:szCs w:val="18"/>
      </w:rPr>
    </w:lvl>
    <w:lvl w:ilvl="2">
      <w:start w:val="1"/>
      <w:numFmt w:val="lowerLetter"/>
      <w:pStyle w:val="Heading3"/>
      <w:lvlText w:val="(%3)"/>
      <w:lvlJc w:val="left"/>
      <w:pPr>
        <w:tabs>
          <w:tab w:val="num" w:pos="1559"/>
        </w:tabs>
        <w:ind w:left="1559" w:hanging="567"/>
      </w:pPr>
      <w:rPr>
        <w:rFonts w:ascii="Book Antiqua" w:hAnsi="Book Antiqua" w:hint="default"/>
        <w:b w:val="0"/>
        <w:i w:val="0"/>
        <w:sz w:val="18"/>
        <w:szCs w:val="18"/>
      </w:rPr>
    </w:lvl>
    <w:lvl w:ilvl="3">
      <w:start w:val="1"/>
      <w:numFmt w:val="lowerRoman"/>
      <w:pStyle w:val="Heading4"/>
      <w:lvlText w:val="(%4)"/>
      <w:lvlJc w:val="left"/>
      <w:pPr>
        <w:tabs>
          <w:tab w:val="num" w:pos="2421"/>
        </w:tabs>
        <w:ind w:left="2268" w:hanging="567"/>
      </w:pPr>
      <w:rPr>
        <w:rFonts w:ascii="Book Antiqua" w:hAnsi="Book Antiqua" w:hint="default"/>
        <w:b w:val="0"/>
        <w:i w:val="0"/>
        <w:sz w:val="18"/>
        <w:szCs w:val="18"/>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7FEB1EEB"/>
    <w:multiLevelType w:val="hybridMultilevel"/>
    <w:tmpl w:val="C7EE8A72"/>
    <w:lvl w:ilvl="0" w:tplc="4B2090A6">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711502">
    <w:abstractNumId w:val="27"/>
  </w:num>
  <w:num w:numId="2" w16cid:durableId="1584948812">
    <w:abstractNumId w:val="17"/>
  </w:num>
  <w:num w:numId="3" w16cid:durableId="2010710373">
    <w:abstractNumId w:val="35"/>
  </w:num>
  <w:num w:numId="4" w16cid:durableId="2025208394">
    <w:abstractNumId w:val="24"/>
  </w:num>
  <w:num w:numId="5" w16cid:durableId="603150151">
    <w:abstractNumId w:val="8"/>
  </w:num>
  <w:num w:numId="6" w16cid:durableId="732967918">
    <w:abstractNumId w:val="20"/>
  </w:num>
  <w:num w:numId="7" w16cid:durableId="63577667">
    <w:abstractNumId w:val="36"/>
  </w:num>
  <w:num w:numId="8" w16cid:durableId="1837264421">
    <w:abstractNumId w:val="9"/>
  </w:num>
  <w:num w:numId="9" w16cid:durableId="1865170747">
    <w:abstractNumId w:val="18"/>
  </w:num>
  <w:num w:numId="10" w16cid:durableId="1460612782">
    <w:abstractNumId w:val="6"/>
  </w:num>
  <w:num w:numId="11" w16cid:durableId="2096781503">
    <w:abstractNumId w:val="28"/>
  </w:num>
  <w:num w:numId="12" w16cid:durableId="1225145177">
    <w:abstractNumId w:val="30"/>
  </w:num>
  <w:num w:numId="13" w16cid:durableId="555438512">
    <w:abstractNumId w:val="25"/>
  </w:num>
  <w:num w:numId="14" w16cid:durableId="548617712">
    <w:abstractNumId w:val="15"/>
  </w:num>
  <w:num w:numId="15" w16cid:durableId="595408292">
    <w:abstractNumId w:val="4"/>
  </w:num>
  <w:num w:numId="16" w16cid:durableId="1256287056">
    <w:abstractNumId w:val="12"/>
  </w:num>
  <w:num w:numId="17" w16cid:durableId="948505632">
    <w:abstractNumId w:val="7"/>
  </w:num>
  <w:num w:numId="18" w16cid:durableId="292911561">
    <w:abstractNumId w:val="3"/>
  </w:num>
  <w:num w:numId="19" w16cid:durableId="1123959306">
    <w:abstractNumId w:val="16"/>
  </w:num>
  <w:num w:numId="20" w16cid:durableId="1711495254">
    <w:abstractNumId w:val="19"/>
  </w:num>
  <w:num w:numId="21" w16cid:durableId="1631130882">
    <w:abstractNumId w:val="32"/>
  </w:num>
  <w:num w:numId="22" w16cid:durableId="433985118">
    <w:abstractNumId w:val="5"/>
  </w:num>
  <w:num w:numId="23" w16cid:durableId="1587617678">
    <w:abstractNumId w:val="21"/>
  </w:num>
  <w:num w:numId="24" w16cid:durableId="1307316547">
    <w:abstractNumId w:val="26"/>
  </w:num>
  <w:num w:numId="25" w16cid:durableId="641542784">
    <w:abstractNumId w:val="1"/>
  </w:num>
  <w:num w:numId="26" w16cid:durableId="464196997">
    <w:abstractNumId w:val="11"/>
  </w:num>
  <w:num w:numId="27" w16cid:durableId="1930699067">
    <w:abstractNumId w:val="14"/>
  </w:num>
  <w:num w:numId="28" w16cid:durableId="895048521">
    <w:abstractNumId w:val="2"/>
  </w:num>
  <w:num w:numId="29" w16cid:durableId="962225678">
    <w:abstractNumId w:val="31"/>
  </w:num>
  <w:num w:numId="30" w16cid:durableId="1521893102">
    <w:abstractNumId w:val="33"/>
  </w:num>
  <w:num w:numId="31" w16cid:durableId="371930943">
    <w:abstractNumId w:val="29"/>
  </w:num>
  <w:num w:numId="32" w16cid:durableId="101149610">
    <w:abstractNumId w:val="34"/>
  </w:num>
  <w:num w:numId="33" w16cid:durableId="315647397">
    <w:abstractNumId w:val="10"/>
  </w:num>
  <w:num w:numId="34" w16cid:durableId="1008601954">
    <w:abstractNumId w:val="0"/>
  </w:num>
  <w:num w:numId="35" w16cid:durableId="152187935">
    <w:abstractNumId w:val="23"/>
  </w:num>
  <w:num w:numId="36" w16cid:durableId="2018456269">
    <w:abstractNumId w:val="22"/>
  </w:num>
  <w:num w:numId="37" w16cid:durableId="1350570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F"/>
    <w:rsid w:val="00022D8C"/>
    <w:rsid w:val="000257E9"/>
    <w:rsid w:val="00031C7B"/>
    <w:rsid w:val="000366D7"/>
    <w:rsid w:val="00045C47"/>
    <w:rsid w:val="0004713A"/>
    <w:rsid w:val="00057D53"/>
    <w:rsid w:val="00060F52"/>
    <w:rsid w:val="000640F3"/>
    <w:rsid w:val="0006530C"/>
    <w:rsid w:val="000659E5"/>
    <w:rsid w:val="0008177B"/>
    <w:rsid w:val="000846FC"/>
    <w:rsid w:val="0008669E"/>
    <w:rsid w:val="00091C00"/>
    <w:rsid w:val="000945D2"/>
    <w:rsid w:val="000969EE"/>
    <w:rsid w:val="000A09FB"/>
    <w:rsid w:val="000C46B9"/>
    <w:rsid w:val="000C4B1E"/>
    <w:rsid w:val="000C6687"/>
    <w:rsid w:val="000C6F10"/>
    <w:rsid w:val="000D16BF"/>
    <w:rsid w:val="000D46E2"/>
    <w:rsid w:val="000D6AD3"/>
    <w:rsid w:val="000E024B"/>
    <w:rsid w:val="000F0195"/>
    <w:rsid w:val="000F2C9F"/>
    <w:rsid w:val="000F6FAF"/>
    <w:rsid w:val="000F7D03"/>
    <w:rsid w:val="0010607D"/>
    <w:rsid w:val="00112D10"/>
    <w:rsid w:val="0011591C"/>
    <w:rsid w:val="00115B11"/>
    <w:rsid w:val="00115B6B"/>
    <w:rsid w:val="00116782"/>
    <w:rsid w:val="00124846"/>
    <w:rsid w:val="001314CE"/>
    <w:rsid w:val="001318BF"/>
    <w:rsid w:val="001362C3"/>
    <w:rsid w:val="00137DDC"/>
    <w:rsid w:val="001461C3"/>
    <w:rsid w:val="00151A8E"/>
    <w:rsid w:val="00160334"/>
    <w:rsid w:val="00160F39"/>
    <w:rsid w:val="00162D64"/>
    <w:rsid w:val="00171E54"/>
    <w:rsid w:val="001753E6"/>
    <w:rsid w:val="00181DE8"/>
    <w:rsid w:val="0018369E"/>
    <w:rsid w:val="0019226B"/>
    <w:rsid w:val="00196978"/>
    <w:rsid w:val="00196EBE"/>
    <w:rsid w:val="001B1CE3"/>
    <w:rsid w:val="001B497F"/>
    <w:rsid w:val="001C0DB9"/>
    <w:rsid w:val="001C4643"/>
    <w:rsid w:val="001C4A91"/>
    <w:rsid w:val="001E47C7"/>
    <w:rsid w:val="002046D1"/>
    <w:rsid w:val="00213AFE"/>
    <w:rsid w:val="002321FA"/>
    <w:rsid w:val="00232629"/>
    <w:rsid w:val="00234608"/>
    <w:rsid w:val="002418B0"/>
    <w:rsid w:val="00266AD1"/>
    <w:rsid w:val="0029259D"/>
    <w:rsid w:val="00295186"/>
    <w:rsid w:val="002956FE"/>
    <w:rsid w:val="002B677B"/>
    <w:rsid w:val="002C042E"/>
    <w:rsid w:val="002C1998"/>
    <w:rsid w:val="002C2CF4"/>
    <w:rsid w:val="002D709A"/>
    <w:rsid w:val="002D78AA"/>
    <w:rsid w:val="002E1714"/>
    <w:rsid w:val="002E3CE7"/>
    <w:rsid w:val="002E46CB"/>
    <w:rsid w:val="002F1CCD"/>
    <w:rsid w:val="00316B5F"/>
    <w:rsid w:val="0032381D"/>
    <w:rsid w:val="00342001"/>
    <w:rsid w:val="00342D69"/>
    <w:rsid w:val="003431C5"/>
    <w:rsid w:val="00354832"/>
    <w:rsid w:val="003646FA"/>
    <w:rsid w:val="003649D5"/>
    <w:rsid w:val="00367992"/>
    <w:rsid w:val="00371F38"/>
    <w:rsid w:val="003720EF"/>
    <w:rsid w:val="00375AF7"/>
    <w:rsid w:val="00375FD2"/>
    <w:rsid w:val="00386860"/>
    <w:rsid w:val="003959D7"/>
    <w:rsid w:val="003A3F5D"/>
    <w:rsid w:val="003A7E5C"/>
    <w:rsid w:val="003B2321"/>
    <w:rsid w:val="003D595E"/>
    <w:rsid w:val="003D728A"/>
    <w:rsid w:val="003E2A67"/>
    <w:rsid w:val="003E2B5C"/>
    <w:rsid w:val="003E31E3"/>
    <w:rsid w:val="003E37E9"/>
    <w:rsid w:val="003E7654"/>
    <w:rsid w:val="003E7FBD"/>
    <w:rsid w:val="003F12A1"/>
    <w:rsid w:val="003F2126"/>
    <w:rsid w:val="003F4CAD"/>
    <w:rsid w:val="003F5473"/>
    <w:rsid w:val="003F62D3"/>
    <w:rsid w:val="004022FA"/>
    <w:rsid w:val="00406921"/>
    <w:rsid w:val="00420868"/>
    <w:rsid w:val="00421226"/>
    <w:rsid w:val="00422885"/>
    <w:rsid w:val="00433A27"/>
    <w:rsid w:val="00434159"/>
    <w:rsid w:val="0043566A"/>
    <w:rsid w:val="00440443"/>
    <w:rsid w:val="0045159F"/>
    <w:rsid w:val="00452E24"/>
    <w:rsid w:val="004623BB"/>
    <w:rsid w:val="004636F9"/>
    <w:rsid w:val="0046580A"/>
    <w:rsid w:val="00490C9A"/>
    <w:rsid w:val="004A1C8C"/>
    <w:rsid w:val="004A700F"/>
    <w:rsid w:val="004B2D44"/>
    <w:rsid w:val="004B51A7"/>
    <w:rsid w:val="004D09D5"/>
    <w:rsid w:val="004D19A8"/>
    <w:rsid w:val="004D22EC"/>
    <w:rsid w:val="004D3178"/>
    <w:rsid w:val="004D51BA"/>
    <w:rsid w:val="004D5CD9"/>
    <w:rsid w:val="004D6D42"/>
    <w:rsid w:val="004D6FA2"/>
    <w:rsid w:val="004E4232"/>
    <w:rsid w:val="004E5F9C"/>
    <w:rsid w:val="004F2008"/>
    <w:rsid w:val="004F321A"/>
    <w:rsid w:val="004F69F4"/>
    <w:rsid w:val="00511E7A"/>
    <w:rsid w:val="00522431"/>
    <w:rsid w:val="0053050E"/>
    <w:rsid w:val="0053365E"/>
    <w:rsid w:val="00541BFA"/>
    <w:rsid w:val="00582F83"/>
    <w:rsid w:val="005845F7"/>
    <w:rsid w:val="005855B4"/>
    <w:rsid w:val="005906DC"/>
    <w:rsid w:val="00591006"/>
    <w:rsid w:val="005A2879"/>
    <w:rsid w:val="005A5524"/>
    <w:rsid w:val="005B211A"/>
    <w:rsid w:val="005B467D"/>
    <w:rsid w:val="005B4A53"/>
    <w:rsid w:val="005B77D0"/>
    <w:rsid w:val="005C185B"/>
    <w:rsid w:val="005C5BE0"/>
    <w:rsid w:val="005C6DDB"/>
    <w:rsid w:val="005C6EC0"/>
    <w:rsid w:val="005C7F66"/>
    <w:rsid w:val="005D0D50"/>
    <w:rsid w:val="005D0DF2"/>
    <w:rsid w:val="005D2E5B"/>
    <w:rsid w:val="005E7C1C"/>
    <w:rsid w:val="005F31C7"/>
    <w:rsid w:val="005F431F"/>
    <w:rsid w:val="005F4F71"/>
    <w:rsid w:val="006010F4"/>
    <w:rsid w:val="0060193C"/>
    <w:rsid w:val="006111BF"/>
    <w:rsid w:val="006113F7"/>
    <w:rsid w:val="00614CF4"/>
    <w:rsid w:val="00614EA0"/>
    <w:rsid w:val="00625167"/>
    <w:rsid w:val="0062527C"/>
    <w:rsid w:val="00625345"/>
    <w:rsid w:val="00625CD6"/>
    <w:rsid w:val="00627099"/>
    <w:rsid w:val="00627F39"/>
    <w:rsid w:val="006465BF"/>
    <w:rsid w:val="00646C80"/>
    <w:rsid w:val="00650F9D"/>
    <w:rsid w:val="00660A59"/>
    <w:rsid w:val="00660CAE"/>
    <w:rsid w:val="00661333"/>
    <w:rsid w:val="00667510"/>
    <w:rsid w:val="006675C4"/>
    <w:rsid w:val="00672D55"/>
    <w:rsid w:val="0069228F"/>
    <w:rsid w:val="0069422F"/>
    <w:rsid w:val="00694DC9"/>
    <w:rsid w:val="00697F3B"/>
    <w:rsid w:val="006A0707"/>
    <w:rsid w:val="006A502C"/>
    <w:rsid w:val="006A64A0"/>
    <w:rsid w:val="006A75D7"/>
    <w:rsid w:val="006B1FC6"/>
    <w:rsid w:val="006B4E9C"/>
    <w:rsid w:val="006C7D1C"/>
    <w:rsid w:val="006E618A"/>
    <w:rsid w:val="006F16DE"/>
    <w:rsid w:val="00706286"/>
    <w:rsid w:val="00715204"/>
    <w:rsid w:val="00722892"/>
    <w:rsid w:val="00724A59"/>
    <w:rsid w:val="007250DD"/>
    <w:rsid w:val="00734059"/>
    <w:rsid w:val="00747274"/>
    <w:rsid w:val="00752E09"/>
    <w:rsid w:val="007600CD"/>
    <w:rsid w:val="007631BD"/>
    <w:rsid w:val="007632FF"/>
    <w:rsid w:val="00765D38"/>
    <w:rsid w:val="00772E0B"/>
    <w:rsid w:val="00780C71"/>
    <w:rsid w:val="00784346"/>
    <w:rsid w:val="0079086F"/>
    <w:rsid w:val="00792EAE"/>
    <w:rsid w:val="00794EC8"/>
    <w:rsid w:val="007A041E"/>
    <w:rsid w:val="007A1F4A"/>
    <w:rsid w:val="007B2DCC"/>
    <w:rsid w:val="007D271F"/>
    <w:rsid w:val="007D2E13"/>
    <w:rsid w:val="007D36DC"/>
    <w:rsid w:val="007E3710"/>
    <w:rsid w:val="007E6BE9"/>
    <w:rsid w:val="007E6DA3"/>
    <w:rsid w:val="007F1B58"/>
    <w:rsid w:val="007F2213"/>
    <w:rsid w:val="007F38CD"/>
    <w:rsid w:val="007F76B6"/>
    <w:rsid w:val="00803EAD"/>
    <w:rsid w:val="008127A3"/>
    <w:rsid w:val="00814C9D"/>
    <w:rsid w:val="00831B60"/>
    <w:rsid w:val="00834E41"/>
    <w:rsid w:val="008370B5"/>
    <w:rsid w:val="00847B9B"/>
    <w:rsid w:val="008502F8"/>
    <w:rsid w:val="008714F8"/>
    <w:rsid w:val="008766AA"/>
    <w:rsid w:val="008807AD"/>
    <w:rsid w:val="00880D7D"/>
    <w:rsid w:val="008835EB"/>
    <w:rsid w:val="00883F5E"/>
    <w:rsid w:val="00886F98"/>
    <w:rsid w:val="008A22BE"/>
    <w:rsid w:val="008A38B5"/>
    <w:rsid w:val="008B22CC"/>
    <w:rsid w:val="008B45AF"/>
    <w:rsid w:val="008B60C0"/>
    <w:rsid w:val="008C6DC7"/>
    <w:rsid w:val="008D10CB"/>
    <w:rsid w:val="008E19C6"/>
    <w:rsid w:val="008E4437"/>
    <w:rsid w:val="008E52F4"/>
    <w:rsid w:val="008E70F8"/>
    <w:rsid w:val="008F3A5E"/>
    <w:rsid w:val="008F4648"/>
    <w:rsid w:val="008F5494"/>
    <w:rsid w:val="009035A8"/>
    <w:rsid w:val="00917CDF"/>
    <w:rsid w:val="00923791"/>
    <w:rsid w:val="00924313"/>
    <w:rsid w:val="0092470B"/>
    <w:rsid w:val="00925446"/>
    <w:rsid w:val="00927B34"/>
    <w:rsid w:val="00932A7C"/>
    <w:rsid w:val="00937233"/>
    <w:rsid w:val="00944753"/>
    <w:rsid w:val="00957622"/>
    <w:rsid w:val="00964E43"/>
    <w:rsid w:val="00967799"/>
    <w:rsid w:val="0097034C"/>
    <w:rsid w:val="009728A3"/>
    <w:rsid w:val="00974517"/>
    <w:rsid w:val="0097788B"/>
    <w:rsid w:val="009804FA"/>
    <w:rsid w:val="00982EA6"/>
    <w:rsid w:val="00983C88"/>
    <w:rsid w:val="00996BF5"/>
    <w:rsid w:val="009979EF"/>
    <w:rsid w:val="009A1AA8"/>
    <w:rsid w:val="009A4342"/>
    <w:rsid w:val="009A7BC5"/>
    <w:rsid w:val="009B1E33"/>
    <w:rsid w:val="009C2898"/>
    <w:rsid w:val="009D182B"/>
    <w:rsid w:val="009E1811"/>
    <w:rsid w:val="009E44FC"/>
    <w:rsid w:val="009E4F0E"/>
    <w:rsid w:val="009E5C2C"/>
    <w:rsid w:val="009E778A"/>
    <w:rsid w:val="00A02C96"/>
    <w:rsid w:val="00A04BD1"/>
    <w:rsid w:val="00A212F8"/>
    <w:rsid w:val="00A21DF8"/>
    <w:rsid w:val="00A47701"/>
    <w:rsid w:val="00A56BB3"/>
    <w:rsid w:val="00A602A0"/>
    <w:rsid w:val="00A7336C"/>
    <w:rsid w:val="00A75906"/>
    <w:rsid w:val="00A802C8"/>
    <w:rsid w:val="00A82836"/>
    <w:rsid w:val="00A84758"/>
    <w:rsid w:val="00A964F2"/>
    <w:rsid w:val="00AA664A"/>
    <w:rsid w:val="00AB4070"/>
    <w:rsid w:val="00AD46E2"/>
    <w:rsid w:val="00AD60DC"/>
    <w:rsid w:val="00B142A4"/>
    <w:rsid w:val="00B250C1"/>
    <w:rsid w:val="00B4251E"/>
    <w:rsid w:val="00B437CB"/>
    <w:rsid w:val="00B52789"/>
    <w:rsid w:val="00B571BD"/>
    <w:rsid w:val="00B604D5"/>
    <w:rsid w:val="00B730A5"/>
    <w:rsid w:val="00B74636"/>
    <w:rsid w:val="00B916CA"/>
    <w:rsid w:val="00BB21DD"/>
    <w:rsid w:val="00BC030B"/>
    <w:rsid w:val="00BD0B1E"/>
    <w:rsid w:val="00BD12AE"/>
    <w:rsid w:val="00BD2C55"/>
    <w:rsid w:val="00BE7B3B"/>
    <w:rsid w:val="00BF2567"/>
    <w:rsid w:val="00C03C5B"/>
    <w:rsid w:val="00C12716"/>
    <w:rsid w:val="00C17503"/>
    <w:rsid w:val="00C204F6"/>
    <w:rsid w:val="00C20DE0"/>
    <w:rsid w:val="00C31498"/>
    <w:rsid w:val="00C33077"/>
    <w:rsid w:val="00C4333F"/>
    <w:rsid w:val="00C47376"/>
    <w:rsid w:val="00C53ABB"/>
    <w:rsid w:val="00C754B3"/>
    <w:rsid w:val="00C84C92"/>
    <w:rsid w:val="00C94676"/>
    <w:rsid w:val="00CA5342"/>
    <w:rsid w:val="00CA7533"/>
    <w:rsid w:val="00CA7FA4"/>
    <w:rsid w:val="00CB60C5"/>
    <w:rsid w:val="00CB7DD6"/>
    <w:rsid w:val="00CC1B15"/>
    <w:rsid w:val="00CC1DFE"/>
    <w:rsid w:val="00CC49AC"/>
    <w:rsid w:val="00CC632C"/>
    <w:rsid w:val="00CD0AB9"/>
    <w:rsid w:val="00CD6C6C"/>
    <w:rsid w:val="00CE530F"/>
    <w:rsid w:val="00CE6B05"/>
    <w:rsid w:val="00D164D5"/>
    <w:rsid w:val="00D272A5"/>
    <w:rsid w:val="00D65CC8"/>
    <w:rsid w:val="00D76FEC"/>
    <w:rsid w:val="00D842DC"/>
    <w:rsid w:val="00D961C0"/>
    <w:rsid w:val="00D977F7"/>
    <w:rsid w:val="00DA5EDD"/>
    <w:rsid w:val="00DC519E"/>
    <w:rsid w:val="00DC7DB8"/>
    <w:rsid w:val="00DD5532"/>
    <w:rsid w:val="00DE57AA"/>
    <w:rsid w:val="00DF083B"/>
    <w:rsid w:val="00E0301B"/>
    <w:rsid w:val="00E06E86"/>
    <w:rsid w:val="00E1540E"/>
    <w:rsid w:val="00E252E1"/>
    <w:rsid w:val="00E31F9B"/>
    <w:rsid w:val="00E3718F"/>
    <w:rsid w:val="00E371D8"/>
    <w:rsid w:val="00E51244"/>
    <w:rsid w:val="00E5253D"/>
    <w:rsid w:val="00E60656"/>
    <w:rsid w:val="00E60E2D"/>
    <w:rsid w:val="00E61495"/>
    <w:rsid w:val="00E74627"/>
    <w:rsid w:val="00E919F5"/>
    <w:rsid w:val="00E96C48"/>
    <w:rsid w:val="00EA5858"/>
    <w:rsid w:val="00EB0FCF"/>
    <w:rsid w:val="00EB4E68"/>
    <w:rsid w:val="00EB7676"/>
    <w:rsid w:val="00ED4809"/>
    <w:rsid w:val="00EF66F3"/>
    <w:rsid w:val="00F03245"/>
    <w:rsid w:val="00F03F17"/>
    <w:rsid w:val="00F0400E"/>
    <w:rsid w:val="00F124DC"/>
    <w:rsid w:val="00F12DCD"/>
    <w:rsid w:val="00F210EE"/>
    <w:rsid w:val="00F228FC"/>
    <w:rsid w:val="00F23F81"/>
    <w:rsid w:val="00F31BD8"/>
    <w:rsid w:val="00F35070"/>
    <w:rsid w:val="00F43A42"/>
    <w:rsid w:val="00F47A2C"/>
    <w:rsid w:val="00F54C3B"/>
    <w:rsid w:val="00F578CC"/>
    <w:rsid w:val="00F612A3"/>
    <w:rsid w:val="00F63209"/>
    <w:rsid w:val="00F7131D"/>
    <w:rsid w:val="00F72602"/>
    <w:rsid w:val="00F72896"/>
    <w:rsid w:val="00F75294"/>
    <w:rsid w:val="00F921D3"/>
    <w:rsid w:val="00FA57F2"/>
    <w:rsid w:val="00FA6799"/>
    <w:rsid w:val="00FA68B6"/>
    <w:rsid w:val="00FB3E05"/>
    <w:rsid w:val="00FB7DA5"/>
    <w:rsid w:val="00FC18E6"/>
    <w:rsid w:val="00FC3908"/>
    <w:rsid w:val="00FC39EA"/>
    <w:rsid w:val="00FD5F84"/>
    <w:rsid w:val="00FD7624"/>
    <w:rsid w:val="00FF2398"/>
    <w:rsid w:val="01493DA3"/>
    <w:rsid w:val="03338D5F"/>
    <w:rsid w:val="03D32E5C"/>
    <w:rsid w:val="0A10231B"/>
    <w:rsid w:val="0A1030E2"/>
    <w:rsid w:val="0ABBAE0B"/>
    <w:rsid w:val="0C58B654"/>
    <w:rsid w:val="0D598AA0"/>
    <w:rsid w:val="0EB1F5DD"/>
    <w:rsid w:val="12B0935E"/>
    <w:rsid w:val="130F9C4F"/>
    <w:rsid w:val="154E8E53"/>
    <w:rsid w:val="15BE3F87"/>
    <w:rsid w:val="15FE633C"/>
    <w:rsid w:val="19F45DF7"/>
    <w:rsid w:val="1AC7DD76"/>
    <w:rsid w:val="1AC974F8"/>
    <w:rsid w:val="1B1E8848"/>
    <w:rsid w:val="1CEBBB8C"/>
    <w:rsid w:val="1DEEED2F"/>
    <w:rsid w:val="1E09A046"/>
    <w:rsid w:val="1F02C79C"/>
    <w:rsid w:val="1F394F8A"/>
    <w:rsid w:val="1F4C1942"/>
    <w:rsid w:val="22BFBB49"/>
    <w:rsid w:val="243296F0"/>
    <w:rsid w:val="2487C7BA"/>
    <w:rsid w:val="2609000C"/>
    <w:rsid w:val="27127CD9"/>
    <w:rsid w:val="28848E9C"/>
    <w:rsid w:val="29044E8B"/>
    <w:rsid w:val="2AC95DBB"/>
    <w:rsid w:val="2B12D11C"/>
    <w:rsid w:val="2B6F48E7"/>
    <w:rsid w:val="2BAD4A1D"/>
    <w:rsid w:val="2DA13DC6"/>
    <w:rsid w:val="2DF1A498"/>
    <w:rsid w:val="2FC5B7CE"/>
    <w:rsid w:val="2FD97C94"/>
    <w:rsid w:val="3005A856"/>
    <w:rsid w:val="30E7307D"/>
    <w:rsid w:val="31285D45"/>
    <w:rsid w:val="327DFF46"/>
    <w:rsid w:val="32F26365"/>
    <w:rsid w:val="332E1EC0"/>
    <w:rsid w:val="33CD02ED"/>
    <w:rsid w:val="35101B3F"/>
    <w:rsid w:val="36C095DD"/>
    <w:rsid w:val="391CA66F"/>
    <w:rsid w:val="3926560B"/>
    <w:rsid w:val="39DEE896"/>
    <w:rsid w:val="3AC8F01C"/>
    <w:rsid w:val="3D00892D"/>
    <w:rsid w:val="3E828449"/>
    <w:rsid w:val="3E9DBA92"/>
    <w:rsid w:val="3EF0F6BE"/>
    <w:rsid w:val="3FE46610"/>
    <w:rsid w:val="42212896"/>
    <w:rsid w:val="42A32405"/>
    <w:rsid w:val="447BC24E"/>
    <w:rsid w:val="45CD6E38"/>
    <w:rsid w:val="45E3DFAC"/>
    <w:rsid w:val="478E9DFC"/>
    <w:rsid w:val="48E84E4B"/>
    <w:rsid w:val="4AB80F8F"/>
    <w:rsid w:val="4C4F668D"/>
    <w:rsid w:val="4C6E6357"/>
    <w:rsid w:val="4C701E6B"/>
    <w:rsid w:val="4E2F4A3A"/>
    <w:rsid w:val="4ED0A79F"/>
    <w:rsid w:val="4ED3DFB1"/>
    <w:rsid w:val="5210A492"/>
    <w:rsid w:val="522AA375"/>
    <w:rsid w:val="53285332"/>
    <w:rsid w:val="53BBC829"/>
    <w:rsid w:val="556D2B4E"/>
    <w:rsid w:val="5611BBE2"/>
    <w:rsid w:val="56F2AAA6"/>
    <w:rsid w:val="571219B8"/>
    <w:rsid w:val="57365B36"/>
    <w:rsid w:val="57D92E6B"/>
    <w:rsid w:val="581D36E0"/>
    <w:rsid w:val="59930BF6"/>
    <w:rsid w:val="5A1CF7D6"/>
    <w:rsid w:val="5A293B17"/>
    <w:rsid w:val="5A4C6817"/>
    <w:rsid w:val="5A6DD823"/>
    <w:rsid w:val="5B3A702C"/>
    <w:rsid w:val="5CE811DA"/>
    <w:rsid w:val="5D0314A8"/>
    <w:rsid w:val="5D3BF1C8"/>
    <w:rsid w:val="5F02E6E0"/>
    <w:rsid w:val="61616D4D"/>
    <w:rsid w:val="6289AA8D"/>
    <w:rsid w:val="6331C977"/>
    <w:rsid w:val="651DF0E8"/>
    <w:rsid w:val="651EF0AF"/>
    <w:rsid w:val="667D7246"/>
    <w:rsid w:val="679B0933"/>
    <w:rsid w:val="687FFDCB"/>
    <w:rsid w:val="68C5277F"/>
    <w:rsid w:val="695B69F9"/>
    <w:rsid w:val="699D3260"/>
    <w:rsid w:val="69CCC055"/>
    <w:rsid w:val="6AA25CC3"/>
    <w:rsid w:val="6B514CAE"/>
    <w:rsid w:val="6B7C3823"/>
    <w:rsid w:val="6BBE347B"/>
    <w:rsid w:val="6C17C0B7"/>
    <w:rsid w:val="6CA6BD5C"/>
    <w:rsid w:val="6DD7EA1B"/>
    <w:rsid w:val="6E8D48A2"/>
    <w:rsid w:val="6EBD8699"/>
    <w:rsid w:val="6F490EF2"/>
    <w:rsid w:val="71546BE9"/>
    <w:rsid w:val="720C665C"/>
    <w:rsid w:val="721FEE4F"/>
    <w:rsid w:val="72879C06"/>
    <w:rsid w:val="729218B3"/>
    <w:rsid w:val="73D101A9"/>
    <w:rsid w:val="76A7A31B"/>
    <w:rsid w:val="76E78B22"/>
    <w:rsid w:val="771E4C9B"/>
    <w:rsid w:val="77E40EC6"/>
    <w:rsid w:val="7853FD3B"/>
    <w:rsid w:val="7A389823"/>
    <w:rsid w:val="7A6810A0"/>
    <w:rsid w:val="7B2F3568"/>
    <w:rsid w:val="7B46193F"/>
    <w:rsid w:val="7BFC2CFE"/>
    <w:rsid w:val="7FE26A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07D3"/>
  <w15:chartTrackingRefBased/>
  <w15:docId w15:val="{111D7572-360F-D74E-8CDE-46898389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A6799"/>
    <w:pPr>
      <w:keepNext/>
      <w:numPr>
        <w:numId w:val="3"/>
      </w:numPr>
      <w:spacing w:before="320" w:line="300" w:lineRule="atLeast"/>
      <w:jc w:val="both"/>
      <w:outlineLvl w:val="0"/>
    </w:pPr>
    <w:rPr>
      <w:rFonts w:ascii="Times New Roman" w:eastAsia="Times New Roman" w:hAnsi="Times New Roman" w:cs="Times New Roman"/>
      <w:b/>
      <w:smallCaps/>
      <w:kern w:val="28"/>
      <w:sz w:val="22"/>
      <w:szCs w:val="20"/>
      <w:lang w:val="en-GB"/>
    </w:rPr>
  </w:style>
  <w:style w:type="paragraph" w:styleId="Heading2">
    <w:name w:val="heading 2"/>
    <w:basedOn w:val="Normal"/>
    <w:link w:val="Heading2Char"/>
    <w:qFormat/>
    <w:rsid w:val="00FA6799"/>
    <w:pPr>
      <w:numPr>
        <w:ilvl w:val="1"/>
        <w:numId w:val="3"/>
      </w:numPr>
      <w:spacing w:before="280" w:after="120" w:line="300" w:lineRule="atLeast"/>
      <w:jc w:val="both"/>
      <w:outlineLvl w:val="1"/>
    </w:pPr>
    <w:rPr>
      <w:rFonts w:ascii="Times New Roman" w:eastAsia="Times New Roman" w:hAnsi="Times New Roman" w:cs="Times New Roman"/>
      <w:color w:val="000000"/>
      <w:sz w:val="22"/>
      <w:szCs w:val="20"/>
      <w:lang w:val="en-GB"/>
    </w:rPr>
  </w:style>
  <w:style w:type="paragraph" w:styleId="Heading3">
    <w:name w:val="heading 3"/>
    <w:basedOn w:val="Normal"/>
    <w:link w:val="Heading3Char"/>
    <w:qFormat/>
    <w:rsid w:val="00FA6799"/>
    <w:pPr>
      <w:numPr>
        <w:ilvl w:val="2"/>
        <w:numId w:val="3"/>
      </w:numPr>
      <w:spacing w:after="120" w:line="300" w:lineRule="atLeast"/>
      <w:jc w:val="both"/>
      <w:outlineLvl w:val="2"/>
    </w:pPr>
    <w:rPr>
      <w:rFonts w:ascii="Times New Roman" w:eastAsia="Times New Roman" w:hAnsi="Times New Roman" w:cs="Times New Roman"/>
      <w:sz w:val="22"/>
      <w:szCs w:val="20"/>
      <w:lang w:val="en-GB"/>
    </w:rPr>
  </w:style>
  <w:style w:type="paragraph" w:styleId="Heading4">
    <w:name w:val="heading 4"/>
    <w:basedOn w:val="Normal"/>
    <w:link w:val="Heading4Char"/>
    <w:qFormat/>
    <w:rsid w:val="00FA6799"/>
    <w:pPr>
      <w:numPr>
        <w:ilvl w:val="3"/>
        <w:numId w:val="3"/>
      </w:numPr>
      <w:tabs>
        <w:tab w:val="left" w:pos="2261"/>
      </w:tabs>
      <w:spacing w:after="120" w:line="300" w:lineRule="atLeast"/>
      <w:jc w:val="both"/>
      <w:outlineLvl w:val="3"/>
    </w:pPr>
    <w:rPr>
      <w:rFonts w:ascii="Times New Roman" w:eastAsia="Times New Roman" w:hAnsi="Times New Roman" w:cs="Times New Roman"/>
      <w:sz w:val="22"/>
      <w:szCs w:val="20"/>
      <w:lang w:val="en-GB"/>
    </w:rPr>
  </w:style>
  <w:style w:type="paragraph" w:styleId="Heading5">
    <w:name w:val="heading 5"/>
    <w:basedOn w:val="Normal"/>
    <w:link w:val="Heading5Char"/>
    <w:qFormat/>
    <w:rsid w:val="00FA6799"/>
    <w:pPr>
      <w:numPr>
        <w:ilvl w:val="4"/>
        <w:numId w:val="3"/>
      </w:numPr>
      <w:spacing w:after="120" w:line="300" w:lineRule="atLeast"/>
      <w:jc w:val="both"/>
      <w:outlineLvl w:val="4"/>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C9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F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9C"/>
    <w:rPr>
      <w:rFonts w:ascii="Segoe UI" w:hAnsi="Segoe UI" w:cs="Segoe UI"/>
      <w:sz w:val="18"/>
      <w:szCs w:val="18"/>
    </w:rPr>
  </w:style>
  <w:style w:type="character" w:styleId="CommentReference">
    <w:name w:val="annotation reference"/>
    <w:basedOn w:val="DefaultParagraphFont"/>
    <w:uiPriority w:val="99"/>
    <w:semiHidden/>
    <w:unhideWhenUsed/>
    <w:rsid w:val="00D65CC8"/>
    <w:rPr>
      <w:sz w:val="16"/>
      <w:szCs w:val="16"/>
    </w:rPr>
  </w:style>
  <w:style w:type="paragraph" w:styleId="CommentText">
    <w:name w:val="annotation text"/>
    <w:basedOn w:val="Normal"/>
    <w:link w:val="CommentTextChar"/>
    <w:uiPriority w:val="99"/>
    <w:semiHidden/>
    <w:unhideWhenUsed/>
    <w:rsid w:val="00D65CC8"/>
    <w:rPr>
      <w:sz w:val="20"/>
      <w:szCs w:val="20"/>
    </w:rPr>
  </w:style>
  <w:style w:type="character" w:customStyle="1" w:styleId="CommentTextChar">
    <w:name w:val="Comment Text Char"/>
    <w:basedOn w:val="DefaultParagraphFont"/>
    <w:link w:val="CommentText"/>
    <w:uiPriority w:val="99"/>
    <w:semiHidden/>
    <w:rsid w:val="00D65CC8"/>
    <w:rPr>
      <w:sz w:val="20"/>
      <w:szCs w:val="20"/>
    </w:rPr>
  </w:style>
  <w:style w:type="paragraph" w:styleId="CommentSubject">
    <w:name w:val="annotation subject"/>
    <w:basedOn w:val="CommentText"/>
    <w:next w:val="CommentText"/>
    <w:link w:val="CommentSubjectChar"/>
    <w:uiPriority w:val="99"/>
    <w:semiHidden/>
    <w:unhideWhenUsed/>
    <w:rsid w:val="00D65CC8"/>
    <w:rPr>
      <w:b/>
      <w:bCs/>
    </w:rPr>
  </w:style>
  <w:style w:type="character" w:customStyle="1" w:styleId="CommentSubjectChar">
    <w:name w:val="Comment Subject Char"/>
    <w:basedOn w:val="CommentTextChar"/>
    <w:link w:val="CommentSubject"/>
    <w:uiPriority w:val="99"/>
    <w:semiHidden/>
    <w:rsid w:val="00D65CC8"/>
    <w:rPr>
      <w:b/>
      <w:bCs/>
      <w:sz w:val="20"/>
      <w:szCs w:val="20"/>
    </w:rPr>
  </w:style>
  <w:style w:type="character" w:customStyle="1" w:styleId="Heading1Char">
    <w:name w:val="Heading 1 Char"/>
    <w:basedOn w:val="DefaultParagraphFont"/>
    <w:link w:val="Heading1"/>
    <w:rsid w:val="00FA6799"/>
    <w:rPr>
      <w:rFonts w:ascii="Times New Roman" w:eastAsia="Times New Roman" w:hAnsi="Times New Roman" w:cs="Times New Roman"/>
      <w:b/>
      <w:smallCaps/>
      <w:kern w:val="28"/>
      <w:sz w:val="22"/>
      <w:szCs w:val="20"/>
      <w:lang w:val="en-GB"/>
    </w:rPr>
  </w:style>
  <w:style w:type="character" w:customStyle="1" w:styleId="Heading2Char">
    <w:name w:val="Heading 2 Char"/>
    <w:basedOn w:val="DefaultParagraphFont"/>
    <w:link w:val="Heading2"/>
    <w:rsid w:val="00FA6799"/>
    <w:rPr>
      <w:rFonts w:ascii="Times New Roman" w:eastAsia="Times New Roman" w:hAnsi="Times New Roman" w:cs="Times New Roman"/>
      <w:color w:val="000000"/>
      <w:sz w:val="22"/>
      <w:szCs w:val="20"/>
      <w:lang w:val="en-GB"/>
    </w:rPr>
  </w:style>
  <w:style w:type="character" w:customStyle="1" w:styleId="Heading3Char">
    <w:name w:val="Heading 3 Char"/>
    <w:basedOn w:val="DefaultParagraphFont"/>
    <w:link w:val="Heading3"/>
    <w:rsid w:val="00FA6799"/>
    <w:rPr>
      <w:rFonts w:ascii="Times New Roman" w:eastAsia="Times New Roman" w:hAnsi="Times New Roman" w:cs="Times New Roman"/>
      <w:sz w:val="22"/>
      <w:szCs w:val="20"/>
      <w:lang w:val="en-GB"/>
    </w:rPr>
  </w:style>
  <w:style w:type="character" w:customStyle="1" w:styleId="Heading4Char">
    <w:name w:val="Heading 4 Char"/>
    <w:basedOn w:val="DefaultParagraphFont"/>
    <w:link w:val="Heading4"/>
    <w:rsid w:val="00FA6799"/>
    <w:rPr>
      <w:rFonts w:ascii="Times New Roman" w:eastAsia="Times New Roman" w:hAnsi="Times New Roman" w:cs="Times New Roman"/>
      <w:sz w:val="22"/>
      <w:szCs w:val="20"/>
      <w:lang w:val="en-GB"/>
    </w:rPr>
  </w:style>
  <w:style w:type="character" w:customStyle="1" w:styleId="Heading5Char">
    <w:name w:val="Heading 5 Char"/>
    <w:basedOn w:val="DefaultParagraphFont"/>
    <w:link w:val="Heading5"/>
    <w:rsid w:val="00FA6799"/>
    <w:rPr>
      <w:rFonts w:ascii="Times New Roman" w:eastAsia="Times New Roman" w:hAnsi="Times New Roman" w:cs="Times New Roman"/>
      <w:sz w:val="22"/>
      <w:szCs w:val="20"/>
      <w:lang w:val="en-GB"/>
    </w:rPr>
  </w:style>
  <w:style w:type="table" w:styleId="TableGrid">
    <w:name w:val="Table Grid"/>
    <w:basedOn w:val="TableNormal"/>
    <w:uiPriority w:val="59"/>
    <w:rsid w:val="005A552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E5253D"/>
    <w:pPr>
      <w:ind w:left="-180" w:right="-180"/>
      <w:jc w:val="both"/>
    </w:pPr>
    <w:rPr>
      <w:rFonts w:ascii="Arial" w:eastAsia="Times New Roman" w:hAnsi="Arial" w:cs="Arial"/>
      <w:sz w:val="15"/>
    </w:rPr>
  </w:style>
  <w:style w:type="paragraph" w:styleId="ListParagraph">
    <w:name w:val="List Paragraph"/>
    <w:basedOn w:val="Normal"/>
    <w:uiPriority w:val="34"/>
    <w:qFormat/>
    <w:rsid w:val="522AA375"/>
    <w:pPr>
      <w:ind w:left="720"/>
      <w:contextualSpacing/>
    </w:pPr>
  </w:style>
  <w:style w:type="character" w:styleId="Hyperlink">
    <w:name w:val="Hyperlink"/>
    <w:basedOn w:val="DefaultParagraphFont"/>
    <w:uiPriority w:val="99"/>
    <w:unhideWhenUsed/>
    <w:rsid w:val="522AA375"/>
    <w:rPr>
      <w:color w:val="0563C1"/>
      <w:u w:val="single"/>
    </w:rPr>
  </w:style>
  <w:style w:type="paragraph" w:styleId="Revision">
    <w:name w:val="Revision"/>
    <w:hidden/>
    <w:uiPriority w:val="99"/>
    <w:semiHidden/>
    <w:rsid w:val="006675C4"/>
  </w:style>
  <w:style w:type="character" w:styleId="UnresolvedMention">
    <w:name w:val="Unresolved Mention"/>
    <w:basedOn w:val="DefaultParagraphFont"/>
    <w:uiPriority w:val="99"/>
    <w:semiHidden/>
    <w:unhideWhenUsed/>
    <w:rsid w:val="00F31BD8"/>
    <w:rPr>
      <w:color w:val="605E5C"/>
      <w:shd w:val="clear" w:color="auto" w:fill="E1DFDD"/>
    </w:rPr>
  </w:style>
  <w:style w:type="paragraph" w:styleId="Header">
    <w:name w:val="header"/>
    <w:basedOn w:val="Normal"/>
    <w:link w:val="HeaderChar"/>
    <w:uiPriority w:val="99"/>
    <w:unhideWhenUsed/>
    <w:rsid w:val="0060193C"/>
    <w:pPr>
      <w:tabs>
        <w:tab w:val="center" w:pos="4680"/>
        <w:tab w:val="right" w:pos="9360"/>
      </w:tabs>
    </w:pPr>
  </w:style>
  <w:style w:type="character" w:customStyle="1" w:styleId="HeaderChar">
    <w:name w:val="Header Char"/>
    <w:basedOn w:val="DefaultParagraphFont"/>
    <w:link w:val="Header"/>
    <w:uiPriority w:val="99"/>
    <w:rsid w:val="0060193C"/>
  </w:style>
  <w:style w:type="paragraph" w:styleId="Footer">
    <w:name w:val="footer"/>
    <w:basedOn w:val="Normal"/>
    <w:link w:val="FooterChar"/>
    <w:uiPriority w:val="99"/>
    <w:unhideWhenUsed/>
    <w:rsid w:val="0060193C"/>
    <w:pPr>
      <w:tabs>
        <w:tab w:val="center" w:pos="4680"/>
        <w:tab w:val="right" w:pos="9360"/>
      </w:tabs>
    </w:pPr>
  </w:style>
  <w:style w:type="character" w:customStyle="1" w:styleId="FooterChar">
    <w:name w:val="Footer Char"/>
    <w:basedOn w:val="DefaultParagraphFont"/>
    <w:link w:val="Footer"/>
    <w:uiPriority w:val="99"/>
    <w:rsid w:val="00601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dynasca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567242FACFE349B89141D8F0859073" ma:contentTypeVersion="11" ma:contentTypeDescription="Create a new document." ma:contentTypeScope="" ma:versionID="24ac7b6fd5755b2787cd2102af55fb88">
  <xsd:schema xmlns:xsd="http://www.w3.org/2001/XMLSchema" xmlns:xs="http://www.w3.org/2001/XMLSchema" xmlns:p="http://schemas.microsoft.com/office/2006/metadata/properties" xmlns:ns2="32416471-4e99-488a-834a-43f78d20eec6" xmlns:ns3="2e99494f-235a-46cb-bcef-9b30b5309de7" targetNamespace="http://schemas.microsoft.com/office/2006/metadata/properties" ma:root="true" ma:fieldsID="cd13b56178244f76740853e278ebc047" ns2:_="" ns3:_="">
    <xsd:import namespace="32416471-4e99-488a-834a-43f78d20eec6"/>
    <xsd:import namespace="2e99494f-235a-46cb-bcef-9b30b5309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16471-4e99-488a-834a-43f78d20e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9545b2-5919-49bb-a17e-c1cd78d914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9494f-235a-46cb-bcef-9b30b5309d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0b6483-88df-4a67-baf9-12600e61e876}" ma:internalName="TaxCatchAll" ma:showField="CatchAllData" ma:web="2e99494f-235a-46cb-bcef-9b30b5309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99494f-235a-46cb-bcef-9b30b5309de7" xsi:nil="true"/>
    <lcf76f155ced4ddcb4097134ff3c332f xmlns="32416471-4e99-488a-834a-43f78d20ee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CF066-FDD6-4F0B-9AF5-1B1F21F399E3}">
  <ds:schemaRefs>
    <ds:schemaRef ds:uri="http://schemas.microsoft.com/sharepoint/v3/contenttype/forms"/>
  </ds:schemaRefs>
</ds:datastoreItem>
</file>

<file path=customXml/itemProps2.xml><?xml version="1.0" encoding="utf-8"?>
<ds:datastoreItem xmlns:ds="http://schemas.openxmlformats.org/officeDocument/2006/customXml" ds:itemID="{F91697DF-F48B-42EC-B3CB-8DE1334DF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16471-4e99-488a-834a-43f78d20eec6"/>
    <ds:schemaRef ds:uri="2e99494f-235a-46cb-bcef-9b30b5309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EE602-8DDF-4A72-BB34-A70E29956BB3}">
  <ds:schemaRefs>
    <ds:schemaRef ds:uri="http://schemas.microsoft.com/office/2006/metadata/properties"/>
    <ds:schemaRef ds:uri="http://schemas.microsoft.com/office/infopath/2007/PartnerControls"/>
    <ds:schemaRef ds:uri="2e99494f-235a-46cb-bcef-9b30b5309de7"/>
    <ds:schemaRef ds:uri="32416471-4e99-488a-834a-43f78d20eec6"/>
  </ds:schemaRefs>
</ds:datastoreItem>
</file>

<file path=customXml/itemProps4.xml><?xml version="1.0" encoding="utf-8"?>
<ds:datastoreItem xmlns:ds="http://schemas.openxmlformats.org/officeDocument/2006/customXml" ds:itemID="{506FCA2F-A370-9846-809C-76D40A11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3881</Words>
  <Characters>22031</Characters>
  <Application>Microsoft Office Word</Application>
  <DocSecurity>0</DocSecurity>
  <Lines>463</Lines>
  <Paragraphs>115</Paragraphs>
  <ScaleCrop>false</ScaleCrop>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Carrasquel</dc:creator>
  <cp:keywords/>
  <dc:description/>
  <cp:lastModifiedBy>Jean Carlos Carrasquel</cp:lastModifiedBy>
  <cp:revision>11</cp:revision>
  <cp:lastPrinted>2026-03-16T20:00:00Z</cp:lastPrinted>
  <dcterms:created xsi:type="dcterms:W3CDTF">2026-03-16T19:55:00Z</dcterms:created>
  <dcterms:modified xsi:type="dcterms:W3CDTF">2026-04-09T19:01:00Z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0x01010000567242FACFE349B89141D8F0859073</vt:lpwstr>
  </property>
  <property fmtid="{D5CDD505-2E9C-101B-9397-08002B2CF9AE}" pid="3" name="MediaServiceImageTags">
    <vt:lpwstr/>
  </property>
</Properties>
</file>