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0517" w14:textId="259BF342" w:rsidR="00D514DE" w:rsidRPr="006C4140" w:rsidRDefault="006C4140" w:rsidP="006C4140">
      <w:pPr>
        <w:spacing w:after="100"/>
        <w:jc w:val="center"/>
        <w:rPr>
          <w:rFonts w:ascii="Calibri" w:hAnsi="Calibri" w:cs="Calibri"/>
          <w:b/>
          <w:bCs/>
          <w:color w:val="000000" w:themeColor="text1"/>
          <w:sz w:val="40"/>
          <w:szCs w:val="40"/>
        </w:rPr>
      </w:pPr>
      <w:r w:rsidRPr="006C4140">
        <w:rPr>
          <w:rFonts w:ascii="Calibri" w:hAnsi="Calibri" w:cs="Calibri"/>
          <w:b/>
          <w:bCs/>
          <w:color w:val="000000" w:themeColor="text1"/>
          <w:sz w:val="40"/>
          <w:szCs w:val="40"/>
        </w:rPr>
        <w:t xml:space="preserve">Free Social Media Conduct Policy Template </w:t>
      </w:r>
      <w:r w:rsidRPr="006C4140">
        <w:rPr>
          <w:rFonts w:ascii="Calibri" w:hAnsi="Calibri" w:cs="Calibri"/>
          <w:b/>
          <w:bCs/>
          <w:sz w:val="40"/>
          <w:szCs w:val="40"/>
        </w:rPr>
        <w:t>+ Adjudication Framework</w:t>
      </w:r>
    </w:p>
    <w:p w14:paraId="5C4D0E5B" w14:textId="77777777" w:rsidR="006C4140" w:rsidRDefault="006C4140" w:rsidP="00D514DE">
      <w:pPr>
        <w:spacing w:after="80"/>
        <w:jc w:val="center"/>
        <w:rPr>
          <w:rFonts w:ascii="Calibri" w:hAnsi="Calibri" w:cs="Calibri"/>
          <w:color w:val="000000" w:themeColor="text1"/>
          <w:sz w:val="24"/>
          <w:szCs w:val="24"/>
        </w:rPr>
      </w:pPr>
    </w:p>
    <w:p w14:paraId="1AF2308D" w14:textId="77777777" w:rsidR="003008DF" w:rsidRDefault="00D514DE" w:rsidP="00D514DE">
      <w:pPr>
        <w:spacing w:after="80"/>
        <w:jc w:val="center"/>
        <w:rPr>
          <w:rFonts w:ascii="Calibri" w:hAnsi="Calibri" w:cs="Calibri"/>
          <w:color w:val="000000" w:themeColor="text1"/>
        </w:rPr>
      </w:pPr>
      <w:r w:rsidRPr="00AF206D">
        <w:rPr>
          <w:rFonts w:ascii="Calibri" w:hAnsi="Calibri" w:cs="Calibri"/>
          <w:color w:val="000000" w:themeColor="text1"/>
          <w:sz w:val="24"/>
          <w:szCs w:val="24"/>
        </w:rPr>
        <w:t xml:space="preserve">A Customizable </w:t>
      </w:r>
      <w:r w:rsidR="003008DF">
        <w:rPr>
          <w:rFonts w:ascii="Calibri" w:hAnsi="Calibri" w:cs="Calibri"/>
          <w:color w:val="000000" w:themeColor="text1"/>
          <w:sz w:val="24"/>
          <w:szCs w:val="24"/>
        </w:rPr>
        <w:t xml:space="preserve">Social Media </w:t>
      </w:r>
      <w:r w:rsidRPr="00AF206D">
        <w:rPr>
          <w:rFonts w:ascii="Calibri" w:hAnsi="Calibri" w:cs="Calibri"/>
          <w:color w:val="000000" w:themeColor="text1"/>
          <w:sz w:val="24"/>
          <w:szCs w:val="24"/>
        </w:rPr>
        <w:t>Conduct Policy with a Built-In Framework</w:t>
      </w:r>
      <w:r w:rsidRPr="00AF206D">
        <w:rPr>
          <w:rFonts w:ascii="Calibri" w:hAnsi="Calibri" w:cs="Calibri"/>
          <w:color w:val="000000" w:themeColor="text1"/>
        </w:rPr>
        <w:t xml:space="preserve"> </w:t>
      </w:r>
    </w:p>
    <w:p w14:paraId="6DDE000B" w14:textId="2A1FA463" w:rsidR="00D514DE" w:rsidRPr="00AF206D" w:rsidRDefault="00D514DE" w:rsidP="00D514DE">
      <w:pPr>
        <w:spacing w:after="80"/>
        <w:jc w:val="center"/>
        <w:rPr>
          <w:rFonts w:ascii="Calibri" w:hAnsi="Calibri" w:cs="Calibri"/>
          <w:color w:val="000000" w:themeColor="text1"/>
        </w:rPr>
      </w:pPr>
      <w:r w:rsidRPr="00AF206D">
        <w:rPr>
          <w:rFonts w:ascii="Calibri" w:hAnsi="Calibri" w:cs="Calibri"/>
          <w:color w:val="000000" w:themeColor="text1"/>
          <w:sz w:val="24"/>
          <w:szCs w:val="24"/>
        </w:rPr>
        <w:t>for Reviewing Public Digital Behavior</w:t>
      </w:r>
    </w:p>
    <w:p w14:paraId="78B4AB24" w14:textId="77777777" w:rsidR="00D514DE" w:rsidRPr="00AF206D" w:rsidRDefault="00D514DE" w:rsidP="00D514DE">
      <w:pPr>
        <w:spacing w:after="20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14DE" w:rsidRPr="00AF206D" w14:paraId="649BADB0" w14:textId="77777777" w:rsidTr="00981C83">
        <w:tc>
          <w:tcPr>
            <w:tcW w:w="9360" w:type="dxa"/>
            <w:tcBorders>
              <w:top w:val="single" w:sz="1" w:space="0" w:color="2E75B6"/>
              <w:left w:val="single" w:sz="1" w:space="0" w:color="2E75B6"/>
              <w:bottom w:val="single" w:sz="1" w:space="0" w:color="2E75B6"/>
              <w:right w:val="single" w:sz="1" w:space="0" w:color="2E75B6"/>
            </w:tcBorders>
            <w:shd w:val="clear" w:color="auto" w:fill="E8EFF5"/>
            <w:tcMar>
              <w:top w:w="160" w:type="dxa"/>
              <w:left w:w="200" w:type="dxa"/>
              <w:bottom w:w="160" w:type="dxa"/>
              <w:right w:w="200" w:type="dxa"/>
            </w:tcMar>
          </w:tcPr>
          <w:p w14:paraId="46167BBD" w14:textId="77777777" w:rsidR="00D514DE" w:rsidRPr="00AF206D" w:rsidRDefault="00D514DE" w:rsidP="00981C83">
            <w:pPr>
              <w:spacing w:after="100"/>
              <w:rPr>
                <w:rFonts w:ascii="Calibri" w:hAnsi="Calibri" w:cs="Calibri"/>
              </w:rPr>
            </w:pPr>
            <w:r w:rsidRPr="00AF206D">
              <w:rPr>
                <w:rFonts w:ascii="Calibri" w:hAnsi="Calibri" w:cs="Calibri"/>
                <w:b/>
                <w:bCs/>
                <w:color w:val="1B3A5C"/>
              </w:rPr>
              <w:t>What’s Inside This Kit</w:t>
            </w:r>
          </w:p>
          <w:p w14:paraId="6795DEA5" w14:textId="77777777" w:rsidR="00D514DE" w:rsidRPr="00AF206D" w:rsidRDefault="00D514DE" w:rsidP="00981C83">
            <w:pPr>
              <w:spacing w:after="80" w:line="276" w:lineRule="auto"/>
              <w:rPr>
                <w:rFonts w:ascii="Calibri" w:hAnsi="Calibri" w:cs="Calibri"/>
              </w:rPr>
            </w:pPr>
            <w:r w:rsidRPr="00AF206D">
              <w:rPr>
                <w:rFonts w:ascii="Calibri" w:hAnsi="Calibri" w:cs="Calibri"/>
                <w:b/>
                <w:bCs/>
                <w:color w:val="555555"/>
                <w:sz w:val="20"/>
                <w:szCs w:val="20"/>
              </w:rPr>
              <w:t>Part 1:</w:t>
            </w:r>
            <w:r w:rsidRPr="00AF206D">
              <w:rPr>
                <w:rFonts w:ascii="Calibri" w:hAnsi="Calibri" w:cs="Calibri"/>
                <w:color w:val="555555"/>
                <w:sz w:val="20"/>
                <w:szCs w:val="20"/>
              </w:rPr>
              <w:t xml:space="preserve"> A customizable Social Media Conduct Policy template your organization can adopt, adapt, and distribute to employees today.</w:t>
            </w:r>
          </w:p>
          <w:p w14:paraId="7B8B49BD" w14:textId="77777777" w:rsidR="00D514DE" w:rsidRPr="00AF206D" w:rsidRDefault="00D514DE" w:rsidP="00981C83">
            <w:pPr>
              <w:spacing w:after="80" w:line="276" w:lineRule="auto"/>
              <w:rPr>
                <w:rFonts w:ascii="Calibri" w:hAnsi="Calibri" w:cs="Calibri"/>
              </w:rPr>
            </w:pPr>
            <w:r w:rsidRPr="00AF206D">
              <w:rPr>
                <w:rFonts w:ascii="Calibri" w:hAnsi="Calibri" w:cs="Calibri"/>
                <w:b/>
                <w:bCs/>
                <w:color w:val="555555"/>
                <w:sz w:val="20"/>
                <w:szCs w:val="20"/>
              </w:rPr>
              <w:t>Part 2:</w:t>
            </w:r>
            <w:r w:rsidRPr="00AF206D">
              <w:rPr>
                <w:rFonts w:ascii="Calibri" w:hAnsi="Calibri" w:cs="Calibri"/>
                <w:color w:val="555555"/>
                <w:sz w:val="20"/>
                <w:szCs w:val="20"/>
              </w:rPr>
              <w:t xml:space="preserve"> A structured Adjudication Framework that shows how to evaluate screening results and publicly available online content against your documented policy standards.</w:t>
            </w:r>
          </w:p>
          <w:p w14:paraId="2998C3C9" w14:textId="77777777" w:rsidR="00D514DE" w:rsidRPr="00AF206D" w:rsidRDefault="00D514DE" w:rsidP="00981C83">
            <w:pPr>
              <w:spacing w:after="80" w:line="276" w:lineRule="auto"/>
              <w:rPr>
                <w:rFonts w:ascii="Calibri" w:hAnsi="Calibri" w:cs="Calibri"/>
              </w:rPr>
            </w:pPr>
            <w:r w:rsidRPr="00AF206D">
              <w:rPr>
                <w:rFonts w:ascii="Calibri" w:hAnsi="Calibri" w:cs="Calibri"/>
                <w:color w:val="555555"/>
                <w:sz w:val="20"/>
                <w:szCs w:val="20"/>
              </w:rPr>
              <w:t>Together, they create a complete system: define the rules, then apply them consistently.</w:t>
            </w:r>
          </w:p>
        </w:tc>
      </w:tr>
    </w:tbl>
    <w:p w14:paraId="43633791" w14:textId="77777777" w:rsidR="00D514DE" w:rsidRDefault="00D514DE" w:rsidP="00D514DE">
      <w:pPr>
        <w:rPr>
          <w:rFonts w:ascii="Calibri" w:hAnsi="Calibri" w:cs="Calibri"/>
        </w:rPr>
      </w:pPr>
    </w:p>
    <w:p w14:paraId="50578E77" w14:textId="77777777" w:rsidR="00D514DE" w:rsidRDefault="00D514DE" w:rsidP="00D514DE">
      <w:pPr>
        <w:rPr>
          <w:rFonts w:ascii="Calibri" w:hAnsi="Calibri" w:cs="Calibri"/>
        </w:rPr>
      </w:pPr>
    </w:p>
    <w:p w14:paraId="4A014E6F" w14:textId="77777777" w:rsidR="00D514DE" w:rsidRPr="00AF206D" w:rsidRDefault="00D514DE" w:rsidP="00D514DE">
      <w:pPr>
        <w:jc w:val="center"/>
        <w:rPr>
          <w:rFonts w:ascii="Calibri" w:hAnsi="Calibri" w:cs="Calibri"/>
        </w:rPr>
      </w:pPr>
      <w:r w:rsidRPr="00AF206D">
        <w:rPr>
          <w:rFonts w:ascii="Calibri" w:hAnsi="Calibri" w:cs="Calibri"/>
          <w:b/>
          <w:bCs/>
          <w:color w:val="000000" w:themeColor="text1"/>
          <w:sz w:val="20"/>
          <w:szCs w:val="20"/>
        </w:rPr>
        <w:t>PART 1</w:t>
      </w:r>
    </w:p>
    <w:p w14:paraId="2F2AE50C" w14:textId="77777777" w:rsidR="00D514DE" w:rsidRPr="00AF206D" w:rsidRDefault="00D514DE" w:rsidP="00D514DE">
      <w:pPr>
        <w:spacing w:after="120"/>
        <w:jc w:val="center"/>
        <w:rPr>
          <w:rFonts w:ascii="Calibri" w:hAnsi="Calibri" w:cs="Calibri"/>
          <w:color w:val="000000" w:themeColor="text1"/>
        </w:rPr>
      </w:pPr>
      <w:r w:rsidRPr="00AF206D">
        <w:rPr>
          <w:rFonts w:ascii="Calibri" w:hAnsi="Calibri" w:cs="Calibri"/>
          <w:b/>
          <w:bCs/>
          <w:color w:val="000000" w:themeColor="text1"/>
          <w:sz w:val="36"/>
          <w:szCs w:val="36"/>
        </w:rPr>
        <w:t>Social Media Conduct Policy Template</w:t>
      </w:r>
    </w:p>
    <w:p w14:paraId="1BA1C658" w14:textId="77777777" w:rsidR="00D514DE" w:rsidRPr="00AF206D" w:rsidRDefault="00D514DE" w:rsidP="00D514DE">
      <w:pPr>
        <w:spacing w:after="120"/>
        <w:jc w:val="center"/>
        <w:rPr>
          <w:rFonts w:ascii="Calibri" w:hAnsi="Calibri" w:cs="Calibri"/>
          <w:color w:val="000000" w:themeColor="text1"/>
        </w:rPr>
      </w:pPr>
      <w:r w:rsidRPr="00AF206D">
        <w:rPr>
          <w:rFonts w:ascii="Calibri" w:hAnsi="Calibri" w:cs="Calibri"/>
          <w:color w:val="000000" w:themeColor="text1"/>
          <w:sz w:val="22"/>
          <w:szCs w:val="22"/>
        </w:rPr>
        <w:t>A practical, customizable policy framework for modern organizations.</w:t>
      </w:r>
    </w:p>
    <w:p w14:paraId="2842CE4D" w14:textId="77777777" w:rsidR="00D514DE" w:rsidRPr="00AF206D" w:rsidRDefault="00D514DE" w:rsidP="00D514DE">
      <w:pPr>
        <w:spacing w:after="80"/>
        <w:jc w:val="center"/>
        <w:rPr>
          <w:rFonts w:ascii="Calibri" w:hAnsi="Calibri" w:cs="Calibri"/>
          <w:color w:val="000000" w:themeColor="text1"/>
        </w:rPr>
      </w:pPr>
      <w:r w:rsidRPr="00AF206D">
        <w:rPr>
          <w:rFonts w:ascii="Calibri" w:hAnsi="Calibri" w:cs="Calibri"/>
          <w:color w:val="000000" w:themeColor="text1"/>
          <w:sz w:val="20"/>
          <w:szCs w:val="20"/>
        </w:rPr>
        <w:t>Adapt the bracketed sections to fit your organization’s values, structure, and legal requirements.</w:t>
      </w:r>
    </w:p>
    <w:p w14:paraId="25F11985" w14:textId="77777777" w:rsidR="00D514DE" w:rsidRDefault="00D514DE" w:rsidP="00D514DE">
      <w:pPr>
        <w:rPr>
          <w:rFonts w:ascii="Calibri" w:hAnsi="Calibri" w:cs="Calibri"/>
          <w:b/>
          <w:bCs/>
          <w:color w:val="000000" w:themeColor="text1"/>
          <w:sz w:val="32"/>
          <w:szCs w:val="32"/>
        </w:rPr>
      </w:pPr>
    </w:p>
    <w:p w14:paraId="2D6CC9FA" w14:textId="77777777" w:rsidR="00D514DE" w:rsidRPr="00AF206D" w:rsidRDefault="00D514DE" w:rsidP="00D514DE">
      <w:pPr>
        <w:rPr>
          <w:rFonts w:ascii="Calibri" w:hAnsi="Calibri" w:cs="Calibri"/>
        </w:rPr>
      </w:pPr>
      <w:r w:rsidRPr="00AF206D">
        <w:rPr>
          <w:rFonts w:ascii="Calibri" w:hAnsi="Calibri" w:cs="Calibri"/>
          <w:b/>
          <w:bCs/>
          <w:color w:val="000000" w:themeColor="text1"/>
          <w:sz w:val="32"/>
          <w:szCs w:val="32"/>
        </w:rPr>
        <w:t>Section 1: Purpose</w:t>
      </w:r>
    </w:p>
    <w:p w14:paraId="418D3A50"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The purpose of this Social Media Conduct Policy is to:</w:t>
      </w:r>
    </w:p>
    <w:p w14:paraId="6202D545" w14:textId="77777777" w:rsidR="00D514DE" w:rsidRPr="00AF206D" w:rsidRDefault="00D514DE" w:rsidP="00D514DE">
      <w:pPr>
        <w:pStyle w:val="ListParagraph"/>
        <w:numPr>
          <w:ilvl w:val="0"/>
          <w:numId w:val="1"/>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Establish clear, fair expectations for employee and candidate conduct in public digital spaces</w:t>
      </w:r>
    </w:p>
    <w:p w14:paraId="21BC997A" w14:textId="77777777" w:rsidR="00D514DE" w:rsidRPr="00AF206D" w:rsidRDefault="00D514DE" w:rsidP="00D514DE">
      <w:pPr>
        <w:pStyle w:val="ListParagraph"/>
        <w:numPr>
          <w:ilvl w:val="0"/>
          <w:numId w:val="1"/>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Protect organizational reputation, confidential information, and intellectual property</w:t>
      </w:r>
    </w:p>
    <w:p w14:paraId="5B5895E4" w14:textId="77777777" w:rsidR="00D514DE" w:rsidRPr="00AF206D" w:rsidRDefault="00D514DE" w:rsidP="00D514DE">
      <w:pPr>
        <w:pStyle w:val="ListParagraph"/>
        <w:numPr>
          <w:ilvl w:val="0"/>
          <w:numId w:val="1"/>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Provide a consistent, documented standard for reviewing publicly available online behavior</w:t>
      </w:r>
    </w:p>
    <w:p w14:paraId="707B2AFC" w14:textId="77777777" w:rsidR="00D514DE" w:rsidRPr="00AF206D" w:rsidRDefault="00D514DE" w:rsidP="00D514DE">
      <w:pPr>
        <w:pStyle w:val="ListParagraph"/>
        <w:numPr>
          <w:ilvl w:val="0"/>
          <w:numId w:val="1"/>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Balance individual freedom of expression with professional responsibility</w:t>
      </w:r>
    </w:p>
    <w:p w14:paraId="402CF99C" w14:textId="77777777" w:rsidR="00D514DE" w:rsidRPr="00AF206D" w:rsidRDefault="00D514DE" w:rsidP="00D514DE">
      <w:pPr>
        <w:pStyle w:val="ListParagraph"/>
        <w:numPr>
          <w:ilvl w:val="0"/>
          <w:numId w:val="1"/>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Create a defensible foundation for screening and adjudication decisions</w:t>
      </w:r>
    </w:p>
    <w:p w14:paraId="1870BD73" w14:textId="77777777" w:rsidR="00D514DE" w:rsidRPr="00AF206D" w:rsidRDefault="00D514DE" w:rsidP="00D514DE">
      <w:pPr>
        <w:spacing w:after="120"/>
        <w:rPr>
          <w:rFonts w:ascii="Calibri" w:hAnsi="Calibri" w:cs="Calibri"/>
          <w:color w:val="000000" w:themeColor="text1"/>
        </w:rPr>
      </w:pPr>
    </w:p>
    <w:p w14:paraId="3820AE35"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Social media, for the purposes of this policy, includes platforms such as X (formerly Twitter), Facebook, Instagram, LinkedIn, TikTok, Reddit, YouTube, and any other public online forums where users post, share, or engage with content.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14DE" w:rsidRPr="00AF206D" w14:paraId="0BEA46E0" w14:textId="77777777" w:rsidTr="00981C83">
        <w:tc>
          <w:tcPr>
            <w:tcW w:w="9360" w:type="dxa"/>
            <w:tcBorders>
              <w:top w:val="single" w:sz="1" w:space="0" w:color="D4956A"/>
              <w:left w:val="single" w:sz="1" w:space="0" w:color="D4956A"/>
              <w:bottom w:val="single" w:sz="1" w:space="0" w:color="D4956A"/>
              <w:right w:val="single" w:sz="1" w:space="0" w:color="D4956A"/>
            </w:tcBorders>
            <w:shd w:val="clear" w:color="auto" w:fill="FFF8F0"/>
            <w:tcMar>
              <w:top w:w="120" w:type="dxa"/>
              <w:left w:w="200" w:type="dxa"/>
              <w:bottom w:w="120" w:type="dxa"/>
              <w:right w:w="200" w:type="dxa"/>
            </w:tcMar>
          </w:tcPr>
          <w:p w14:paraId="58C80164" w14:textId="77777777" w:rsidR="00D514DE" w:rsidRPr="00AF206D" w:rsidRDefault="00D514DE" w:rsidP="00981C83">
            <w:pPr>
              <w:rPr>
                <w:rFonts w:ascii="Calibri" w:hAnsi="Calibri" w:cs="Calibri"/>
              </w:rPr>
            </w:pPr>
            <w:r w:rsidRPr="00AF206D">
              <w:rPr>
                <w:rFonts w:ascii="Segoe UI Symbol" w:hAnsi="Segoe UI Symbol" w:cs="Segoe UI Symbol"/>
                <w:b/>
                <w:bCs/>
                <w:color w:val="D4956A"/>
                <w:sz w:val="20"/>
                <w:szCs w:val="20"/>
              </w:rPr>
              <w:t>✎</w:t>
            </w:r>
            <w:r w:rsidRPr="00AF206D">
              <w:rPr>
                <w:rFonts w:ascii="Calibri" w:hAnsi="Calibri" w:cs="Calibri"/>
                <w:b/>
                <w:bCs/>
                <w:color w:val="D4956A"/>
                <w:sz w:val="20"/>
                <w:szCs w:val="20"/>
              </w:rPr>
              <w:t xml:space="preserve"> Customize: </w:t>
            </w:r>
            <w:r w:rsidRPr="00AF206D">
              <w:rPr>
                <w:rFonts w:ascii="Calibri" w:hAnsi="Calibri" w:cs="Calibri"/>
                <w:color w:val="555555"/>
                <w:sz w:val="20"/>
                <w:szCs w:val="20"/>
              </w:rPr>
              <w:t>Insert your organization’s name and core values (e.g., integrity, respect, accountability, merit, community) throughout this template where brackets appear.</w:t>
            </w:r>
          </w:p>
        </w:tc>
      </w:tr>
    </w:tbl>
    <w:p w14:paraId="35ADC848" w14:textId="77777777" w:rsidR="00D514DE" w:rsidRPr="00AF206D" w:rsidRDefault="00D514DE" w:rsidP="00D514DE">
      <w:pPr>
        <w:rPr>
          <w:rFonts w:ascii="Calibri" w:hAnsi="Calibri" w:cs="Calibri"/>
        </w:rPr>
      </w:pPr>
      <w:r w:rsidRPr="00AF206D">
        <w:rPr>
          <w:rFonts w:ascii="Calibri" w:hAnsi="Calibri" w:cs="Calibri"/>
        </w:rPr>
        <w:br w:type="page"/>
      </w:r>
    </w:p>
    <w:p w14:paraId="66E941E1" w14:textId="77777777" w:rsidR="00D514DE" w:rsidRPr="00AF206D" w:rsidRDefault="00D514DE" w:rsidP="00D514DE">
      <w:pPr>
        <w:pStyle w:val="Heading1"/>
        <w:rPr>
          <w:rFonts w:ascii="Calibri" w:hAnsi="Calibri" w:cs="Calibri"/>
          <w:color w:val="000000" w:themeColor="text1"/>
        </w:rPr>
      </w:pPr>
      <w:r w:rsidRPr="00AF206D">
        <w:rPr>
          <w:rFonts w:ascii="Calibri" w:eastAsia="Arial" w:hAnsi="Calibri" w:cs="Calibri"/>
          <w:b/>
          <w:bCs/>
          <w:color w:val="000000" w:themeColor="text1"/>
          <w:sz w:val="32"/>
          <w:szCs w:val="32"/>
        </w:rPr>
        <w:lastRenderedPageBreak/>
        <w:t>Section 2: Scope</w:t>
      </w:r>
    </w:p>
    <w:p w14:paraId="1D9138C5"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This policy applies to:</w:t>
      </w:r>
    </w:p>
    <w:p w14:paraId="673BA3D9" w14:textId="77777777" w:rsidR="00D514DE" w:rsidRPr="00AF206D" w:rsidRDefault="00D514DE" w:rsidP="00D514DE">
      <w:pPr>
        <w:pStyle w:val="ListParagraph"/>
        <w:numPr>
          <w:ilvl w:val="0"/>
          <w:numId w:val="2"/>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All employees, contractors, and interns of [Organization Name]</w:t>
      </w:r>
    </w:p>
    <w:p w14:paraId="7609A434" w14:textId="77777777" w:rsidR="00D514DE" w:rsidRPr="00AF206D" w:rsidRDefault="00D514DE" w:rsidP="00D514DE">
      <w:pPr>
        <w:pStyle w:val="ListParagraph"/>
        <w:numPr>
          <w:ilvl w:val="0"/>
          <w:numId w:val="2"/>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Job candidates during the hiring process, where social media reviews may be conducted as part of background screening</w:t>
      </w:r>
    </w:p>
    <w:p w14:paraId="6AED6011" w14:textId="77777777" w:rsidR="00D514DE" w:rsidRPr="00AF206D" w:rsidRDefault="00D514DE" w:rsidP="00D514DE">
      <w:pPr>
        <w:pStyle w:val="ListParagraph"/>
        <w:numPr>
          <w:ilvl w:val="0"/>
          <w:numId w:val="2"/>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Both personal and professional accounts, when activity could be reasonably associated with [Organization Name] (e.g., via profile mentions, company affiliations, or public visibility)</w:t>
      </w:r>
    </w:p>
    <w:p w14:paraId="2F8B4BB6"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Employees and candidates are encouraged to use social media responsibly, recognizing that online actions can impact professional perceptions and opportunities.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14DE" w:rsidRPr="00AF206D" w14:paraId="60D2F2FA" w14:textId="77777777" w:rsidTr="00981C83">
        <w:tc>
          <w:tcPr>
            <w:tcW w:w="9360" w:type="dxa"/>
            <w:tcBorders>
              <w:top w:val="single" w:sz="1" w:space="0" w:color="2E75B6"/>
              <w:left w:val="single" w:sz="1" w:space="0" w:color="2E75B6"/>
              <w:bottom w:val="single" w:sz="1" w:space="0" w:color="2E75B6"/>
              <w:right w:val="single" w:sz="1" w:space="0" w:color="2E75B6"/>
            </w:tcBorders>
            <w:shd w:val="clear" w:color="auto" w:fill="E8EFF5"/>
            <w:tcMar>
              <w:top w:w="160" w:type="dxa"/>
              <w:left w:w="200" w:type="dxa"/>
              <w:bottom w:w="160" w:type="dxa"/>
              <w:right w:w="200" w:type="dxa"/>
            </w:tcMar>
          </w:tcPr>
          <w:p w14:paraId="0DE44F60" w14:textId="77777777" w:rsidR="00D514DE" w:rsidRPr="00AF206D" w:rsidRDefault="00D514DE" w:rsidP="00981C83">
            <w:pPr>
              <w:spacing w:after="100"/>
              <w:rPr>
                <w:rFonts w:ascii="Calibri" w:hAnsi="Calibri" w:cs="Calibri"/>
              </w:rPr>
            </w:pPr>
            <w:r w:rsidRPr="00AF206D">
              <w:rPr>
                <w:rFonts w:ascii="Calibri" w:hAnsi="Calibri" w:cs="Calibri"/>
                <w:b/>
                <w:bCs/>
                <w:color w:val="1B3A5C"/>
              </w:rPr>
              <w:t>Legal Note</w:t>
            </w:r>
          </w:p>
          <w:p w14:paraId="0AC5C994" w14:textId="77777777" w:rsidR="00D514DE" w:rsidRPr="00AF206D" w:rsidRDefault="00D514DE" w:rsidP="00981C83">
            <w:pPr>
              <w:spacing w:after="80" w:line="276" w:lineRule="auto"/>
              <w:rPr>
                <w:rFonts w:ascii="Calibri" w:hAnsi="Calibri" w:cs="Calibri"/>
              </w:rPr>
            </w:pPr>
            <w:r w:rsidRPr="00AF206D">
              <w:rPr>
                <w:rFonts w:ascii="Calibri" w:hAnsi="Calibri" w:cs="Calibri"/>
                <w:color w:val="555555"/>
                <w:sz w:val="20"/>
                <w:szCs w:val="20"/>
              </w:rPr>
              <w:t>Employers may be held liable for harassment or hostile work environment claims arising from employees’ social media activity, even if it occurs outside work hours or off company premises. This policy helps establish documented expectations that reduce organizational exposure.</w:t>
            </w:r>
          </w:p>
        </w:tc>
      </w:tr>
    </w:tbl>
    <w:p w14:paraId="17C05436" w14:textId="77777777" w:rsidR="00D514DE" w:rsidRPr="00AF206D" w:rsidRDefault="00D514DE" w:rsidP="00D514DE">
      <w:pPr>
        <w:pStyle w:val="Heading1"/>
        <w:rPr>
          <w:rFonts w:ascii="Calibri" w:hAnsi="Calibri" w:cs="Calibri"/>
          <w:color w:val="000000" w:themeColor="text1"/>
        </w:rPr>
      </w:pPr>
      <w:r w:rsidRPr="00AF206D">
        <w:rPr>
          <w:rFonts w:ascii="Calibri" w:eastAsia="Arial" w:hAnsi="Calibri" w:cs="Calibri"/>
          <w:b/>
          <w:bCs/>
          <w:color w:val="000000" w:themeColor="text1"/>
          <w:sz w:val="32"/>
          <w:szCs w:val="32"/>
        </w:rPr>
        <w:t>Section 3: Core Principle (Conduct, Not Ideology)</w:t>
      </w:r>
    </w:p>
    <w:p w14:paraId="486B6AF7"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Public digital conduct is evaluated against documented workplace standards—not political affiliation, personal belief, or viewpoint.</w:t>
      </w:r>
    </w:p>
    <w:p w14:paraId="5BF36D48"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Protected personal political expression, in isolation, does not constitute a policy violation.</w:t>
      </w:r>
    </w:p>
    <w:p w14:paraId="24B43E0C"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Review may be appropriate only when publicly available conduct:</w:t>
      </w:r>
    </w:p>
    <w:p w14:paraId="31BD1280" w14:textId="77777777" w:rsidR="00D514DE" w:rsidRPr="00AF206D" w:rsidRDefault="00D514DE" w:rsidP="00D514DE">
      <w:pPr>
        <w:pStyle w:val="ListParagraph"/>
        <w:numPr>
          <w:ilvl w:val="0"/>
          <w:numId w:val="3"/>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Directly conflicts with documented workplace standards</w:t>
      </w:r>
    </w:p>
    <w:p w14:paraId="3D7B7E8F" w14:textId="77777777" w:rsidR="00D514DE" w:rsidRPr="00AF206D" w:rsidRDefault="00D514DE" w:rsidP="00D514DE">
      <w:pPr>
        <w:pStyle w:val="ListParagraph"/>
        <w:numPr>
          <w:ilvl w:val="0"/>
          <w:numId w:val="3"/>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Materially relates to job responsibilities</w:t>
      </w:r>
    </w:p>
    <w:p w14:paraId="45B3076B" w14:textId="77777777" w:rsidR="00D514DE" w:rsidRPr="00AF206D" w:rsidRDefault="00D514DE" w:rsidP="00D514DE">
      <w:pPr>
        <w:pStyle w:val="ListParagraph"/>
        <w:numPr>
          <w:ilvl w:val="0"/>
          <w:numId w:val="3"/>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Creates credible risk to safety, compliance, or organizational trust</w:t>
      </w:r>
    </w:p>
    <w:p w14:paraId="00307B0D" w14:textId="77777777" w:rsidR="00D514DE" w:rsidRPr="00AF206D" w:rsidRDefault="00D514DE" w:rsidP="00D514DE">
      <w:pPr>
        <w:spacing w:after="120"/>
        <w:rPr>
          <w:rFonts w:ascii="Calibri" w:hAnsi="Calibri" w:cs="Calibri"/>
          <w:color w:val="000000" w:themeColor="text1"/>
        </w:rPr>
      </w:pPr>
    </w:p>
    <w:p w14:paraId="5EED59C4"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This distinction reduces bias and strengthens defensibility.</w:t>
      </w:r>
    </w:p>
    <w:p w14:paraId="5299AF50" w14:textId="77777777" w:rsidR="00D514DE" w:rsidRPr="00AF206D" w:rsidRDefault="00D514DE" w:rsidP="00D514DE">
      <w:pPr>
        <w:rPr>
          <w:rFonts w:ascii="Calibri" w:hAnsi="Calibri" w:cs="Calibri"/>
        </w:rPr>
      </w:pPr>
      <w:r w:rsidRPr="00AF206D">
        <w:rPr>
          <w:rFonts w:ascii="Calibri" w:hAnsi="Calibri" w:cs="Calibri"/>
          <w:b/>
          <w:bCs/>
          <w:color w:val="000000" w:themeColor="text1"/>
          <w:sz w:val="32"/>
          <w:szCs w:val="32"/>
        </w:rPr>
        <w:t>Section 4: Professional Conduct Standards</w:t>
      </w:r>
    </w:p>
    <w:p w14:paraId="6CE762A2"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While [Organization Name] respects personal privacy and freedom of expression, employees and candidates should be mindful that social media activity is often public and can reflect on the organization.</w:t>
      </w:r>
    </w:p>
    <w:p w14:paraId="03BFC123" w14:textId="77777777" w:rsidR="00D514DE" w:rsidRPr="00AF206D" w:rsidRDefault="00D514DE" w:rsidP="00D514DE">
      <w:pPr>
        <w:pStyle w:val="Heading2"/>
        <w:rPr>
          <w:rFonts w:ascii="Calibri" w:hAnsi="Calibri" w:cs="Calibri"/>
          <w:color w:val="000000" w:themeColor="text1"/>
        </w:rPr>
      </w:pPr>
      <w:r w:rsidRPr="00AF206D">
        <w:rPr>
          <w:rFonts w:ascii="Calibri" w:eastAsia="Arial" w:hAnsi="Calibri" w:cs="Calibri"/>
          <w:b/>
          <w:bCs/>
          <w:color w:val="000000" w:themeColor="text1"/>
          <w:sz w:val="26"/>
          <w:szCs w:val="26"/>
        </w:rPr>
        <w:t>4.1 Respectful Behavior</w:t>
      </w:r>
    </w:p>
    <w:p w14:paraId="6E611EEC"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Employees are expected to maintain respectful, non-harassing, and non-discriminatory conduct in public digital spaces. This includes activity outside of work hours, as public online behavior may still impact workplace culture and organizational trust.</w:t>
      </w:r>
    </w:p>
    <w:p w14:paraId="1EEC4151" w14:textId="77777777" w:rsidR="00D514DE" w:rsidRPr="00AF206D" w:rsidRDefault="00D514DE" w:rsidP="00D514DE">
      <w:pPr>
        <w:pStyle w:val="Heading2"/>
        <w:rPr>
          <w:rFonts w:ascii="Calibri" w:hAnsi="Calibri" w:cs="Calibri"/>
          <w:color w:val="000000" w:themeColor="text1"/>
        </w:rPr>
      </w:pPr>
      <w:r w:rsidRPr="00AF206D">
        <w:rPr>
          <w:rFonts w:ascii="Calibri" w:eastAsia="Arial" w:hAnsi="Calibri" w:cs="Calibri"/>
          <w:b/>
          <w:bCs/>
          <w:color w:val="000000" w:themeColor="text1"/>
          <w:sz w:val="26"/>
          <w:szCs w:val="26"/>
        </w:rPr>
        <w:lastRenderedPageBreak/>
        <w:t>4.2 Brand &amp; Reputation Awareness</w:t>
      </w:r>
    </w:p>
    <w:p w14:paraId="68928462"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Public posts may reflect on the employer, particularly for customer-facing, regulated, or trust-based roles. Employees should consider how public content may be perceived in the context of their professional responsibilities.</w:t>
      </w:r>
    </w:p>
    <w:p w14:paraId="57ED9A23" w14:textId="77777777" w:rsidR="00D514DE" w:rsidRPr="00AF206D" w:rsidRDefault="00D514DE" w:rsidP="00D514DE">
      <w:pPr>
        <w:pStyle w:val="Heading2"/>
        <w:rPr>
          <w:rFonts w:ascii="Calibri" w:hAnsi="Calibri" w:cs="Calibri"/>
          <w:color w:val="000000" w:themeColor="text1"/>
        </w:rPr>
      </w:pPr>
      <w:r w:rsidRPr="00AF206D">
        <w:rPr>
          <w:rFonts w:ascii="Calibri" w:eastAsia="Arial" w:hAnsi="Calibri" w:cs="Calibri"/>
          <w:b/>
          <w:bCs/>
          <w:color w:val="000000" w:themeColor="text1"/>
          <w:sz w:val="26"/>
          <w:szCs w:val="26"/>
        </w:rPr>
        <w:t>4.3 Confidentiality &amp; Compliance</w:t>
      </w:r>
    </w:p>
    <w:p w14:paraId="513F1831"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Employees must not share proprietary information, trade secrets, client data, internal discussions, or any information subject to regulatory protection through social media or public digital channels.</w:t>
      </w:r>
    </w:p>
    <w:p w14:paraId="7C8FE3B8" w14:textId="77777777" w:rsidR="00D514DE" w:rsidRPr="00AF206D" w:rsidRDefault="00D514DE" w:rsidP="00D514DE">
      <w:pPr>
        <w:pStyle w:val="Heading2"/>
        <w:rPr>
          <w:rFonts w:ascii="Calibri" w:hAnsi="Calibri" w:cs="Calibri"/>
          <w:color w:val="000000" w:themeColor="text1"/>
        </w:rPr>
      </w:pPr>
      <w:r w:rsidRPr="00AF206D">
        <w:rPr>
          <w:rFonts w:ascii="Calibri" w:eastAsia="Arial" w:hAnsi="Calibri" w:cs="Calibri"/>
          <w:b/>
          <w:bCs/>
          <w:color w:val="000000" w:themeColor="text1"/>
          <w:sz w:val="26"/>
          <w:szCs w:val="26"/>
        </w:rPr>
        <w:t>4.4 Personal Expression vs. Professional Responsibility</w:t>
      </w:r>
    </w:p>
    <w:p w14:paraId="371FF478"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This policy respects individual voice while defining job-relevant boundaries. When discussing [Organization Name] or industry-related topics publicly, employees should clearly state that views are personal (e.g., “Views are my own”) and must not imply they speak on behalf of the organization unless authorized.</w:t>
      </w:r>
    </w:p>
    <w:p w14:paraId="5FF2655A" w14:textId="77777777" w:rsidR="00D514DE" w:rsidRPr="00AF206D" w:rsidRDefault="00D514DE" w:rsidP="00D514DE">
      <w:pPr>
        <w:pStyle w:val="Heading2"/>
        <w:rPr>
          <w:rFonts w:ascii="Calibri" w:hAnsi="Calibri" w:cs="Calibri"/>
          <w:color w:val="000000" w:themeColor="text1"/>
        </w:rPr>
      </w:pPr>
      <w:r w:rsidRPr="00AF206D">
        <w:rPr>
          <w:rFonts w:ascii="Calibri" w:eastAsia="Arial" w:hAnsi="Calibri" w:cs="Calibri"/>
          <w:b/>
          <w:bCs/>
          <w:color w:val="000000" w:themeColor="text1"/>
          <w:sz w:val="26"/>
          <w:szCs w:val="26"/>
        </w:rPr>
        <w:t>4.5 Consistency &amp; Fairness</w:t>
      </w:r>
    </w:p>
    <w:p w14:paraId="71270BA7" w14:textId="77777777" w:rsidR="00D514DE" w:rsidRPr="00AF206D" w:rsidRDefault="00D514DE" w:rsidP="00D514DE">
      <w:pPr>
        <w:spacing w:after="160" w:line="276" w:lineRule="auto"/>
        <w:rPr>
          <w:rFonts w:ascii="Calibri" w:hAnsi="Calibri" w:cs="Calibri"/>
        </w:rPr>
      </w:pPr>
      <w:r w:rsidRPr="00AF206D">
        <w:rPr>
          <w:rFonts w:ascii="Calibri" w:hAnsi="Calibri" w:cs="Calibri"/>
          <w:color w:val="000000" w:themeColor="text1"/>
        </w:rPr>
        <w:t>Standards defined in this policy apply evenly across roles and individuals. Expectations are designed to reduce bias and ensure consistent application regardless of political viewpoint, personal belief, or background.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14DE" w:rsidRPr="00AF206D" w14:paraId="7B615C80" w14:textId="77777777" w:rsidTr="00981C83">
        <w:tc>
          <w:tcPr>
            <w:tcW w:w="9360" w:type="dxa"/>
            <w:tcBorders>
              <w:top w:val="single" w:sz="1" w:space="0" w:color="D4956A"/>
              <w:left w:val="single" w:sz="1" w:space="0" w:color="D4956A"/>
              <w:bottom w:val="single" w:sz="1" w:space="0" w:color="D4956A"/>
              <w:right w:val="single" w:sz="1" w:space="0" w:color="D4956A"/>
            </w:tcBorders>
            <w:shd w:val="clear" w:color="auto" w:fill="FFF8F0"/>
            <w:tcMar>
              <w:top w:w="120" w:type="dxa"/>
              <w:left w:w="200" w:type="dxa"/>
              <w:bottom w:w="120" w:type="dxa"/>
              <w:right w:w="200" w:type="dxa"/>
            </w:tcMar>
          </w:tcPr>
          <w:p w14:paraId="01F6FD55" w14:textId="77777777" w:rsidR="00D514DE" w:rsidRPr="00AF206D" w:rsidRDefault="00D514DE" w:rsidP="00981C83">
            <w:pPr>
              <w:rPr>
                <w:rFonts w:ascii="Calibri" w:hAnsi="Calibri" w:cs="Calibri"/>
              </w:rPr>
            </w:pPr>
            <w:r w:rsidRPr="00AF206D">
              <w:rPr>
                <w:rFonts w:ascii="Segoe UI Symbol" w:hAnsi="Segoe UI Symbol" w:cs="Segoe UI Symbol"/>
                <w:b/>
                <w:bCs/>
                <w:color w:val="D4956A"/>
                <w:sz w:val="20"/>
                <w:szCs w:val="20"/>
              </w:rPr>
              <w:t>✎</w:t>
            </w:r>
            <w:r w:rsidRPr="00AF206D">
              <w:rPr>
                <w:rFonts w:ascii="Calibri" w:hAnsi="Calibri" w:cs="Calibri"/>
                <w:b/>
                <w:bCs/>
                <w:color w:val="D4956A"/>
                <w:sz w:val="20"/>
                <w:szCs w:val="20"/>
              </w:rPr>
              <w:t xml:space="preserve"> Customize: </w:t>
            </w:r>
            <w:r w:rsidRPr="00AF206D">
              <w:rPr>
                <w:rFonts w:ascii="Calibri" w:hAnsi="Calibri" w:cs="Calibri"/>
                <w:color w:val="555555"/>
                <w:sz w:val="20"/>
                <w:szCs w:val="20"/>
              </w:rPr>
              <w:t>Customize each subsection to reflect your organization’s specific values, industry regulations, and workforce requirements.</w:t>
            </w:r>
          </w:p>
        </w:tc>
      </w:tr>
    </w:tbl>
    <w:p w14:paraId="6126844D" w14:textId="77777777" w:rsidR="00D514DE" w:rsidRDefault="00D514DE" w:rsidP="00D514DE">
      <w:pPr>
        <w:rPr>
          <w:rFonts w:ascii="Calibri" w:hAnsi="Calibri" w:cs="Calibri"/>
        </w:rPr>
      </w:pPr>
    </w:p>
    <w:p w14:paraId="1DAE5AA9" w14:textId="77777777" w:rsidR="00D514DE" w:rsidRPr="00AF206D" w:rsidRDefault="00D514DE" w:rsidP="00D514DE">
      <w:pPr>
        <w:rPr>
          <w:rFonts w:ascii="Calibri" w:hAnsi="Calibri" w:cs="Calibri"/>
        </w:rPr>
      </w:pPr>
      <w:r w:rsidRPr="00AF206D">
        <w:rPr>
          <w:rFonts w:ascii="Calibri" w:hAnsi="Calibri" w:cs="Calibri"/>
          <w:b/>
          <w:bCs/>
          <w:color w:val="000000" w:themeColor="text1"/>
          <w:sz w:val="32"/>
          <w:szCs w:val="32"/>
        </w:rPr>
        <w:t>Section 5: Prohibited Behaviors</w:t>
      </w:r>
    </w:p>
    <w:p w14:paraId="44D8D352"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The following activities are prohibited and may result in disciplinary action (up to and including termination for employees, or disqualification for candidates):</w:t>
      </w:r>
    </w:p>
    <w:p w14:paraId="4D2FC708" w14:textId="77777777" w:rsidR="00D514DE" w:rsidRPr="00AF206D" w:rsidRDefault="00D514DE" w:rsidP="00D514DE">
      <w:pPr>
        <w:spacing w:after="120"/>
        <w:rPr>
          <w:rFonts w:ascii="Calibri" w:hAnsi="Calibri" w:cs="Calibri"/>
          <w:color w:val="000000" w:themeColor="text1"/>
        </w:rPr>
      </w:pPr>
    </w:p>
    <w:p w14:paraId="3CF35A5E" w14:textId="77777777" w:rsidR="00D514DE" w:rsidRPr="00AF206D" w:rsidRDefault="00D514DE" w:rsidP="00D514DE">
      <w:pPr>
        <w:pStyle w:val="ListParagraph"/>
        <w:numPr>
          <w:ilvl w:val="0"/>
          <w:numId w:val="4"/>
        </w:numPr>
        <w:spacing w:after="80" w:line="276" w:lineRule="auto"/>
        <w:contextualSpacing w:val="0"/>
        <w:rPr>
          <w:rFonts w:ascii="Calibri" w:hAnsi="Calibri" w:cs="Calibri"/>
          <w:color w:val="000000" w:themeColor="text1"/>
        </w:rPr>
      </w:pPr>
      <w:r w:rsidRPr="00AF206D">
        <w:rPr>
          <w:rFonts w:ascii="Calibri" w:hAnsi="Calibri" w:cs="Calibri"/>
          <w:b/>
          <w:bCs/>
          <w:color w:val="000000" w:themeColor="text1"/>
        </w:rPr>
        <w:t xml:space="preserve">Discrimination or Harassment: </w:t>
      </w:r>
      <w:r w:rsidRPr="00AF206D">
        <w:rPr>
          <w:rFonts w:ascii="Calibri" w:hAnsi="Calibri" w:cs="Calibri"/>
          <w:color w:val="000000" w:themeColor="text1"/>
        </w:rPr>
        <w:t>Content that discriminates, harasses, or incites violence against individuals or groups based on protected characteristics (e.g., race, ethnicity, gender, sexual orientation, religion, disability).</w:t>
      </w:r>
    </w:p>
    <w:p w14:paraId="5EDEA788" w14:textId="77777777" w:rsidR="00D514DE" w:rsidRPr="00AF206D" w:rsidRDefault="00D514DE" w:rsidP="00D514DE">
      <w:pPr>
        <w:pStyle w:val="ListParagraph"/>
        <w:numPr>
          <w:ilvl w:val="0"/>
          <w:numId w:val="4"/>
        </w:numPr>
        <w:spacing w:after="80" w:line="276" w:lineRule="auto"/>
        <w:contextualSpacing w:val="0"/>
        <w:rPr>
          <w:rFonts w:ascii="Calibri" w:hAnsi="Calibri" w:cs="Calibri"/>
          <w:color w:val="000000" w:themeColor="text1"/>
        </w:rPr>
      </w:pPr>
      <w:r w:rsidRPr="00AF206D">
        <w:rPr>
          <w:rFonts w:ascii="Calibri" w:hAnsi="Calibri" w:cs="Calibri"/>
          <w:b/>
          <w:bCs/>
          <w:color w:val="000000" w:themeColor="text1"/>
        </w:rPr>
        <w:t xml:space="preserve">Disparaging Speech (Hate Speech) or Extremism: </w:t>
      </w:r>
      <w:r w:rsidRPr="00AF206D">
        <w:rPr>
          <w:rFonts w:ascii="Calibri" w:hAnsi="Calibri" w:cs="Calibri"/>
          <w:color w:val="000000" w:themeColor="text1"/>
        </w:rPr>
        <w:t>Posts promoting hate, extremism, or ideologies that advocate harm, including coded language interpreted as such in context.</w:t>
      </w:r>
    </w:p>
    <w:p w14:paraId="1ECDEF04" w14:textId="77777777" w:rsidR="00D514DE" w:rsidRPr="00AF206D" w:rsidRDefault="00D514DE" w:rsidP="00D514DE">
      <w:pPr>
        <w:pStyle w:val="ListParagraph"/>
        <w:numPr>
          <w:ilvl w:val="0"/>
          <w:numId w:val="4"/>
        </w:numPr>
        <w:spacing w:after="80" w:line="276" w:lineRule="auto"/>
        <w:contextualSpacing w:val="0"/>
        <w:rPr>
          <w:rFonts w:ascii="Calibri" w:hAnsi="Calibri" w:cs="Calibri"/>
          <w:color w:val="000000" w:themeColor="text1"/>
        </w:rPr>
      </w:pPr>
      <w:r w:rsidRPr="00AF206D">
        <w:rPr>
          <w:rFonts w:ascii="Calibri" w:hAnsi="Calibri" w:cs="Calibri"/>
          <w:b/>
          <w:bCs/>
          <w:color w:val="000000" w:themeColor="text1"/>
        </w:rPr>
        <w:t xml:space="preserve">Illegal Activity: </w:t>
      </w:r>
      <w:r w:rsidRPr="00AF206D">
        <w:rPr>
          <w:rFonts w:ascii="Calibri" w:hAnsi="Calibri" w:cs="Calibri"/>
          <w:color w:val="000000" w:themeColor="text1"/>
        </w:rPr>
        <w:t>Endorsing or depicting illegal behavior, including fraud, violence, or unlawful substance use.</w:t>
      </w:r>
    </w:p>
    <w:p w14:paraId="5D57216D" w14:textId="77777777" w:rsidR="00D514DE" w:rsidRPr="00AF206D" w:rsidRDefault="00D514DE" w:rsidP="00D514DE">
      <w:pPr>
        <w:pStyle w:val="ListParagraph"/>
        <w:numPr>
          <w:ilvl w:val="0"/>
          <w:numId w:val="4"/>
        </w:numPr>
        <w:spacing w:after="80" w:line="276" w:lineRule="auto"/>
        <w:contextualSpacing w:val="0"/>
        <w:rPr>
          <w:rFonts w:ascii="Calibri" w:hAnsi="Calibri" w:cs="Calibri"/>
          <w:color w:val="000000" w:themeColor="text1"/>
        </w:rPr>
      </w:pPr>
      <w:r w:rsidRPr="00AF206D">
        <w:rPr>
          <w:rFonts w:ascii="Calibri" w:hAnsi="Calibri" w:cs="Calibri"/>
          <w:b/>
          <w:bCs/>
          <w:color w:val="000000" w:themeColor="text1"/>
        </w:rPr>
        <w:t xml:space="preserve">Defamation or Misinformation: </w:t>
      </w:r>
      <w:r w:rsidRPr="00AF206D">
        <w:rPr>
          <w:rFonts w:ascii="Calibri" w:hAnsi="Calibri" w:cs="Calibri"/>
          <w:color w:val="000000" w:themeColor="text1"/>
        </w:rPr>
        <w:t>Spreading knowingly false information that could harm [Organization Name], its employees, or stakeholders.</w:t>
      </w:r>
    </w:p>
    <w:p w14:paraId="72AA3C8B" w14:textId="77777777" w:rsidR="00D514DE" w:rsidRPr="00AF206D" w:rsidRDefault="00D514DE" w:rsidP="00D514DE">
      <w:pPr>
        <w:pStyle w:val="ListParagraph"/>
        <w:numPr>
          <w:ilvl w:val="0"/>
          <w:numId w:val="4"/>
        </w:numPr>
        <w:spacing w:after="80" w:line="276" w:lineRule="auto"/>
        <w:contextualSpacing w:val="0"/>
        <w:rPr>
          <w:rFonts w:ascii="Calibri" w:hAnsi="Calibri" w:cs="Calibri"/>
          <w:color w:val="000000" w:themeColor="text1"/>
        </w:rPr>
      </w:pPr>
      <w:r w:rsidRPr="00AF206D">
        <w:rPr>
          <w:rFonts w:ascii="Calibri" w:hAnsi="Calibri" w:cs="Calibri"/>
          <w:b/>
          <w:bCs/>
          <w:color w:val="000000" w:themeColor="text1"/>
        </w:rPr>
        <w:t xml:space="preserve">Confidentiality Violations: </w:t>
      </w:r>
      <w:r w:rsidRPr="00AF206D">
        <w:rPr>
          <w:rFonts w:ascii="Calibri" w:hAnsi="Calibri" w:cs="Calibri"/>
          <w:color w:val="000000" w:themeColor="text1"/>
        </w:rPr>
        <w:t>Disclosing proprietary information, client data, or internal communications.</w:t>
      </w:r>
    </w:p>
    <w:p w14:paraId="07E19A8F" w14:textId="77777777" w:rsidR="00D514DE" w:rsidRPr="00AF206D" w:rsidRDefault="00D514DE" w:rsidP="00D514DE">
      <w:pPr>
        <w:pStyle w:val="ListParagraph"/>
        <w:numPr>
          <w:ilvl w:val="0"/>
          <w:numId w:val="4"/>
        </w:numPr>
        <w:spacing w:after="80" w:line="276" w:lineRule="auto"/>
        <w:contextualSpacing w:val="0"/>
        <w:rPr>
          <w:rFonts w:ascii="Calibri" w:hAnsi="Calibri" w:cs="Calibri"/>
          <w:color w:val="000000" w:themeColor="text1"/>
        </w:rPr>
      </w:pPr>
      <w:r w:rsidRPr="00AF206D">
        <w:rPr>
          <w:rFonts w:ascii="Calibri" w:hAnsi="Calibri" w:cs="Calibri"/>
          <w:b/>
          <w:bCs/>
          <w:color w:val="000000" w:themeColor="text1"/>
        </w:rPr>
        <w:t xml:space="preserve">Conflicts of Interest: </w:t>
      </w:r>
      <w:r w:rsidRPr="00AF206D">
        <w:rPr>
          <w:rFonts w:ascii="Calibri" w:hAnsi="Calibri" w:cs="Calibri"/>
          <w:color w:val="000000" w:themeColor="text1"/>
        </w:rPr>
        <w:t>Promoting competitors, engaging in unauthorized endorsements, or using company resources for personal gain.</w:t>
      </w:r>
    </w:p>
    <w:p w14:paraId="74F30F60" w14:textId="77777777" w:rsidR="00D514DE" w:rsidRPr="00AF206D" w:rsidRDefault="00D514DE" w:rsidP="00D514DE">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14DE" w:rsidRPr="00AF206D" w14:paraId="72D7D9C7" w14:textId="77777777" w:rsidTr="00981C83">
        <w:tc>
          <w:tcPr>
            <w:tcW w:w="9360" w:type="dxa"/>
            <w:tcBorders>
              <w:top w:val="single" w:sz="1" w:space="0" w:color="2E75B6"/>
              <w:left w:val="single" w:sz="1" w:space="0" w:color="2E75B6"/>
              <w:bottom w:val="single" w:sz="1" w:space="0" w:color="2E75B6"/>
              <w:right w:val="single" w:sz="1" w:space="0" w:color="2E75B6"/>
            </w:tcBorders>
            <w:shd w:val="clear" w:color="auto" w:fill="E8EFF5"/>
            <w:tcMar>
              <w:top w:w="160" w:type="dxa"/>
              <w:left w:w="200" w:type="dxa"/>
              <w:bottom w:w="160" w:type="dxa"/>
              <w:right w:w="200" w:type="dxa"/>
            </w:tcMar>
          </w:tcPr>
          <w:p w14:paraId="2BA1D541" w14:textId="77777777" w:rsidR="00D514DE" w:rsidRPr="00AF206D" w:rsidRDefault="00D514DE" w:rsidP="00981C83">
            <w:pPr>
              <w:spacing w:after="100"/>
              <w:rPr>
                <w:rFonts w:ascii="Calibri" w:hAnsi="Calibri" w:cs="Calibri"/>
              </w:rPr>
            </w:pPr>
            <w:r w:rsidRPr="00AF206D">
              <w:rPr>
                <w:rFonts w:ascii="Calibri" w:hAnsi="Calibri" w:cs="Calibri"/>
                <w:b/>
                <w:bCs/>
                <w:color w:val="1B3A5C"/>
              </w:rPr>
              <w:lastRenderedPageBreak/>
              <w:t>Important Clarification</w:t>
            </w:r>
          </w:p>
          <w:p w14:paraId="7A7EF05B" w14:textId="77777777" w:rsidR="00D514DE" w:rsidRPr="00AF206D" w:rsidRDefault="00D514DE" w:rsidP="00981C83">
            <w:pPr>
              <w:spacing w:after="80" w:line="276" w:lineRule="auto"/>
              <w:rPr>
                <w:rFonts w:ascii="Calibri" w:hAnsi="Calibri" w:cs="Calibri"/>
              </w:rPr>
            </w:pPr>
            <w:r w:rsidRPr="00AF206D">
              <w:rPr>
                <w:rFonts w:ascii="Calibri" w:hAnsi="Calibri" w:cs="Calibri"/>
                <w:color w:val="555555"/>
                <w:sz w:val="20"/>
                <w:szCs w:val="20"/>
              </w:rPr>
              <w:t>Political speech is not inherently prohibited. Personal political beliefs, affiliations, or lawful viewpoints do not automatically constitute misconduct. Prohibited behaviors are defined by conduct — not ideology. Review is appropriate only when behavior materially conflicts with the documented standards above.</w:t>
            </w:r>
          </w:p>
        </w:tc>
      </w:tr>
    </w:tbl>
    <w:p w14:paraId="5DCA97C2" w14:textId="77777777" w:rsidR="00D514DE" w:rsidRPr="00AF206D" w:rsidRDefault="00D514DE" w:rsidP="00D514DE">
      <w:pPr>
        <w:pStyle w:val="Heading1"/>
        <w:rPr>
          <w:rFonts w:ascii="Calibri" w:hAnsi="Calibri" w:cs="Calibri"/>
          <w:color w:val="000000" w:themeColor="text1"/>
        </w:rPr>
      </w:pPr>
      <w:r w:rsidRPr="00AF206D">
        <w:rPr>
          <w:rFonts w:ascii="Calibri" w:eastAsia="Arial" w:hAnsi="Calibri" w:cs="Calibri"/>
          <w:b/>
          <w:bCs/>
          <w:color w:val="000000" w:themeColor="text1"/>
          <w:sz w:val="32"/>
          <w:szCs w:val="32"/>
        </w:rPr>
        <w:t>Section 6: Company Representation on Social Media</w:t>
      </w:r>
    </w:p>
    <w:p w14:paraId="402CE00B" w14:textId="77777777" w:rsidR="00D514DE" w:rsidRPr="00AF206D" w:rsidRDefault="00D514DE" w:rsidP="00D514DE">
      <w:pPr>
        <w:pStyle w:val="ListParagraph"/>
        <w:numPr>
          <w:ilvl w:val="0"/>
          <w:numId w:val="5"/>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Employees authorized to manage official [Organization Name] accounts must adhere to approved messaging guidelines.</w:t>
      </w:r>
    </w:p>
    <w:p w14:paraId="149BD56C" w14:textId="77777777" w:rsidR="00D514DE" w:rsidRPr="00AF206D" w:rsidRDefault="00D514DE" w:rsidP="00D514DE">
      <w:pPr>
        <w:pStyle w:val="ListParagraph"/>
        <w:numPr>
          <w:ilvl w:val="0"/>
          <w:numId w:val="5"/>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Unauthorized representation (e.g., using company logos or implying official endorsement) is prohibited.</w:t>
      </w:r>
    </w:p>
    <w:p w14:paraId="39575864" w14:textId="77777777" w:rsidR="00D514DE" w:rsidRPr="00AF206D" w:rsidRDefault="00D514DE" w:rsidP="00D514DE">
      <w:pPr>
        <w:pStyle w:val="ListParagraph"/>
        <w:numPr>
          <w:ilvl w:val="0"/>
          <w:numId w:val="5"/>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All official posts should reflect [Organization Name]’s values and avoid partisan framing unless directly relevant to business operations.</w:t>
      </w:r>
    </w:p>
    <w:p w14:paraId="66E6CB18" w14:textId="77777777" w:rsidR="00D514DE" w:rsidRPr="00AF206D" w:rsidRDefault="00D514DE" w:rsidP="00D514DE">
      <w:pPr>
        <w:rPr>
          <w:rFonts w:ascii="Calibri" w:hAnsi="Calibri" w:cs="Calibri"/>
          <w:color w:val="000000" w:themeColor="text1"/>
        </w:rPr>
      </w:pPr>
      <w:r w:rsidRPr="00AF206D">
        <w:rPr>
          <w:rFonts w:ascii="Calibri" w:hAnsi="Calibri" w:cs="Calibri"/>
          <w:b/>
          <w:bCs/>
          <w:color w:val="000000" w:themeColor="text1"/>
          <w:sz w:val="32"/>
          <w:szCs w:val="32"/>
        </w:rPr>
        <w:t>Section 7: Monitoring &amp; Enforcement</w:t>
      </w:r>
    </w:p>
    <w:p w14:paraId="3F0A3E98"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[Organization Name] does not actively monitor personal accounts. However, the organization may review publicly available online content:</w:t>
      </w:r>
    </w:p>
    <w:p w14:paraId="0710361F" w14:textId="77777777" w:rsidR="00D514DE" w:rsidRPr="00AF206D" w:rsidRDefault="00D514DE" w:rsidP="00D514DE">
      <w:pPr>
        <w:pStyle w:val="ListParagraph"/>
        <w:numPr>
          <w:ilvl w:val="0"/>
          <w:numId w:val="6"/>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As part of candidate background screening (with applicable notice and consent)</w:t>
      </w:r>
    </w:p>
    <w:p w14:paraId="13F90221" w14:textId="77777777" w:rsidR="00D514DE" w:rsidRPr="00AF206D" w:rsidRDefault="00D514DE" w:rsidP="00D514DE">
      <w:pPr>
        <w:pStyle w:val="ListParagraph"/>
        <w:numPr>
          <w:ilvl w:val="0"/>
          <w:numId w:val="6"/>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In response to reported potential policy violations</w:t>
      </w:r>
    </w:p>
    <w:p w14:paraId="52D36EAC" w14:textId="77777777" w:rsidR="00D514DE" w:rsidRPr="00AF206D" w:rsidRDefault="00D514DE" w:rsidP="00D514DE">
      <w:pPr>
        <w:pStyle w:val="ListParagraph"/>
        <w:numPr>
          <w:ilvl w:val="0"/>
          <w:numId w:val="6"/>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As part of periodic reviews for roles with heightened sensitivity</w:t>
      </w:r>
    </w:p>
    <w:p w14:paraId="1449AFA7" w14:textId="77777777" w:rsidR="00D514DE" w:rsidRPr="00AF206D" w:rsidRDefault="00D514DE" w:rsidP="00D514DE">
      <w:pPr>
        <w:spacing w:after="120"/>
        <w:rPr>
          <w:rFonts w:ascii="Calibri" w:hAnsi="Calibri" w:cs="Calibri"/>
          <w:color w:val="000000" w:themeColor="text1"/>
        </w:rPr>
      </w:pPr>
    </w:p>
    <w:p w14:paraId="69E4541C"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Violations will be addressed through a documented, progressive process: verbal warning, written warning, suspension, or termination, based on severity and frequency.</w:t>
      </w:r>
    </w:p>
    <w:p w14:paraId="777BAA15"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For candidates, material policy misalignment identified through screening may result in further review, additional context-gathering, or withdrawal of an offer, following applicable adverse action procedures.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14DE" w:rsidRPr="00AF206D" w14:paraId="481FC82E" w14:textId="77777777" w:rsidTr="00981C83">
        <w:tc>
          <w:tcPr>
            <w:tcW w:w="9360" w:type="dxa"/>
            <w:tcBorders>
              <w:top w:val="single" w:sz="1" w:space="0" w:color="D4956A"/>
              <w:left w:val="single" w:sz="1" w:space="0" w:color="D4956A"/>
              <w:bottom w:val="single" w:sz="1" w:space="0" w:color="D4956A"/>
              <w:right w:val="single" w:sz="1" w:space="0" w:color="D4956A"/>
            </w:tcBorders>
            <w:shd w:val="clear" w:color="auto" w:fill="FFF8F0"/>
            <w:tcMar>
              <w:top w:w="120" w:type="dxa"/>
              <w:left w:w="200" w:type="dxa"/>
              <w:bottom w:w="120" w:type="dxa"/>
              <w:right w:w="200" w:type="dxa"/>
            </w:tcMar>
          </w:tcPr>
          <w:p w14:paraId="5E38E7C1" w14:textId="77777777" w:rsidR="00D514DE" w:rsidRPr="00AF206D" w:rsidRDefault="00D514DE" w:rsidP="00981C83">
            <w:pPr>
              <w:rPr>
                <w:rFonts w:ascii="Calibri" w:hAnsi="Calibri" w:cs="Calibri"/>
              </w:rPr>
            </w:pPr>
            <w:r w:rsidRPr="00AF206D">
              <w:rPr>
                <w:rFonts w:ascii="Segoe UI Symbol" w:hAnsi="Segoe UI Symbol" w:cs="Segoe UI Symbol"/>
                <w:b/>
                <w:bCs/>
                <w:color w:val="D4956A"/>
                <w:sz w:val="20"/>
                <w:szCs w:val="20"/>
              </w:rPr>
              <w:t>✎</w:t>
            </w:r>
            <w:r w:rsidRPr="00AF206D">
              <w:rPr>
                <w:rFonts w:ascii="Calibri" w:hAnsi="Calibri" w:cs="Calibri"/>
                <w:b/>
                <w:bCs/>
                <w:color w:val="D4956A"/>
                <w:sz w:val="20"/>
                <w:szCs w:val="20"/>
              </w:rPr>
              <w:t xml:space="preserve"> Customize: </w:t>
            </w:r>
            <w:r w:rsidRPr="00AF206D">
              <w:rPr>
                <w:rFonts w:ascii="Calibri" w:hAnsi="Calibri" w:cs="Calibri"/>
                <w:color w:val="555555"/>
                <w:sz w:val="20"/>
                <w:szCs w:val="20"/>
              </w:rPr>
              <w:t>Define your organization’s specific enforcement procedures, including who has authority to investigate and what documentation is required.</w:t>
            </w:r>
          </w:p>
        </w:tc>
      </w:tr>
    </w:tbl>
    <w:p w14:paraId="064F6A3A" w14:textId="77777777" w:rsidR="00D514DE" w:rsidRPr="00AF206D" w:rsidRDefault="00D514DE" w:rsidP="00D514DE">
      <w:pPr>
        <w:pStyle w:val="Heading1"/>
        <w:rPr>
          <w:rFonts w:ascii="Calibri" w:hAnsi="Calibri" w:cs="Calibri"/>
          <w:color w:val="000000" w:themeColor="text1"/>
        </w:rPr>
      </w:pPr>
      <w:r w:rsidRPr="00AF206D">
        <w:rPr>
          <w:rFonts w:ascii="Calibri" w:eastAsia="Arial" w:hAnsi="Calibri" w:cs="Calibri"/>
          <w:b/>
          <w:bCs/>
          <w:color w:val="000000" w:themeColor="text1"/>
          <w:sz w:val="32"/>
          <w:szCs w:val="32"/>
        </w:rPr>
        <w:t>Section 8: Training &amp; Acknowledgment</w:t>
      </w:r>
    </w:p>
    <w:p w14:paraId="2FAADA8F"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All employees must acknowledge this policy upon hire and annually thereafter. Training will be provided on responsible social media use, the standards defined in this policy, and the process for reporting concerns.</w:t>
      </w:r>
    </w:p>
    <w:p w14:paraId="488F6F39"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Employees and candidates are encouraged to report concerns confidentially to [HR Department / designated contact].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14DE" w:rsidRPr="00AF206D" w14:paraId="4E52FBE4" w14:textId="77777777" w:rsidTr="00981C83">
        <w:tc>
          <w:tcPr>
            <w:tcW w:w="9360" w:type="dxa"/>
            <w:tcBorders>
              <w:top w:val="single" w:sz="1" w:space="0" w:color="D4956A"/>
              <w:left w:val="single" w:sz="1" w:space="0" w:color="D4956A"/>
              <w:bottom w:val="single" w:sz="1" w:space="0" w:color="D4956A"/>
              <w:right w:val="single" w:sz="1" w:space="0" w:color="D4956A"/>
            </w:tcBorders>
            <w:shd w:val="clear" w:color="auto" w:fill="FFF8F0"/>
            <w:tcMar>
              <w:top w:w="120" w:type="dxa"/>
              <w:left w:w="200" w:type="dxa"/>
              <w:bottom w:w="120" w:type="dxa"/>
              <w:right w:w="200" w:type="dxa"/>
            </w:tcMar>
          </w:tcPr>
          <w:p w14:paraId="41AABE4A" w14:textId="77777777" w:rsidR="00D514DE" w:rsidRPr="00AF206D" w:rsidRDefault="00D514DE" w:rsidP="00981C83">
            <w:pPr>
              <w:rPr>
                <w:rFonts w:ascii="Calibri" w:hAnsi="Calibri" w:cs="Calibri"/>
              </w:rPr>
            </w:pPr>
            <w:r w:rsidRPr="00AF206D">
              <w:rPr>
                <w:rFonts w:ascii="Segoe UI Symbol" w:hAnsi="Segoe UI Symbol" w:cs="Segoe UI Symbol"/>
                <w:b/>
                <w:bCs/>
                <w:color w:val="D4956A"/>
                <w:sz w:val="20"/>
                <w:szCs w:val="20"/>
              </w:rPr>
              <w:t>✎</w:t>
            </w:r>
            <w:r w:rsidRPr="00AF206D">
              <w:rPr>
                <w:rFonts w:ascii="Calibri" w:hAnsi="Calibri" w:cs="Calibri"/>
                <w:b/>
                <w:bCs/>
                <w:color w:val="D4956A"/>
                <w:sz w:val="20"/>
                <w:szCs w:val="20"/>
              </w:rPr>
              <w:t xml:space="preserve"> Customize: </w:t>
            </w:r>
            <w:r w:rsidRPr="00AF206D">
              <w:rPr>
                <w:rFonts w:ascii="Calibri" w:hAnsi="Calibri" w:cs="Calibri"/>
                <w:color w:val="555555"/>
                <w:sz w:val="20"/>
                <w:szCs w:val="20"/>
              </w:rPr>
              <w:t>Insert your HR department contact information and specify your annual review cycle.</w:t>
            </w:r>
          </w:p>
        </w:tc>
      </w:tr>
    </w:tbl>
    <w:p w14:paraId="60963FF4" w14:textId="77777777" w:rsidR="00D514DE" w:rsidRPr="00AF206D" w:rsidRDefault="00D514DE" w:rsidP="00D514DE">
      <w:pPr>
        <w:rPr>
          <w:rFonts w:ascii="Calibri" w:hAnsi="Calibri" w:cs="Calibri"/>
        </w:rPr>
      </w:pPr>
      <w:r w:rsidRPr="00AF206D">
        <w:rPr>
          <w:rFonts w:ascii="Calibri" w:hAnsi="Calibri" w:cs="Calibri"/>
        </w:rPr>
        <w:br w:type="page"/>
      </w:r>
    </w:p>
    <w:p w14:paraId="7F206394" w14:textId="77777777" w:rsidR="00D514DE" w:rsidRPr="00AF206D" w:rsidRDefault="00D514DE" w:rsidP="00D514DE">
      <w:pPr>
        <w:spacing w:after="300"/>
        <w:rPr>
          <w:rFonts w:ascii="Calibri" w:hAnsi="Calibri" w:cs="Calibri"/>
        </w:rPr>
      </w:pPr>
    </w:p>
    <w:p w14:paraId="18993335" w14:textId="77777777" w:rsidR="00D514DE" w:rsidRPr="00AF206D" w:rsidRDefault="00D514DE" w:rsidP="00D514DE">
      <w:pPr>
        <w:spacing w:after="40"/>
        <w:jc w:val="center"/>
        <w:rPr>
          <w:rFonts w:ascii="Calibri" w:hAnsi="Calibri" w:cs="Calibri"/>
          <w:color w:val="000000" w:themeColor="text1"/>
        </w:rPr>
      </w:pPr>
      <w:r w:rsidRPr="00AF206D">
        <w:rPr>
          <w:rFonts w:ascii="Calibri" w:hAnsi="Calibri" w:cs="Calibri"/>
          <w:b/>
          <w:bCs/>
          <w:color w:val="000000" w:themeColor="text1"/>
          <w:sz w:val="20"/>
          <w:szCs w:val="20"/>
        </w:rPr>
        <w:t>PART 2</w:t>
      </w:r>
    </w:p>
    <w:p w14:paraId="484E3745" w14:textId="77777777" w:rsidR="00D514DE" w:rsidRPr="00AF206D" w:rsidRDefault="00D514DE" w:rsidP="00D514DE">
      <w:pPr>
        <w:spacing w:after="120"/>
        <w:jc w:val="center"/>
        <w:rPr>
          <w:rFonts w:ascii="Calibri" w:hAnsi="Calibri" w:cs="Calibri"/>
          <w:color w:val="000000" w:themeColor="text1"/>
        </w:rPr>
      </w:pPr>
      <w:r w:rsidRPr="00AF206D">
        <w:rPr>
          <w:rFonts w:ascii="Calibri" w:hAnsi="Calibri" w:cs="Calibri"/>
          <w:b/>
          <w:bCs/>
          <w:color w:val="000000" w:themeColor="text1"/>
          <w:sz w:val="36"/>
          <w:szCs w:val="36"/>
        </w:rPr>
        <w:t>Adjudication Framework</w:t>
      </w:r>
    </w:p>
    <w:p w14:paraId="7BAB22B0" w14:textId="77777777" w:rsidR="00D514DE" w:rsidRPr="00AF206D" w:rsidRDefault="00D514DE" w:rsidP="00D514DE">
      <w:pPr>
        <w:spacing w:after="80"/>
        <w:jc w:val="center"/>
        <w:rPr>
          <w:rFonts w:ascii="Calibri" w:hAnsi="Calibri" w:cs="Calibri"/>
          <w:color w:val="000000" w:themeColor="text1"/>
        </w:rPr>
      </w:pPr>
      <w:r w:rsidRPr="00AF206D">
        <w:rPr>
          <w:rFonts w:ascii="Calibri" w:hAnsi="Calibri" w:cs="Calibri"/>
          <w:color w:val="000000" w:themeColor="text1"/>
          <w:sz w:val="22"/>
          <w:szCs w:val="22"/>
        </w:rPr>
        <w:t>How to evaluate screening results against your documented policy.</w:t>
      </w:r>
    </w:p>
    <w:p w14:paraId="6F5EA4DC" w14:textId="77777777" w:rsidR="00D514DE" w:rsidRPr="00AF206D" w:rsidRDefault="00D514DE" w:rsidP="00D514DE">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14DE" w:rsidRPr="00AF206D" w14:paraId="77328F62" w14:textId="77777777" w:rsidTr="00981C83">
        <w:tc>
          <w:tcPr>
            <w:tcW w:w="9360" w:type="dxa"/>
            <w:tcBorders>
              <w:top w:val="single" w:sz="1" w:space="0" w:color="2E75B6"/>
              <w:left w:val="single" w:sz="1" w:space="0" w:color="2E75B6"/>
              <w:bottom w:val="single" w:sz="1" w:space="0" w:color="2E75B6"/>
              <w:right w:val="single" w:sz="1" w:space="0" w:color="2E75B6"/>
            </w:tcBorders>
            <w:shd w:val="clear" w:color="auto" w:fill="E8EFF5"/>
            <w:tcMar>
              <w:top w:w="160" w:type="dxa"/>
              <w:left w:w="200" w:type="dxa"/>
              <w:bottom w:w="160" w:type="dxa"/>
              <w:right w:w="200" w:type="dxa"/>
            </w:tcMar>
          </w:tcPr>
          <w:p w14:paraId="1CE76D8E" w14:textId="77777777" w:rsidR="00D514DE" w:rsidRPr="00AF206D" w:rsidRDefault="00D514DE" w:rsidP="00981C83">
            <w:pPr>
              <w:spacing w:after="100"/>
              <w:rPr>
                <w:rFonts w:ascii="Calibri" w:hAnsi="Calibri" w:cs="Calibri"/>
              </w:rPr>
            </w:pPr>
            <w:r w:rsidRPr="00AF206D">
              <w:rPr>
                <w:rFonts w:ascii="Calibri" w:hAnsi="Calibri" w:cs="Calibri"/>
                <w:b/>
                <w:bCs/>
                <w:color w:val="1B3A5C"/>
              </w:rPr>
              <w:t>How Part 1 and Part 2 Work Together</w:t>
            </w:r>
          </w:p>
          <w:p w14:paraId="7562AE22" w14:textId="77777777" w:rsidR="00D514DE" w:rsidRPr="00AF206D" w:rsidRDefault="00D514DE" w:rsidP="00981C83">
            <w:pPr>
              <w:spacing w:after="80" w:line="276" w:lineRule="auto"/>
              <w:rPr>
                <w:rFonts w:ascii="Calibri" w:hAnsi="Calibri" w:cs="Calibri"/>
              </w:rPr>
            </w:pPr>
            <w:r w:rsidRPr="00AF206D">
              <w:rPr>
                <w:rFonts w:ascii="Calibri" w:hAnsi="Calibri" w:cs="Calibri"/>
                <w:color w:val="555555"/>
                <w:sz w:val="20"/>
                <w:szCs w:val="20"/>
              </w:rPr>
              <w:t>Part 1 defines what your organization expects. Part 2 provides the operational framework for evaluating findings against those expectations.</w:t>
            </w:r>
          </w:p>
          <w:p w14:paraId="65BF4E7A" w14:textId="77777777" w:rsidR="00D514DE" w:rsidRPr="00AF206D" w:rsidRDefault="00D514DE" w:rsidP="00981C83">
            <w:pPr>
              <w:spacing w:after="80" w:line="276" w:lineRule="auto"/>
              <w:rPr>
                <w:rFonts w:ascii="Calibri" w:hAnsi="Calibri" w:cs="Calibri"/>
              </w:rPr>
            </w:pPr>
            <w:r w:rsidRPr="00AF206D">
              <w:rPr>
                <w:rFonts w:ascii="Calibri" w:hAnsi="Calibri" w:cs="Calibri"/>
                <w:color w:val="555555"/>
                <w:sz w:val="20"/>
                <w:szCs w:val="20"/>
              </w:rPr>
              <w:t>The adjudication framework below is designed to map directly to the conduct standards, prohibited behaviors, and enforcement procedures defined in your adopted policy. Organizations that define standards before reviewing results are better positioned to demonstrate consistency, reduce bias, and defend decisions under scrutiny.</w:t>
            </w:r>
          </w:p>
        </w:tc>
      </w:tr>
    </w:tbl>
    <w:p w14:paraId="69B3A679" w14:textId="77777777" w:rsidR="00D514DE" w:rsidRDefault="00D514DE" w:rsidP="00D514DE">
      <w:pPr>
        <w:rPr>
          <w:rFonts w:ascii="Calibri" w:hAnsi="Calibri" w:cs="Calibri"/>
        </w:rPr>
      </w:pPr>
    </w:p>
    <w:p w14:paraId="2C06642C" w14:textId="77777777" w:rsidR="00D514DE" w:rsidRPr="00AF206D" w:rsidRDefault="00D514DE" w:rsidP="00D514DE">
      <w:pPr>
        <w:rPr>
          <w:rFonts w:ascii="Calibri" w:hAnsi="Calibri" w:cs="Calibri"/>
        </w:rPr>
      </w:pPr>
      <w:r w:rsidRPr="00AF206D">
        <w:rPr>
          <w:rFonts w:ascii="Calibri" w:hAnsi="Calibri" w:cs="Calibri"/>
          <w:b/>
          <w:bCs/>
          <w:color w:val="000000" w:themeColor="text1"/>
          <w:sz w:val="32"/>
          <w:szCs w:val="32"/>
        </w:rPr>
        <w:t>Section 9: Behavioral Risk Categorization Model</w:t>
      </w:r>
    </w:p>
    <w:p w14:paraId="0C3DBB43"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The following categorization model supports structured escalation. It is not a hiring decision scale. It is a risk identification framework that informs documented internal review against the conduct standards defined in Part 1.</w:t>
      </w:r>
    </w:p>
    <w:p w14:paraId="3745B38F" w14:textId="77777777" w:rsidR="00D514DE" w:rsidRPr="00AF206D" w:rsidRDefault="00D514DE" w:rsidP="00D514DE">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14DE" w:rsidRPr="00AF206D" w14:paraId="3EA415EE" w14:textId="77777777" w:rsidTr="00981C83">
        <w:tc>
          <w:tcPr>
            <w:tcW w:w="9360" w:type="dxa"/>
            <w:tcBorders>
              <w:top w:val="single" w:sz="1" w:space="0" w:color="2E75B6"/>
              <w:left w:val="single" w:sz="1" w:space="0" w:color="2E75B6"/>
              <w:bottom w:val="single" w:sz="1" w:space="0" w:color="2E75B6"/>
              <w:right w:val="single" w:sz="1" w:space="0" w:color="2E75B6"/>
            </w:tcBorders>
            <w:shd w:val="clear" w:color="auto" w:fill="E8EFF5"/>
            <w:tcMar>
              <w:top w:w="160" w:type="dxa"/>
              <w:left w:w="200" w:type="dxa"/>
              <w:bottom w:w="160" w:type="dxa"/>
              <w:right w:w="200" w:type="dxa"/>
            </w:tcMar>
          </w:tcPr>
          <w:p w14:paraId="080653F6" w14:textId="77777777" w:rsidR="00D514DE" w:rsidRPr="00AF206D" w:rsidRDefault="00D514DE" w:rsidP="00981C83">
            <w:pPr>
              <w:spacing w:after="100"/>
              <w:rPr>
                <w:rFonts w:ascii="Calibri" w:hAnsi="Calibri" w:cs="Calibri"/>
              </w:rPr>
            </w:pPr>
            <w:r w:rsidRPr="00AF206D">
              <w:rPr>
                <w:rFonts w:ascii="Calibri" w:hAnsi="Calibri" w:cs="Calibri"/>
                <w:b/>
                <w:bCs/>
                <w:color w:val="1B3A5C"/>
              </w:rPr>
              <w:t>Pattern vs. Isolated Conduct</w:t>
            </w:r>
          </w:p>
          <w:p w14:paraId="75CFC421" w14:textId="77777777" w:rsidR="00D514DE" w:rsidRPr="00AF206D" w:rsidRDefault="00D514DE" w:rsidP="00981C83">
            <w:pPr>
              <w:spacing w:after="80" w:line="276" w:lineRule="auto"/>
              <w:rPr>
                <w:rFonts w:ascii="Calibri" w:hAnsi="Calibri" w:cs="Calibri"/>
              </w:rPr>
            </w:pPr>
            <w:r w:rsidRPr="00AF206D">
              <w:rPr>
                <w:rFonts w:ascii="Calibri" w:hAnsi="Calibri" w:cs="Calibri"/>
                <w:color w:val="555555"/>
                <w:sz w:val="20"/>
                <w:szCs w:val="20"/>
              </w:rPr>
              <w:t>Single or isolated instances of ambiguous content should default to a lower categorization level. Documented patterns of the same or escalating behavior may warrant a higher categorization. Reviewers should consider frequency, recency, and consistency of conduct when determining whether findings represent a pattern. This distinction helps prevent overreaction to isolated content while ensuring repeated concerning behavior is appropriately escalated.</w:t>
            </w:r>
          </w:p>
        </w:tc>
      </w:tr>
    </w:tbl>
    <w:p w14:paraId="37EA338A" w14:textId="77777777" w:rsidR="00D514DE" w:rsidRPr="00AF206D" w:rsidRDefault="00D514DE" w:rsidP="00D514DE">
      <w:pPr>
        <w:spacing w:after="20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7760"/>
      </w:tblGrid>
      <w:tr w:rsidR="00D514DE" w:rsidRPr="00AF206D" w14:paraId="62CA571C" w14:textId="77777777" w:rsidTr="00981C83">
        <w:tc>
          <w:tcPr>
            <w:tcW w:w="1600" w:type="dxa"/>
            <w:tcBorders>
              <w:top w:val="single" w:sz="4" w:space="0" w:color="5B9BD5"/>
              <w:left w:val="single" w:sz="4" w:space="0" w:color="5B9BD5"/>
              <w:bottom w:val="single" w:sz="4" w:space="0" w:color="5B9BD5"/>
              <w:right w:val="single" w:sz="4" w:space="0" w:color="5B9BD5"/>
            </w:tcBorders>
            <w:shd w:val="clear" w:color="auto" w:fill="5B9BD5"/>
            <w:tcMar>
              <w:top w:w="120" w:type="dxa"/>
              <w:left w:w="120" w:type="dxa"/>
              <w:bottom w:w="120" w:type="dxa"/>
              <w:right w:w="120" w:type="dxa"/>
            </w:tcMar>
            <w:vAlign w:val="center"/>
          </w:tcPr>
          <w:p w14:paraId="2EC7F413" w14:textId="77777777" w:rsidR="00D514DE" w:rsidRPr="00AF206D" w:rsidRDefault="00D514DE" w:rsidP="00981C83">
            <w:pPr>
              <w:jc w:val="center"/>
              <w:rPr>
                <w:rFonts w:ascii="Calibri" w:hAnsi="Calibri" w:cs="Calibri"/>
              </w:rPr>
            </w:pPr>
            <w:r w:rsidRPr="00AF206D">
              <w:rPr>
                <w:rFonts w:ascii="Calibri" w:hAnsi="Calibri" w:cs="Calibri"/>
                <w:b/>
                <w:bCs/>
                <w:color w:val="FFFFFF"/>
                <w:sz w:val="22"/>
                <w:szCs w:val="22"/>
              </w:rPr>
              <w:t>Level 1</w:t>
            </w:r>
          </w:p>
          <w:p w14:paraId="47EB468F" w14:textId="77777777" w:rsidR="00D514DE" w:rsidRPr="00AF206D" w:rsidRDefault="00D514DE" w:rsidP="00981C83">
            <w:pPr>
              <w:jc w:val="center"/>
              <w:rPr>
                <w:rFonts w:ascii="Calibri" w:hAnsi="Calibri" w:cs="Calibri"/>
              </w:rPr>
            </w:pPr>
            <w:r w:rsidRPr="00AF206D">
              <w:rPr>
                <w:rFonts w:ascii="Calibri" w:hAnsi="Calibri" w:cs="Calibri"/>
                <w:color w:val="FFFFFF"/>
                <w:sz w:val="18"/>
                <w:szCs w:val="18"/>
              </w:rPr>
              <w:t>Informational</w:t>
            </w:r>
          </w:p>
        </w:tc>
        <w:tc>
          <w:tcPr>
            <w:tcW w:w="776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27FEA4A2" w14:textId="77777777" w:rsidR="00D514DE" w:rsidRPr="00AF206D" w:rsidRDefault="00D514DE" w:rsidP="00981C83">
            <w:pPr>
              <w:spacing w:after="80"/>
              <w:rPr>
                <w:rFonts w:ascii="Calibri" w:hAnsi="Calibri" w:cs="Calibri"/>
              </w:rPr>
            </w:pPr>
            <w:r w:rsidRPr="00AF206D">
              <w:rPr>
                <w:rFonts w:ascii="Calibri" w:hAnsi="Calibri" w:cs="Calibri"/>
                <w:color w:val="555555"/>
                <w:sz w:val="20"/>
                <w:szCs w:val="20"/>
              </w:rPr>
              <w:t>Isolated or contextual content that does not materially relate to job responsibilities or documented standards defined in Part 1.</w:t>
            </w:r>
          </w:p>
          <w:p w14:paraId="6EFE95AB" w14:textId="77777777" w:rsidR="00D514DE" w:rsidRPr="00AF206D" w:rsidRDefault="00D514DE" w:rsidP="00981C83">
            <w:pPr>
              <w:spacing w:before="80" w:after="40"/>
              <w:rPr>
                <w:rFonts w:ascii="Calibri" w:hAnsi="Calibri" w:cs="Calibri"/>
              </w:rPr>
            </w:pPr>
            <w:r w:rsidRPr="00AF206D">
              <w:rPr>
                <w:rFonts w:ascii="Calibri" w:hAnsi="Calibri" w:cs="Calibri"/>
                <w:b/>
                <w:bCs/>
                <w:color w:val="333333"/>
                <w:sz w:val="20"/>
                <w:szCs w:val="20"/>
              </w:rPr>
              <w:t>Action:</w:t>
            </w:r>
          </w:p>
          <w:p w14:paraId="37C0B184" w14:textId="77777777" w:rsidR="00D514DE" w:rsidRPr="00AF206D" w:rsidRDefault="00D514DE" w:rsidP="00981C83">
            <w:pPr>
              <w:spacing w:after="40"/>
              <w:rPr>
                <w:rFonts w:ascii="Calibri" w:hAnsi="Calibri" w:cs="Calibri"/>
              </w:rPr>
            </w:pPr>
            <w:r w:rsidRPr="00AF206D">
              <w:rPr>
                <w:rFonts w:ascii="Calibri" w:hAnsi="Calibri" w:cs="Calibri"/>
                <w:color w:val="333333"/>
                <w:sz w:val="20"/>
                <w:szCs w:val="20"/>
              </w:rPr>
              <w:t xml:space="preserve">  –  Document review</w:t>
            </w:r>
          </w:p>
          <w:p w14:paraId="7666DA1C" w14:textId="77777777" w:rsidR="00D514DE" w:rsidRPr="00AF206D" w:rsidRDefault="00D514DE" w:rsidP="00981C83">
            <w:pPr>
              <w:spacing w:after="40"/>
              <w:rPr>
                <w:rFonts w:ascii="Calibri" w:hAnsi="Calibri" w:cs="Calibri"/>
              </w:rPr>
            </w:pPr>
            <w:r w:rsidRPr="00AF206D">
              <w:rPr>
                <w:rFonts w:ascii="Calibri" w:hAnsi="Calibri" w:cs="Calibri"/>
                <w:color w:val="333333"/>
                <w:sz w:val="20"/>
                <w:szCs w:val="20"/>
              </w:rPr>
              <w:t xml:space="preserve">  –  No employment impact</w:t>
            </w:r>
          </w:p>
        </w:tc>
      </w:tr>
    </w:tbl>
    <w:p w14:paraId="077CBF71" w14:textId="77777777" w:rsidR="00D514DE" w:rsidRPr="00AF206D" w:rsidRDefault="00D514DE" w:rsidP="00D514DE">
      <w:pPr>
        <w:spacing w:after="20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7760"/>
      </w:tblGrid>
      <w:tr w:rsidR="00D514DE" w:rsidRPr="00AF206D" w14:paraId="43B1F767" w14:textId="77777777" w:rsidTr="00981C83">
        <w:tc>
          <w:tcPr>
            <w:tcW w:w="1600" w:type="dxa"/>
            <w:tcBorders>
              <w:top w:val="single" w:sz="4" w:space="0" w:color="ED7D31"/>
              <w:left w:val="single" w:sz="4" w:space="0" w:color="ED7D31"/>
              <w:bottom w:val="single" w:sz="4" w:space="0" w:color="ED7D31"/>
              <w:right w:val="single" w:sz="4" w:space="0" w:color="ED7D31"/>
            </w:tcBorders>
            <w:shd w:val="clear" w:color="auto" w:fill="ED7D31"/>
            <w:tcMar>
              <w:top w:w="120" w:type="dxa"/>
              <w:left w:w="120" w:type="dxa"/>
              <w:bottom w:w="120" w:type="dxa"/>
              <w:right w:w="120" w:type="dxa"/>
            </w:tcMar>
            <w:vAlign w:val="center"/>
          </w:tcPr>
          <w:p w14:paraId="57C9059A" w14:textId="77777777" w:rsidR="00D514DE" w:rsidRPr="00AF206D" w:rsidRDefault="00D514DE" w:rsidP="00981C83">
            <w:pPr>
              <w:jc w:val="center"/>
              <w:rPr>
                <w:rFonts w:ascii="Calibri" w:hAnsi="Calibri" w:cs="Calibri"/>
              </w:rPr>
            </w:pPr>
            <w:r w:rsidRPr="00AF206D">
              <w:rPr>
                <w:rFonts w:ascii="Calibri" w:hAnsi="Calibri" w:cs="Calibri"/>
                <w:b/>
                <w:bCs/>
                <w:color w:val="FFFFFF"/>
                <w:sz w:val="22"/>
                <w:szCs w:val="22"/>
              </w:rPr>
              <w:t>Level 2</w:t>
            </w:r>
          </w:p>
          <w:p w14:paraId="55E8BD96" w14:textId="77777777" w:rsidR="00D514DE" w:rsidRPr="00AF206D" w:rsidRDefault="00D514DE" w:rsidP="00981C83">
            <w:pPr>
              <w:jc w:val="center"/>
              <w:rPr>
                <w:rFonts w:ascii="Calibri" w:hAnsi="Calibri" w:cs="Calibri"/>
              </w:rPr>
            </w:pPr>
            <w:r w:rsidRPr="00AF206D">
              <w:rPr>
                <w:rFonts w:ascii="Calibri" w:hAnsi="Calibri" w:cs="Calibri"/>
                <w:color w:val="FFFFFF"/>
                <w:sz w:val="18"/>
                <w:szCs w:val="18"/>
              </w:rPr>
              <w:t>Contextual Review</w:t>
            </w:r>
          </w:p>
        </w:tc>
        <w:tc>
          <w:tcPr>
            <w:tcW w:w="776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5CBDF8C2" w14:textId="77777777" w:rsidR="00D514DE" w:rsidRPr="00AF206D" w:rsidRDefault="00D514DE" w:rsidP="00981C83">
            <w:pPr>
              <w:spacing w:after="80"/>
              <w:rPr>
                <w:rFonts w:ascii="Calibri" w:hAnsi="Calibri" w:cs="Calibri"/>
              </w:rPr>
            </w:pPr>
            <w:r w:rsidRPr="00AF206D">
              <w:rPr>
                <w:rFonts w:ascii="Calibri" w:hAnsi="Calibri" w:cs="Calibri"/>
                <w:color w:val="555555"/>
                <w:sz w:val="20"/>
                <w:szCs w:val="20"/>
              </w:rPr>
              <w:t>Ambiguous content or emerging patterns that may require further evaluation. Recency and frequency should be considered when determining whether findings remain at this level or warrant escalation.</w:t>
            </w:r>
          </w:p>
          <w:p w14:paraId="7EFD1F70" w14:textId="77777777" w:rsidR="00D514DE" w:rsidRPr="00AF206D" w:rsidRDefault="00D514DE" w:rsidP="00981C83">
            <w:pPr>
              <w:spacing w:before="80" w:after="40"/>
              <w:rPr>
                <w:rFonts w:ascii="Calibri" w:hAnsi="Calibri" w:cs="Calibri"/>
              </w:rPr>
            </w:pPr>
            <w:r w:rsidRPr="00AF206D">
              <w:rPr>
                <w:rFonts w:ascii="Calibri" w:hAnsi="Calibri" w:cs="Calibri"/>
                <w:b/>
                <w:bCs/>
                <w:color w:val="333333"/>
                <w:sz w:val="20"/>
                <w:szCs w:val="20"/>
              </w:rPr>
              <w:t>Action:</w:t>
            </w:r>
          </w:p>
          <w:p w14:paraId="4FABFA48" w14:textId="77777777" w:rsidR="00D514DE" w:rsidRPr="00AF206D" w:rsidRDefault="00D514DE" w:rsidP="00981C83">
            <w:pPr>
              <w:spacing w:after="40"/>
              <w:rPr>
                <w:rFonts w:ascii="Calibri" w:hAnsi="Calibri" w:cs="Calibri"/>
              </w:rPr>
            </w:pPr>
            <w:r w:rsidRPr="00AF206D">
              <w:rPr>
                <w:rFonts w:ascii="Calibri" w:hAnsi="Calibri" w:cs="Calibri"/>
                <w:color w:val="333333"/>
                <w:sz w:val="20"/>
                <w:szCs w:val="20"/>
              </w:rPr>
              <w:lastRenderedPageBreak/>
              <w:t xml:space="preserve">  –  Escalate to HR or designated reviewer</w:t>
            </w:r>
          </w:p>
          <w:p w14:paraId="13AD79E5" w14:textId="77777777" w:rsidR="00D514DE" w:rsidRPr="00AF206D" w:rsidRDefault="00D514DE" w:rsidP="00981C83">
            <w:pPr>
              <w:spacing w:after="40"/>
              <w:rPr>
                <w:rFonts w:ascii="Calibri" w:hAnsi="Calibri" w:cs="Calibri"/>
              </w:rPr>
            </w:pPr>
            <w:r w:rsidRPr="00AF206D">
              <w:rPr>
                <w:rFonts w:ascii="Calibri" w:hAnsi="Calibri" w:cs="Calibri"/>
                <w:color w:val="333333"/>
                <w:sz w:val="20"/>
                <w:szCs w:val="20"/>
              </w:rPr>
              <w:t xml:space="preserve">  –  Assess in context of role sensitivity</w:t>
            </w:r>
          </w:p>
          <w:p w14:paraId="012A0296" w14:textId="77777777" w:rsidR="00D514DE" w:rsidRPr="00AF206D" w:rsidRDefault="00D514DE" w:rsidP="00981C83">
            <w:pPr>
              <w:spacing w:after="40"/>
              <w:rPr>
                <w:rFonts w:ascii="Calibri" w:hAnsi="Calibri" w:cs="Calibri"/>
              </w:rPr>
            </w:pPr>
            <w:r w:rsidRPr="00AF206D">
              <w:rPr>
                <w:rFonts w:ascii="Calibri" w:hAnsi="Calibri" w:cs="Calibri"/>
                <w:color w:val="333333"/>
                <w:sz w:val="20"/>
                <w:szCs w:val="20"/>
              </w:rPr>
              <w:t xml:space="preserve">  –  Follow internal documentation procedures</w:t>
            </w:r>
          </w:p>
        </w:tc>
      </w:tr>
    </w:tbl>
    <w:p w14:paraId="1D6D0C21" w14:textId="77777777" w:rsidR="00D514DE" w:rsidRPr="00AF206D" w:rsidRDefault="00D514DE" w:rsidP="00D514DE">
      <w:pPr>
        <w:spacing w:after="20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7760"/>
      </w:tblGrid>
      <w:tr w:rsidR="00D514DE" w:rsidRPr="00AF206D" w14:paraId="316735CD" w14:textId="77777777" w:rsidTr="00981C83">
        <w:tc>
          <w:tcPr>
            <w:tcW w:w="1600" w:type="dxa"/>
            <w:tcBorders>
              <w:top w:val="single" w:sz="4" w:space="0" w:color="C55A11"/>
              <w:left w:val="single" w:sz="4" w:space="0" w:color="C55A11"/>
              <w:bottom w:val="single" w:sz="4" w:space="0" w:color="C55A11"/>
              <w:right w:val="single" w:sz="4" w:space="0" w:color="C55A11"/>
            </w:tcBorders>
            <w:shd w:val="clear" w:color="auto" w:fill="C55A11"/>
            <w:tcMar>
              <w:top w:w="120" w:type="dxa"/>
              <w:left w:w="120" w:type="dxa"/>
              <w:bottom w:w="120" w:type="dxa"/>
              <w:right w:w="120" w:type="dxa"/>
            </w:tcMar>
            <w:vAlign w:val="center"/>
          </w:tcPr>
          <w:p w14:paraId="7B770788" w14:textId="77777777" w:rsidR="00D514DE" w:rsidRPr="00AF206D" w:rsidRDefault="00D514DE" w:rsidP="00981C83">
            <w:pPr>
              <w:jc w:val="center"/>
              <w:rPr>
                <w:rFonts w:ascii="Calibri" w:hAnsi="Calibri" w:cs="Calibri"/>
              </w:rPr>
            </w:pPr>
            <w:r w:rsidRPr="00AF206D">
              <w:rPr>
                <w:rFonts w:ascii="Calibri" w:hAnsi="Calibri" w:cs="Calibri"/>
                <w:b/>
                <w:bCs/>
                <w:color w:val="FFFFFF"/>
                <w:sz w:val="22"/>
                <w:szCs w:val="22"/>
              </w:rPr>
              <w:t>Level 3</w:t>
            </w:r>
          </w:p>
          <w:p w14:paraId="2068D96E" w14:textId="77777777" w:rsidR="00D514DE" w:rsidRPr="00AF206D" w:rsidRDefault="00D514DE" w:rsidP="00981C83">
            <w:pPr>
              <w:jc w:val="center"/>
              <w:rPr>
                <w:rFonts w:ascii="Calibri" w:hAnsi="Calibri" w:cs="Calibri"/>
              </w:rPr>
            </w:pPr>
            <w:r w:rsidRPr="00AF206D">
              <w:rPr>
                <w:rFonts w:ascii="Calibri" w:hAnsi="Calibri" w:cs="Calibri"/>
                <w:color w:val="FFFFFF"/>
                <w:sz w:val="18"/>
                <w:szCs w:val="18"/>
              </w:rPr>
              <w:t>Policy Conflict</w:t>
            </w:r>
          </w:p>
        </w:tc>
        <w:tc>
          <w:tcPr>
            <w:tcW w:w="776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716A0F86" w14:textId="77777777" w:rsidR="00D514DE" w:rsidRPr="00AF206D" w:rsidRDefault="00D514DE" w:rsidP="00981C83">
            <w:pPr>
              <w:spacing w:after="80"/>
              <w:rPr>
                <w:rFonts w:ascii="Calibri" w:hAnsi="Calibri" w:cs="Calibri"/>
              </w:rPr>
            </w:pPr>
            <w:r w:rsidRPr="00AF206D">
              <w:rPr>
                <w:rFonts w:ascii="Calibri" w:hAnsi="Calibri" w:cs="Calibri"/>
                <w:color w:val="555555"/>
                <w:sz w:val="20"/>
                <w:szCs w:val="20"/>
              </w:rPr>
              <w:t>Repeated or severe conduct that materially conflicts with workplace standards defined in Part 1 (Sections 4 and 5).</w:t>
            </w:r>
          </w:p>
          <w:p w14:paraId="0CE27B39" w14:textId="77777777" w:rsidR="00D514DE" w:rsidRPr="00AF206D" w:rsidRDefault="00D514DE" w:rsidP="00981C83">
            <w:pPr>
              <w:spacing w:before="80" w:after="40"/>
              <w:rPr>
                <w:rFonts w:ascii="Calibri" w:hAnsi="Calibri" w:cs="Calibri"/>
              </w:rPr>
            </w:pPr>
            <w:r w:rsidRPr="00AF206D">
              <w:rPr>
                <w:rFonts w:ascii="Calibri" w:hAnsi="Calibri" w:cs="Calibri"/>
                <w:color w:val="555555"/>
                <w:sz w:val="20"/>
                <w:szCs w:val="20"/>
              </w:rPr>
              <w:t>Examples may include:</w:t>
            </w:r>
          </w:p>
          <w:p w14:paraId="679DF0A1" w14:textId="77777777" w:rsidR="00D514DE" w:rsidRPr="00AF206D" w:rsidRDefault="00D514DE" w:rsidP="00981C83">
            <w:pPr>
              <w:spacing w:after="40"/>
              <w:rPr>
                <w:rFonts w:ascii="Calibri" w:hAnsi="Calibri" w:cs="Calibri"/>
              </w:rPr>
            </w:pPr>
            <w:r w:rsidRPr="00AF206D">
              <w:rPr>
                <w:rFonts w:ascii="Calibri" w:hAnsi="Calibri" w:cs="Calibri"/>
                <w:color w:val="555555"/>
                <w:sz w:val="20"/>
                <w:szCs w:val="20"/>
              </w:rPr>
              <w:t xml:space="preserve">  –  Repeated harassment targeting protected groups</w:t>
            </w:r>
          </w:p>
          <w:p w14:paraId="31252FCC" w14:textId="77777777" w:rsidR="00D514DE" w:rsidRPr="00AF206D" w:rsidRDefault="00D514DE" w:rsidP="00981C83">
            <w:pPr>
              <w:spacing w:after="40"/>
              <w:rPr>
                <w:rFonts w:ascii="Calibri" w:hAnsi="Calibri" w:cs="Calibri"/>
              </w:rPr>
            </w:pPr>
            <w:r w:rsidRPr="00AF206D">
              <w:rPr>
                <w:rFonts w:ascii="Calibri" w:hAnsi="Calibri" w:cs="Calibri"/>
                <w:color w:val="555555"/>
                <w:sz w:val="20"/>
                <w:szCs w:val="20"/>
              </w:rPr>
              <w:t xml:space="preserve">  –  Public disclosure of confidential employer information</w:t>
            </w:r>
          </w:p>
          <w:p w14:paraId="7AA780BE" w14:textId="77777777" w:rsidR="00D514DE" w:rsidRPr="00AF206D" w:rsidRDefault="00D514DE" w:rsidP="00981C83">
            <w:pPr>
              <w:spacing w:after="40"/>
              <w:rPr>
                <w:rFonts w:ascii="Calibri" w:hAnsi="Calibri" w:cs="Calibri"/>
              </w:rPr>
            </w:pPr>
            <w:r w:rsidRPr="00AF206D">
              <w:rPr>
                <w:rFonts w:ascii="Calibri" w:hAnsi="Calibri" w:cs="Calibri"/>
                <w:color w:val="555555"/>
                <w:sz w:val="20"/>
                <w:szCs w:val="20"/>
              </w:rPr>
              <w:t xml:space="preserve">  –  Repeated advocacy of unlawful conduct</w:t>
            </w:r>
          </w:p>
          <w:p w14:paraId="0702FED9" w14:textId="77777777" w:rsidR="00D514DE" w:rsidRPr="00AF206D" w:rsidRDefault="00D514DE" w:rsidP="00981C83">
            <w:pPr>
              <w:spacing w:before="80" w:after="40"/>
              <w:rPr>
                <w:rFonts w:ascii="Calibri" w:hAnsi="Calibri" w:cs="Calibri"/>
              </w:rPr>
            </w:pPr>
            <w:r w:rsidRPr="00AF206D">
              <w:rPr>
                <w:rFonts w:ascii="Calibri" w:hAnsi="Calibri" w:cs="Calibri"/>
                <w:b/>
                <w:bCs/>
                <w:color w:val="333333"/>
                <w:sz w:val="20"/>
                <w:szCs w:val="20"/>
              </w:rPr>
              <w:t>Action:</w:t>
            </w:r>
          </w:p>
          <w:p w14:paraId="18F78E0C" w14:textId="77777777" w:rsidR="00D514DE" w:rsidRPr="00AF206D" w:rsidRDefault="00D514DE" w:rsidP="00981C83">
            <w:pPr>
              <w:spacing w:after="40"/>
              <w:rPr>
                <w:rFonts w:ascii="Calibri" w:hAnsi="Calibri" w:cs="Calibri"/>
              </w:rPr>
            </w:pPr>
            <w:r w:rsidRPr="00AF206D">
              <w:rPr>
                <w:rFonts w:ascii="Calibri" w:hAnsi="Calibri" w:cs="Calibri"/>
                <w:color w:val="333333"/>
                <w:sz w:val="20"/>
                <w:szCs w:val="20"/>
              </w:rPr>
              <w:t xml:space="preserve">  –  Formal internal review</w:t>
            </w:r>
          </w:p>
          <w:p w14:paraId="6C111336" w14:textId="77777777" w:rsidR="00D514DE" w:rsidRPr="00AF206D" w:rsidRDefault="00D514DE" w:rsidP="00981C83">
            <w:pPr>
              <w:spacing w:after="40"/>
              <w:rPr>
                <w:rFonts w:ascii="Calibri" w:hAnsi="Calibri" w:cs="Calibri"/>
              </w:rPr>
            </w:pPr>
            <w:r w:rsidRPr="00AF206D">
              <w:rPr>
                <w:rFonts w:ascii="Calibri" w:hAnsi="Calibri" w:cs="Calibri"/>
                <w:color w:val="333333"/>
                <w:sz w:val="20"/>
                <w:szCs w:val="20"/>
              </w:rPr>
              <w:t xml:space="preserve">  –  Document policy sections referenced</w:t>
            </w:r>
          </w:p>
          <w:p w14:paraId="661AE8F0" w14:textId="77777777" w:rsidR="00D514DE" w:rsidRPr="00AF206D" w:rsidRDefault="00D514DE" w:rsidP="00981C83">
            <w:pPr>
              <w:spacing w:after="40"/>
              <w:rPr>
                <w:rFonts w:ascii="Calibri" w:hAnsi="Calibri" w:cs="Calibri"/>
              </w:rPr>
            </w:pPr>
            <w:r w:rsidRPr="00AF206D">
              <w:rPr>
                <w:rFonts w:ascii="Calibri" w:hAnsi="Calibri" w:cs="Calibri"/>
                <w:color w:val="333333"/>
                <w:sz w:val="20"/>
                <w:szCs w:val="20"/>
              </w:rPr>
              <w:t xml:space="preserve">  –  Follow applicable compliance procedures</w:t>
            </w:r>
          </w:p>
        </w:tc>
      </w:tr>
    </w:tbl>
    <w:p w14:paraId="5F87C18D" w14:textId="77777777" w:rsidR="00D514DE" w:rsidRPr="00AF206D" w:rsidRDefault="00D514DE" w:rsidP="00D514DE">
      <w:pPr>
        <w:spacing w:after="20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7760"/>
      </w:tblGrid>
      <w:tr w:rsidR="00D514DE" w:rsidRPr="00AF206D" w14:paraId="14C71C32" w14:textId="77777777" w:rsidTr="00981C83">
        <w:tc>
          <w:tcPr>
            <w:tcW w:w="1600" w:type="dxa"/>
            <w:tcBorders>
              <w:top w:val="single" w:sz="4" w:space="0" w:color="C00000"/>
              <w:left w:val="single" w:sz="4" w:space="0" w:color="C00000"/>
              <w:bottom w:val="single" w:sz="4" w:space="0" w:color="C00000"/>
              <w:right w:val="single" w:sz="4" w:space="0" w:color="C00000"/>
            </w:tcBorders>
            <w:shd w:val="clear" w:color="auto" w:fill="C00000"/>
            <w:tcMar>
              <w:top w:w="120" w:type="dxa"/>
              <w:left w:w="120" w:type="dxa"/>
              <w:bottom w:w="120" w:type="dxa"/>
              <w:right w:w="120" w:type="dxa"/>
            </w:tcMar>
            <w:vAlign w:val="center"/>
          </w:tcPr>
          <w:p w14:paraId="76193462" w14:textId="77777777" w:rsidR="00D514DE" w:rsidRPr="00AF206D" w:rsidRDefault="00D514DE" w:rsidP="00981C83">
            <w:pPr>
              <w:jc w:val="center"/>
              <w:rPr>
                <w:rFonts w:ascii="Calibri" w:hAnsi="Calibri" w:cs="Calibri"/>
              </w:rPr>
            </w:pPr>
            <w:r w:rsidRPr="00AF206D">
              <w:rPr>
                <w:rFonts w:ascii="Calibri" w:hAnsi="Calibri" w:cs="Calibri"/>
                <w:b/>
                <w:bCs/>
                <w:color w:val="FFFFFF"/>
                <w:sz w:val="22"/>
                <w:szCs w:val="22"/>
              </w:rPr>
              <w:t>Level 4</w:t>
            </w:r>
          </w:p>
          <w:p w14:paraId="3FFB7E99" w14:textId="77777777" w:rsidR="00D514DE" w:rsidRPr="00AF206D" w:rsidRDefault="00D514DE" w:rsidP="00981C83">
            <w:pPr>
              <w:jc w:val="center"/>
              <w:rPr>
                <w:rFonts w:ascii="Calibri" w:hAnsi="Calibri" w:cs="Calibri"/>
              </w:rPr>
            </w:pPr>
            <w:r w:rsidRPr="00AF206D">
              <w:rPr>
                <w:rFonts w:ascii="Calibri" w:hAnsi="Calibri" w:cs="Calibri"/>
                <w:color w:val="FFFFFF"/>
                <w:sz w:val="18"/>
                <w:szCs w:val="18"/>
              </w:rPr>
              <w:t>Legal / Safety</w:t>
            </w:r>
          </w:p>
        </w:tc>
        <w:tc>
          <w:tcPr>
            <w:tcW w:w="7760" w:type="dxa"/>
            <w:tcBorders>
              <w:top w:val="single" w:sz="1" w:space="0" w:color="CCCCCC"/>
              <w:left w:val="single" w:sz="1" w:space="0" w:color="CCCCCC"/>
              <w:bottom w:val="single" w:sz="1" w:space="0" w:color="CCCCCC"/>
              <w:right w:val="single" w:sz="1" w:space="0" w:color="CCCCCC"/>
            </w:tcBorders>
            <w:tcMar>
              <w:top w:w="120" w:type="dxa"/>
              <w:left w:w="200" w:type="dxa"/>
              <w:bottom w:w="120" w:type="dxa"/>
              <w:right w:w="200" w:type="dxa"/>
            </w:tcMar>
          </w:tcPr>
          <w:p w14:paraId="2E349C1C" w14:textId="77777777" w:rsidR="00D514DE" w:rsidRPr="00AF206D" w:rsidRDefault="00D514DE" w:rsidP="00981C83">
            <w:pPr>
              <w:spacing w:after="80"/>
              <w:rPr>
                <w:rFonts w:ascii="Calibri" w:hAnsi="Calibri" w:cs="Calibri"/>
              </w:rPr>
            </w:pPr>
            <w:r w:rsidRPr="00AF206D">
              <w:rPr>
                <w:rFonts w:ascii="Calibri" w:hAnsi="Calibri" w:cs="Calibri"/>
                <w:color w:val="555555"/>
                <w:sz w:val="20"/>
                <w:szCs w:val="20"/>
              </w:rPr>
              <w:t>Credible threats, unlawful activity, or conduct posing direct safety risk.</w:t>
            </w:r>
          </w:p>
          <w:p w14:paraId="3355A08F" w14:textId="77777777" w:rsidR="00D514DE" w:rsidRPr="00AF206D" w:rsidRDefault="00D514DE" w:rsidP="00981C83">
            <w:pPr>
              <w:spacing w:before="80" w:after="40"/>
              <w:rPr>
                <w:rFonts w:ascii="Calibri" w:hAnsi="Calibri" w:cs="Calibri"/>
              </w:rPr>
            </w:pPr>
            <w:r w:rsidRPr="00AF206D">
              <w:rPr>
                <w:rFonts w:ascii="Calibri" w:hAnsi="Calibri" w:cs="Calibri"/>
                <w:b/>
                <w:bCs/>
                <w:color w:val="333333"/>
                <w:sz w:val="20"/>
                <w:szCs w:val="20"/>
              </w:rPr>
              <w:t>Action:</w:t>
            </w:r>
          </w:p>
          <w:p w14:paraId="76FD653D" w14:textId="77777777" w:rsidR="00D514DE" w:rsidRPr="00AF206D" w:rsidRDefault="00D514DE" w:rsidP="00981C83">
            <w:pPr>
              <w:spacing w:after="40"/>
              <w:rPr>
                <w:rFonts w:ascii="Calibri" w:hAnsi="Calibri" w:cs="Calibri"/>
              </w:rPr>
            </w:pPr>
            <w:r w:rsidRPr="00AF206D">
              <w:rPr>
                <w:rFonts w:ascii="Calibri" w:hAnsi="Calibri" w:cs="Calibri"/>
                <w:color w:val="333333"/>
                <w:sz w:val="20"/>
                <w:szCs w:val="20"/>
              </w:rPr>
              <w:t xml:space="preserve">  –  Immediate escalation to designated compliance authority</w:t>
            </w:r>
          </w:p>
          <w:p w14:paraId="7221C673" w14:textId="77777777" w:rsidR="00D514DE" w:rsidRPr="00AF206D" w:rsidRDefault="00D514DE" w:rsidP="00981C83">
            <w:pPr>
              <w:spacing w:after="40"/>
              <w:rPr>
                <w:rFonts w:ascii="Calibri" w:hAnsi="Calibri" w:cs="Calibri"/>
              </w:rPr>
            </w:pPr>
            <w:r w:rsidRPr="00AF206D">
              <w:rPr>
                <w:rFonts w:ascii="Calibri" w:hAnsi="Calibri" w:cs="Calibri"/>
                <w:color w:val="333333"/>
                <w:sz w:val="20"/>
                <w:szCs w:val="20"/>
              </w:rPr>
              <w:t xml:space="preserve">  –  Follow internal legal and HR procedures</w:t>
            </w:r>
          </w:p>
        </w:tc>
      </w:tr>
    </w:tbl>
    <w:p w14:paraId="35916BBA" w14:textId="77777777" w:rsidR="00D514DE" w:rsidRDefault="00D514DE" w:rsidP="00D514DE">
      <w:pPr>
        <w:rPr>
          <w:rFonts w:ascii="Calibri" w:hAnsi="Calibri" w:cs="Calibri"/>
        </w:rPr>
      </w:pPr>
    </w:p>
    <w:p w14:paraId="26DE95F0" w14:textId="77777777" w:rsidR="00D514DE" w:rsidRPr="00592C91" w:rsidRDefault="00D514DE" w:rsidP="00D514DE">
      <w:pPr>
        <w:rPr>
          <w:rFonts w:ascii="Calibri" w:hAnsi="Calibri" w:cs="Calibri"/>
        </w:rPr>
      </w:pPr>
      <w:r w:rsidRPr="00AF206D">
        <w:rPr>
          <w:rFonts w:ascii="Calibri" w:hAnsi="Calibri" w:cs="Calibri"/>
          <w:b/>
          <w:bCs/>
          <w:color w:val="000000" w:themeColor="text1"/>
          <w:sz w:val="32"/>
          <w:szCs w:val="32"/>
        </w:rPr>
        <w:t>Section 10: Role Sensitivity Calibration</w:t>
      </w:r>
    </w:p>
    <w:p w14:paraId="442AEA16"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Review thresholds may vary depending on role exposure. The same finding may warrant different levels of scrutiny depending on the nature of the position.</w:t>
      </w:r>
    </w:p>
    <w:p w14:paraId="3D6315ED"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Higher scrutiny may apply to:</w:t>
      </w:r>
    </w:p>
    <w:p w14:paraId="1D4CE6F6" w14:textId="77777777" w:rsidR="00D514DE" w:rsidRPr="00AF206D" w:rsidRDefault="00D514DE" w:rsidP="00D514DE">
      <w:pPr>
        <w:pStyle w:val="ListParagraph"/>
        <w:numPr>
          <w:ilvl w:val="0"/>
          <w:numId w:val="7"/>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Public-facing roles</w:t>
      </w:r>
    </w:p>
    <w:p w14:paraId="2A45383F" w14:textId="77777777" w:rsidR="00D514DE" w:rsidRPr="00AF206D" w:rsidRDefault="00D514DE" w:rsidP="00D514DE">
      <w:pPr>
        <w:pStyle w:val="ListParagraph"/>
        <w:numPr>
          <w:ilvl w:val="0"/>
          <w:numId w:val="7"/>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Positions of fiduciary responsibility</w:t>
      </w:r>
    </w:p>
    <w:p w14:paraId="3C8B8A4D" w14:textId="77777777" w:rsidR="00D514DE" w:rsidRPr="00AF206D" w:rsidRDefault="00D514DE" w:rsidP="00D514DE">
      <w:pPr>
        <w:pStyle w:val="ListParagraph"/>
        <w:numPr>
          <w:ilvl w:val="0"/>
          <w:numId w:val="7"/>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Roles involving vulnerable populations</w:t>
      </w:r>
    </w:p>
    <w:p w14:paraId="50457567" w14:textId="77777777" w:rsidR="00D514DE" w:rsidRPr="00AF206D" w:rsidRDefault="00D514DE" w:rsidP="00D514DE">
      <w:pPr>
        <w:pStyle w:val="ListParagraph"/>
        <w:numPr>
          <w:ilvl w:val="0"/>
          <w:numId w:val="7"/>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Regulated or government-aligned positions</w:t>
      </w:r>
    </w:p>
    <w:p w14:paraId="13B5CA8F" w14:textId="77777777" w:rsidR="00D514DE" w:rsidRPr="00AF206D" w:rsidRDefault="00D514DE" w:rsidP="00D514DE">
      <w:pPr>
        <w:spacing w:after="120"/>
        <w:rPr>
          <w:rFonts w:ascii="Calibri" w:hAnsi="Calibri" w:cs="Calibri"/>
          <w:color w:val="000000" w:themeColor="text1"/>
        </w:rPr>
      </w:pPr>
    </w:p>
    <w:p w14:paraId="40289722"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Organizations should define role sensitivity standards prior to reviewing findings.</w:t>
      </w:r>
    </w:p>
    <w:p w14:paraId="703ABC41" w14:textId="77777777" w:rsidR="00D514DE" w:rsidRPr="00AF206D" w:rsidRDefault="00D514DE" w:rsidP="00D514DE">
      <w:pPr>
        <w:rPr>
          <w:rFonts w:ascii="Calibri" w:hAnsi="Calibri" w:cs="Calibri"/>
          <w:color w:val="000000" w:themeColor="text1"/>
        </w:rPr>
      </w:pPr>
      <w:r w:rsidRPr="00AF206D">
        <w:rPr>
          <w:rFonts w:ascii="Calibri" w:hAnsi="Calibri" w:cs="Calibri"/>
          <w:b/>
          <w:bCs/>
          <w:color w:val="000000" w:themeColor="text1"/>
          <w:sz w:val="32"/>
          <w:szCs w:val="32"/>
        </w:rPr>
        <w:t>Section 11: Pre-Review Readiness Check</w:t>
      </w:r>
    </w:p>
    <w:p w14:paraId="1854FFB4"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Before reviewing any screening report or publicly available online content, organizations should confirm the following internal readiness criteria are met. If any item is incomplete, start with Part 1 to establish foundational standards before proceeding.</w:t>
      </w:r>
    </w:p>
    <w:p w14:paraId="0FE25A0F" w14:textId="77777777" w:rsidR="00D514DE" w:rsidRPr="00AF206D" w:rsidRDefault="00D514DE" w:rsidP="00D514DE">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0"/>
        <w:gridCol w:w="8360"/>
      </w:tblGrid>
      <w:tr w:rsidR="00D514DE" w:rsidRPr="00AF206D" w14:paraId="7082D696" w14:textId="77777777" w:rsidTr="00981C83">
        <w:tc>
          <w:tcPr>
            <w:tcW w:w="1000" w:type="dxa"/>
            <w:tcBorders>
              <w:top w:val="single" w:sz="1" w:space="0" w:color="2E75B6"/>
              <w:left w:val="single" w:sz="1" w:space="0" w:color="2E75B6"/>
              <w:bottom w:val="single" w:sz="1" w:space="0" w:color="2E75B6"/>
              <w:right w:val="single" w:sz="1" w:space="0" w:color="2E75B6"/>
            </w:tcBorders>
            <w:shd w:val="clear" w:color="auto" w:fill="1B3A5C"/>
            <w:tcMar>
              <w:top w:w="80" w:type="dxa"/>
              <w:left w:w="120" w:type="dxa"/>
              <w:bottom w:w="80" w:type="dxa"/>
              <w:right w:w="120" w:type="dxa"/>
            </w:tcMar>
          </w:tcPr>
          <w:p w14:paraId="79A5B7BB" w14:textId="77777777" w:rsidR="00D514DE" w:rsidRPr="00AF206D" w:rsidRDefault="00D514DE" w:rsidP="00981C83">
            <w:pPr>
              <w:jc w:val="center"/>
              <w:rPr>
                <w:rFonts w:ascii="Calibri" w:hAnsi="Calibri" w:cs="Calibri"/>
              </w:rPr>
            </w:pPr>
            <w:r w:rsidRPr="00AF206D">
              <w:rPr>
                <w:rFonts w:ascii="Calibri" w:hAnsi="Calibri" w:cs="Calibri"/>
                <w:b/>
                <w:bCs/>
                <w:color w:val="FFFFFF"/>
                <w:sz w:val="18"/>
                <w:szCs w:val="18"/>
              </w:rPr>
              <w:lastRenderedPageBreak/>
              <w:t>Status</w:t>
            </w:r>
          </w:p>
        </w:tc>
        <w:tc>
          <w:tcPr>
            <w:tcW w:w="8360" w:type="dxa"/>
            <w:tcBorders>
              <w:top w:val="single" w:sz="1" w:space="0" w:color="2E75B6"/>
              <w:left w:val="single" w:sz="1" w:space="0" w:color="2E75B6"/>
              <w:bottom w:val="single" w:sz="1" w:space="0" w:color="2E75B6"/>
              <w:right w:val="single" w:sz="1" w:space="0" w:color="2E75B6"/>
            </w:tcBorders>
            <w:shd w:val="clear" w:color="auto" w:fill="1B3A5C"/>
            <w:tcMar>
              <w:top w:w="80" w:type="dxa"/>
              <w:left w:w="120" w:type="dxa"/>
              <w:bottom w:w="80" w:type="dxa"/>
              <w:right w:w="120" w:type="dxa"/>
            </w:tcMar>
          </w:tcPr>
          <w:p w14:paraId="6586694F" w14:textId="77777777" w:rsidR="00D514DE" w:rsidRPr="00AF206D" w:rsidRDefault="00D514DE" w:rsidP="00981C83">
            <w:pPr>
              <w:rPr>
                <w:rFonts w:ascii="Calibri" w:hAnsi="Calibri" w:cs="Calibri"/>
              </w:rPr>
            </w:pPr>
            <w:r w:rsidRPr="00AF206D">
              <w:rPr>
                <w:rFonts w:ascii="Calibri" w:hAnsi="Calibri" w:cs="Calibri"/>
                <w:b/>
                <w:bCs/>
                <w:color w:val="FFFFFF"/>
                <w:sz w:val="18"/>
                <w:szCs w:val="18"/>
              </w:rPr>
              <w:t>Readiness Item</w:t>
            </w:r>
          </w:p>
        </w:tc>
      </w:tr>
      <w:tr w:rsidR="00D514DE" w:rsidRPr="00AF206D" w14:paraId="66799A22"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666F1EFE" w14:textId="77777777" w:rsidR="00D514DE" w:rsidRPr="00AF206D" w:rsidRDefault="00D514DE" w:rsidP="00981C83">
            <w:pPr>
              <w:jc w:val="center"/>
              <w:rPr>
                <w:rFonts w:ascii="Calibri" w:hAnsi="Calibri" w:cs="Calibri"/>
              </w:rPr>
            </w:pPr>
            <w:r w:rsidRPr="00AF206D">
              <w:rPr>
                <w:rFonts w:ascii="Segoe UI Symbol" w:hAnsi="Segoe UI Symbol" w:cs="Segoe UI Symbol"/>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5004E2B2" w14:textId="77777777" w:rsidR="00D514DE" w:rsidRPr="00AF206D" w:rsidRDefault="00D514DE" w:rsidP="00981C83">
            <w:pPr>
              <w:rPr>
                <w:rFonts w:ascii="Calibri" w:hAnsi="Calibri" w:cs="Calibri"/>
              </w:rPr>
            </w:pPr>
            <w:r w:rsidRPr="00AF206D">
              <w:rPr>
                <w:rFonts w:ascii="Calibri" w:hAnsi="Calibri" w:cs="Calibri"/>
                <w:color w:val="333333"/>
                <w:sz w:val="20"/>
                <w:szCs w:val="20"/>
              </w:rPr>
              <w:t>Social Media Conduct Policy (Part 1) has been adopted and distributed</w:t>
            </w:r>
          </w:p>
        </w:tc>
      </w:tr>
      <w:tr w:rsidR="00D514DE" w:rsidRPr="00AF206D" w14:paraId="19EE84E3"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1AF187" w14:textId="77777777" w:rsidR="00D514DE" w:rsidRPr="00AF206D" w:rsidRDefault="00D514DE" w:rsidP="00981C83">
            <w:pPr>
              <w:jc w:val="center"/>
              <w:rPr>
                <w:rFonts w:ascii="Calibri" w:hAnsi="Calibri" w:cs="Calibri"/>
              </w:rPr>
            </w:pPr>
            <w:r w:rsidRPr="00AF206D">
              <w:rPr>
                <w:rFonts w:ascii="Segoe UI Symbol" w:hAnsi="Segoe UI Symbol" w:cs="Segoe UI Symbol"/>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B0A674" w14:textId="77777777" w:rsidR="00D514DE" w:rsidRPr="00AF206D" w:rsidRDefault="00D514DE" w:rsidP="00981C83">
            <w:pPr>
              <w:rPr>
                <w:rFonts w:ascii="Calibri" w:hAnsi="Calibri" w:cs="Calibri"/>
              </w:rPr>
            </w:pPr>
            <w:r w:rsidRPr="00AF206D">
              <w:rPr>
                <w:rFonts w:ascii="Calibri" w:hAnsi="Calibri" w:cs="Calibri"/>
                <w:color w:val="333333"/>
                <w:sz w:val="20"/>
                <w:szCs w:val="20"/>
              </w:rPr>
              <w:t>Documented conduct standards are defined in writing</w:t>
            </w:r>
          </w:p>
        </w:tc>
      </w:tr>
      <w:tr w:rsidR="00D514DE" w:rsidRPr="00AF206D" w14:paraId="513DB7CA"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6E6CBCA6" w14:textId="77777777" w:rsidR="00D514DE" w:rsidRPr="00AF206D" w:rsidRDefault="00D514DE" w:rsidP="00981C83">
            <w:pPr>
              <w:jc w:val="center"/>
              <w:rPr>
                <w:rFonts w:ascii="Calibri" w:hAnsi="Calibri" w:cs="Calibri"/>
              </w:rPr>
            </w:pPr>
            <w:r w:rsidRPr="00AF206D">
              <w:rPr>
                <w:rFonts w:ascii="Segoe UI Symbol" w:hAnsi="Segoe UI Symbol" w:cs="Segoe UI Symbol"/>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5C8E1162" w14:textId="77777777" w:rsidR="00D514DE" w:rsidRPr="00AF206D" w:rsidRDefault="00D514DE" w:rsidP="00981C83">
            <w:pPr>
              <w:rPr>
                <w:rFonts w:ascii="Calibri" w:hAnsi="Calibri" w:cs="Calibri"/>
              </w:rPr>
            </w:pPr>
            <w:r w:rsidRPr="00AF206D">
              <w:rPr>
                <w:rFonts w:ascii="Calibri" w:hAnsi="Calibri" w:cs="Calibri"/>
                <w:color w:val="333333"/>
                <w:sz w:val="20"/>
                <w:szCs w:val="20"/>
              </w:rPr>
              <w:t>A designated reviewer or review panel has been identified</w:t>
            </w:r>
          </w:p>
        </w:tc>
      </w:tr>
      <w:tr w:rsidR="00D514DE" w:rsidRPr="00AF206D" w14:paraId="096AB776"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C09C65" w14:textId="77777777" w:rsidR="00D514DE" w:rsidRPr="00AF206D" w:rsidRDefault="00D514DE" w:rsidP="00981C83">
            <w:pPr>
              <w:jc w:val="center"/>
              <w:rPr>
                <w:rFonts w:ascii="Calibri" w:hAnsi="Calibri" w:cs="Calibri"/>
              </w:rPr>
            </w:pPr>
            <w:r w:rsidRPr="00AF206D">
              <w:rPr>
                <w:rFonts w:ascii="Segoe UI Symbol" w:hAnsi="Segoe UI Symbol" w:cs="Segoe UI Symbol"/>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3CAAA1" w14:textId="77777777" w:rsidR="00D514DE" w:rsidRPr="00AF206D" w:rsidRDefault="00D514DE" w:rsidP="00981C83">
            <w:pPr>
              <w:rPr>
                <w:rFonts w:ascii="Calibri" w:hAnsi="Calibri" w:cs="Calibri"/>
              </w:rPr>
            </w:pPr>
            <w:r w:rsidRPr="00AF206D">
              <w:rPr>
                <w:rFonts w:ascii="Calibri" w:hAnsi="Calibri" w:cs="Calibri"/>
                <w:color w:val="333333"/>
                <w:sz w:val="20"/>
                <w:szCs w:val="20"/>
              </w:rPr>
              <w:t>An internal escalation protocol is established and communicated</w:t>
            </w:r>
          </w:p>
        </w:tc>
      </w:tr>
      <w:tr w:rsidR="00D514DE" w:rsidRPr="00AF206D" w14:paraId="3B402C10"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5E0CDC98" w14:textId="77777777" w:rsidR="00D514DE" w:rsidRPr="00AF206D" w:rsidRDefault="00D514DE" w:rsidP="00981C83">
            <w:pPr>
              <w:jc w:val="center"/>
              <w:rPr>
                <w:rFonts w:ascii="Calibri" w:hAnsi="Calibri" w:cs="Calibri"/>
              </w:rPr>
            </w:pPr>
            <w:r w:rsidRPr="00AF206D">
              <w:rPr>
                <w:rFonts w:ascii="Segoe UI Symbol" w:hAnsi="Segoe UI Symbol" w:cs="Segoe UI Symbol"/>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2E778BEF" w14:textId="77777777" w:rsidR="00D514DE" w:rsidRPr="00AF206D" w:rsidRDefault="00D514DE" w:rsidP="00981C83">
            <w:pPr>
              <w:rPr>
                <w:rFonts w:ascii="Calibri" w:hAnsi="Calibri" w:cs="Calibri"/>
              </w:rPr>
            </w:pPr>
            <w:r w:rsidRPr="00AF206D">
              <w:rPr>
                <w:rFonts w:ascii="Calibri" w:hAnsi="Calibri" w:cs="Calibri"/>
                <w:color w:val="333333"/>
                <w:sz w:val="20"/>
                <w:szCs w:val="20"/>
              </w:rPr>
              <w:t>Documentation procedures are in place for recording review rationale</w:t>
            </w:r>
          </w:p>
        </w:tc>
      </w:tr>
      <w:tr w:rsidR="00D514DE" w:rsidRPr="00AF206D" w14:paraId="57A2E268"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E72C4B" w14:textId="77777777" w:rsidR="00D514DE" w:rsidRPr="00AF206D" w:rsidRDefault="00D514DE" w:rsidP="00981C83">
            <w:pPr>
              <w:jc w:val="center"/>
              <w:rPr>
                <w:rFonts w:ascii="Calibri" w:hAnsi="Calibri" w:cs="Calibri"/>
              </w:rPr>
            </w:pPr>
            <w:r w:rsidRPr="00AF206D">
              <w:rPr>
                <w:rFonts w:ascii="Segoe UI Symbol" w:hAnsi="Segoe UI Symbol" w:cs="Segoe UI Symbol"/>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9B01D9" w14:textId="77777777" w:rsidR="00D514DE" w:rsidRPr="00AF206D" w:rsidRDefault="00D514DE" w:rsidP="00981C83">
            <w:pPr>
              <w:rPr>
                <w:rFonts w:ascii="Calibri" w:hAnsi="Calibri" w:cs="Calibri"/>
              </w:rPr>
            </w:pPr>
            <w:r w:rsidRPr="00AF206D">
              <w:rPr>
                <w:rFonts w:ascii="Calibri" w:hAnsi="Calibri" w:cs="Calibri"/>
                <w:color w:val="333333"/>
                <w:sz w:val="20"/>
                <w:szCs w:val="20"/>
              </w:rPr>
              <w:t>Applicable adverse action and notice requirements are understood</w:t>
            </w:r>
          </w:p>
        </w:tc>
      </w:tr>
      <w:tr w:rsidR="00D514DE" w:rsidRPr="00AF206D" w14:paraId="16DB3ECB"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1ED4A44C" w14:textId="77777777" w:rsidR="00D514DE" w:rsidRPr="00AF206D" w:rsidRDefault="00D514DE" w:rsidP="00981C83">
            <w:pPr>
              <w:jc w:val="center"/>
              <w:rPr>
                <w:rFonts w:ascii="Calibri" w:hAnsi="Calibri" w:cs="Calibri"/>
              </w:rPr>
            </w:pPr>
            <w:r w:rsidRPr="00AF206D">
              <w:rPr>
                <w:rFonts w:ascii="Segoe UI Symbol" w:hAnsi="Segoe UI Symbol" w:cs="Segoe UI Symbol"/>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5EAFBC64" w14:textId="77777777" w:rsidR="00D514DE" w:rsidRPr="00AF206D" w:rsidRDefault="00D514DE" w:rsidP="00981C83">
            <w:pPr>
              <w:rPr>
                <w:rFonts w:ascii="Calibri" w:hAnsi="Calibri" w:cs="Calibri"/>
              </w:rPr>
            </w:pPr>
            <w:r w:rsidRPr="00AF206D">
              <w:rPr>
                <w:rFonts w:ascii="Calibri" w:hAnsi="Calibri" w:cs="Calibri"/>
                <w:color w:val="333333"/>
                <w:sz w:val="20"/>
                <w:szCs w:val="20"/>
              </w:rPr>
              <w:t>Role sensitivity standards have been defined for the position under review</w:t>
            </w:r>
          </w:p>
        </w:tc>
      </w:tr>
      <w:tr w:rsidR="00D514DE" w:rsidRPr="00AF206D" w14:paraId="14772BFA"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04ABE3" w14:textId="77777777" w:rsidR="00D514DE" w:rsidRPr="00AF206D" w:rsidRDefault="00D514DE" w:rsidP="00981C83">
            <w:pPr>
              <w:jc w:val="center"/>
              <w:rPr>
                <w:rFonts w:ascii="Calibri" w:hAnsi="Calibri" w:cs="Calibri"/>
              </w:rPr>
            </w:pPr>
            <w:r w:rsidRPr="00AF206D">
              <w:rPr>
                <w:rFonts w:ascii="Segoe UI Symbol" w:hAnsi="Segoe UI Symbol" w:cs="Segoe UI Symbol"/>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4321DE" w14:textId="77777777" w:rsidR="00D514DE" w:rsidRPr="00AF206D" w:rsidRDefault="00D514DE" w:rsidP="00981C83">
            <w:pPr>
              <w:rPr>
                <w:rFonts w:ascii="Calibri" w:hAnsi="Calibri" w:cs="Calibri"/>
              </w:rPr>
            </w:pPr>
            <w:r w:rsidRPr="00AF206D">
              <w:rPr>
                <w:rFonts w:ascii="Calibri" w:hAnsi="Calibri" w:cs="Calibri"/>
                <w:color w:val="333333"/>
                <w:sz w:val="20"/>
                <w:szCs w:val="20"/>
              </w:rPr>
              <w:t>Policy has been reviewed by HR leadership and/or legal counsel</w:t>
            </w:r>
          </w:p>
        </w:tc>
      </w:tr>
    </w:tbl>
    <w:p w14:paraId="3ADEBFB5" w14:textId="77777777" w:rsidR="00D514DE" w:rsidRPr="00AF206D" w:rsidRDefault="00D514DE" w:rsidP="00D514DE">
      <w:pPr>
        <w:spacing w:after="120"/>
        <w:rPr>
          <w:rFonts w:ascii="Calibri" w:hAnsi="Calibri" w:cs="Calibr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14DE" w:rsidRPr="00AF206D" w14:paraId="5D467021" w14:textId="77777777" w:rsidTr="00981C83">
        <w:tc>
          <w:tcPr>
            <w:tcW w:w="9360" w:type="dxa"/>
            <w:tcBorders>
              <w:top w:val="single" w:sz="1" w:space="0" w:color="2E75B6"/>
              <w:left w:val="single" w:sz="1" w:space="0" w:color="2E75B6"/>
              <w:bottom w:val="single" w:sz="1" w:space="0" w:color="2E75B6"/>
              <w:right w:val="single" w:sz="1" w:space="0" w:color="2E75B6"/>
            </w:tcBorders>
            <w:shd w:val="clear" w:color="auto" w:fill="E8EFF5"/>
            <w:tcMar>
              <w:top w:w="160" w:type="dxa"/>
              <w:left w:w="200" w:type="dxa"/>
              <w:bottom w:w="160" w:type="dxa"/>
              <w:right w:w="200" w:type="dxa"/>
            </w:tcMar>
          </w:tcPr>
          <w:p w14:paraId="0E6D4AD7" w14:textId="77777777" w:rsidR="00D514DE" w:rsidRPr="00AF206D" w:rsidRDefault="00D514DE" w:rsidP="00981C83">
            <w:pPr>
              <w:spacing w:after="100"/>
              <w:rPr>
                <w:rFonts w:ascii="Calibri" w:hAnsi="Calibri" w:cs="Calibri"/>
              </w:rPr>
            </w:pPr>
            <w:r w:rsidRPr="00AF206D">
              <w:rPr>
                <w:rFonts w:ascii="Calibri" w:hAnsi="Calibri" w:cs="Calibri"/>
                <w:b/>
                <w:bCs/>
                <w:color w:val="1B3A5C"/>
              </w:rPr>
              <w:t>Why This Matters</w:t>
            </w:r>
          </w:p>
          <w:p w14:paraId="11DCC38B" w14:textId="77777777" w:rsidR="00D514DE" w:rsidRPr="00AF206D" w:rsidRDefault="00D514DE" w:rsidP="00981C83">
            <w:pPr>
              <w:spacing w:after="80" w:line="276" w:lineRule="auto"/>
              <w:rPr>
                <w:rFonts w:ascii="Calibri" w:hAnsi="Calibri" w:cs="Calibri"/>
              </w:rPr>
            </w:pPr>
            <w:r w:rsidRPr="00AF206D">
              <w:rPr>
                <w:rFonts w:ascii="Calibri" w:hAnsi="Calibri" w:cs="Calibri"/>
                <w:color w:val="555555"/>
                <w:sz w:val="20"/>
                <w:szCs w:val="20"/>
              </w:rPr>
              <w:t>Organizations that define standards before reviewing results are better positioned to demonstrate consistency, reduce bias, and defend decisions under scrutiny. This checklist functions as both an internal diagnostic and a quality control step.</w:t>
            </w:r>
          </w:p>
        </w:tc>
      </w:tr>
    </w:tbl>
    <w:p w14:paraId="72488A83" w14:textId="77777777" w:rsidR="00D514DE" w:rsidRDefault="00D514DE" w:rsidP="00D514DE">
      <w:pPr>
        <w:rPr>
          <w:rFonts w:ascii="Calibri" w:hAnsi="Calibri" w:cs="Calibri"/>
        </w:rPr>
      </w:pPr>
    </w:p>
    <w:p w14:paraId="63F6AC56" w14:textId="77777777" w:rsidR="00D514DE" w:rsidRPr="00592C91" w:rsidRDefault="00D514DE" w:rsidP="00D514DE">
      <w:pPr>
        <w:rPr>
          <w:rFonts w:ascii="Calibri" w:hAnsi="Calibri" w:cs="Calibri"/>
        </w:rPr>
      </w:pPr>
      <w:r w:rsidRPr="00AF206D">
        <w:rPr>
          <w:rFonts w:ascii="Calibri" w:hAnsi="Calibri" w:cs="Calibri"/>
          <w:b/>
          <w:bCs/>
          <w:color w:val="000000" w:themeColor="text1"/>
          <w:sz w:val="32"/>
          <w:szCs w:val="32"/>
        </w:rPr>
        <w:t>Section 12: Structured Review Process</w:t>
      </w:r>
    </w:p>
    <w:p w14:paraId="093E5CE7" w14:textId="77777777" w:rsidR="00D514DE" w:rsidRPr="00AF206D" w:rsidRDefault="00D514DE" w:rsidP="00D514DE">
      <w:pPr>
        <w:spacing w:before="200" w:after="120"/>
        <w:rPr>
          <w:rFonts w:ascii="Calibri" w:hAnsi="Calibri" w:cs="Calibri"/>
          <w:color w:val="000000" w:themeColor="text1"/>
        </w:rPr>
      </w:pPr>
      <w:r w:rsidRPr="00AF206D">
        <w:rPr>
          <w:rFonts w:ascii="Calibri" w:hAnsi="Calibri" w:cs="Calibri"/>
          <w:b/>
          <w:bCs/>
          <w:color w:val="000000" w:themeColor="text1"/>
          <w:sz w:val="22"/>
          <w:szCs w:val="22"/>
        </w:rPr>
        <w:t>Step 1: Attribution Verification</w:t>
      </w:r>
    </w:p>
    <w:p w14:paraId="387EAE7C"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Confirm content is credibly associated with the individual. If attribution cannot be established with reasonable confidence, stop and document.</w:t>
      </w:r>
    </w:p>
    <w:p w14:paraId="6EF89719" w14:textId="77777777" w:rsidR="00D514DE" w:rsidRPr="00AF206D" w:rsidRDefault="00D514DE" w:rsidP="00D514DE">
      <w:pPr>
        <w:spacing w:after="120"/>
        <w:rPr>
          <w:rFonts w:ascii="Calibri" w:hAnsi="Calibri" w:cs="Calibri"/>
          <w:color w:val="000000" w:themeColor="text1"/>
        </w:rPr>
      </w:pPr>
    </w:p>
    <w:p w14:paraId="51C981EF" w14:textId="77777777" w:rsidR="00D514DE" w:rsidRPr="00AF206D" w:rsidRDefault="00D514DE" w:rsidP="00D514DE">
      <w:pPr>
        <w:spacing w:before="200" w:after="120"/>
        <w:rPr>
          <w:rFonts w:ascii="Calibri" w:hAnsi="Calibri" w:cs="Calibri"/>
          <w:color w:val="000000" w:themeColor="text1"/>
        </w:rPr>
      </w:pPr>
      <w:r w:rsidRPr="00AF206D">
        <w:rPr>
          <w:rFonts w:ascii="Calibri" w:hAnsi="Calibri" w:cs="Calibri"/>
          <w:b/>
          <w:bCs/>
          <w:color w:val="000000" w:themeColor="text1"/>
          <w:sz w:val="22"/>
          <w:szCs w:val="22"/>
        </w:rPr>
        <w:t>Step 2: Role Relevance Assessment</w:t>
      </w:r>
    </w:p>
    <w:p w14:paraId="3A8A7E39"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Determine whether content materially relates to job responsibilities or the documented workplace standards in Part 1. If content is not role-relevant, document and close.</w:t>
      </w:r>
    </w:p>
    <w:p w14:paraId="6E1926B9" w14:textId="77777777" w:rsidR="00D514DE" w:rsidRPr="00AF206D" w:rsidRDefault="00D514DE" w:rsidP="00D514DE">
      <w:pPr>
        <w:spacing w:after="120"/>
        <w:rPr>
          <w:rFonts w:ascii="Calibri" w:hAnsi="Calibri" w:cs="Calibri"/>
          <w:color w:val="000000" w:themeColor="text1"/>
        </w:rPr>
      </w:pPr>
    </w:p>
    <w:p w14:paraId="55EF7520" w14:textId="77777777" w:rsidR="00D514DE" w:rsidRPr="00AF206D" w:rsidRDefault="00D514DE" w:rsidP="00D514DE">
      <w:pPr>
        <w:spacing w:before="200" w:after="120"/>
        <w:rPr>
          <w:rFonts w:ascii="Calibri" w:hAnsi="Calibri" w:cs="Calibri"/>
          <w:color w:val="000000" w:themeColor="text1"/>
        </w:rPr>
      </w:pPr>
      <w:r w:rsidRPr="00AF206D">
        <w:rPr>
          <w:rFonts w:ascii="Calibri" w:hAnsi="Calibri" w:cs="Calibri"/>
          <w:b/>
          <w:bCs/>
          <w:color w:val="000000" w:themeColor="text1"/>
          <w:sz w:val="22"/>
          <w:szCs w:val="22"/>
        </w:rPr>
        <w:t>Step 3: Risk Categorization</w:t>
      </w:r>
    </w:p>
    <w:p w14:paraId="5E6D3872"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Assign Level 1–4 based on documented standards. Consider the following factors:</w:t>
      </w:r>
    </w:p>
    <w:p w14:paraId="1F1B55DE" w14:textId="77777777" w:rsidR="00D514DE" w:rsidRPr="00AF206D" w:rsidRDefault="00D514DE" w:rsidP="00D514DE">
      <w:pPr>
        <w:pStyle w:val="ListParagraph"/>
        <w:numPr>
          <w:ilvl w:val="0"/>
          <w:numId w:val="8"/>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Severity of the conduct</w:t>
      </w:r>
    </w:p>
    <w:p w14:paraId="76B9E110" w14:textId="77777777" w:rsidR="00D514DE" w:rsidRPr="00AF206D" w:rsidRDefault="00D514DE" w:rsidP="00D514DE">
      <w:pPr>
        <w:pStyle w:val="ListParagraph"/>
        <w:numPr>
          <w:ilvl w:val="0"/>
          <w:numId w:val="8"/>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Whether the finding represents a pattern or an isolated instance</w:t>
      </w:r>
    </w:p>
    <w:p w14:paraId="53FC2496" w14:textId="77777777" w:rsidR="00D514DE" w:rsidRPr="00AF206D" w:rsidRDefault="00D514DE" w:rsidP="00D514DE">
      <w:pPr>
        <w:pStyle w:val="ListParagraph"/>
        <w:numPr>
          <w:ilvl w:val="0"/>
          <w:numId w:val="8"/>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Recency of the content</w:t>
      </w:r>
    </w:p>
    <w:p w14:paraId="0B147F6A" w14:textId="77777777" w:rsidR="00D514DE" w:rsidRPr="00AF206D" w:rsidRDefault="00D514DE" w:rsidP="00D514DE">
      <w:pPr>
        <w:pStyle w:val="ListParagraph"/>
        <w:numPr>
          <w:ilvl w:val="0"/>
          <w:numId w:val="8"/>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Relevance to the specific role under review</w:t>
      </w:r>
    </w:p>
    <w:p w14:paraId="2C68AEB8" w14:textId="77777777" w:rsidR="00D514DE" w:rsidRPr="00AF206D" w:rsidRDefault="00D514DE" w:rsidP="00D514DE">
      <w:pPr>
        <w:pStyle w:val="ListParagraph"/>
        <w:numPr>
          <w:ilvl w:val="0"/>
          <w:numId w:val="8"/>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Which sections of Part 1 (Sections 4–5) are implicated</w:t>
      </w:r>
    </w:p>
    <w:p w14:paraId="47039EF0" w14:textId="77777777" w:rsidR="00D514DE" w:rsidRPr="00AF206D" w:rsidRDefault="00D514DE" w:rsidP="00D514DE">
      <w:pPr>
        <w:spacing w:after="120"/>
        <w:rPr>
          <w:rFonts w:ascii="Calibri" w:hAnsi="Calibri" w:cs="Calibri"/>
          <w:color w:val="000000" w:themeColor="text1"/>
        </w:rPr>
      </w:pPr>
    </w:p>
    <w:p w14:paraId="70F52BB6" w14:textId="77777777" w:rsidR="00D514DE" w:rsidRPr="00AF206D" w:rsidRDefault="00D514DE" w:rsidP="00D514DE">
      <w:pPr>
        <w:spacing w:before="200" w:after="120"/>
        <w:rPr>
          <w:rFonts w:ascii="Calibri" w:hAnsi="Calibri" w:cs="Calibri"/>
          <w:color w:val="000000" w:themeColor="text1"/>
        </w:rPr>
      </w:pPr>
      <w:r w:rsidRPr="00AF206D">
        <w:rPr>
          <w:rFonts w:ascii="Calibri" w:hAnsi="Calibri" w:cs="Calibri"/>
          <w:b/>
          <w:bCs/>
          <w:color w:val="000000" w:themeColor="text1"/>
          <w:sz w:val="22"/>
          <w:szCs w:val="22"/>
        </w:rPr>
        <w:t>Step 4: Escalation</w:t>
      </w:r>
    </w:p>
    <w:p w14:paraId="089ACCBF"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Apply appropriate internal review protocol based on the assigned risk level.</w:t>
      </w:r>
    </w:p>
    <w:p w14:paraId="35AD76F5" w14:textId="77777777" w:rsidR="00D514DE" w:rsidRPr="00AF206D" w:rsidRDefault="00D514DE" w:rsidP="00D514DE">
      <w:pPr>
        <w:spacing w:after="120"/>
        <w:rPr>
          <w:rFonts w:ascii="Calibri" w:hAnsi="Calibri" w:cs="Calibri"/>
          <w:color w:val="000000" w:themeColor="text1"/>
        </w:rPr>
      </w:pPr>
    </w:p>
    <w:p w14:paraId="5AB957FD" w14:textId="77777777" w:rsidR="00D514DE" w:rsidRPr="00AF206D" w:rsidRDefault="00D514DE" w:rsidP="00D514DE">
      <w:pPr>
        <w:spacing w:before="200" w:after="120"/>
        <w:rPr>
          <w:rFonts w:ascii="Calibri" w:hAnsi="Calibri" w:cs="Calibri"/>
          <w:color w:val="000000" w:themeColor="text1"/>
        </w:rPr>
      </w:pPr>
      <w:r w:rsidRPr="00AF206D">
        <w:rPr>
          <w:rFonts w:ascii="Calibri" w:hAnsi="Calibri" w:cs="Calibri"/>
          <w:b/>
          <w:bCs/>
          <w:color w:val="000000" w:themeColor="text1"/>
          <w:sz w:val="22"/>
          <w:szCs w:val="22"/>
        </w:rPr>
        <w:t>Step 5: Documentation</w:t>
      </w:r>
    </w:p>
    <w:p w14:paraId="13716D97"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Record rationale, reviewer identity, date, and policy reference for each review conducted.</w:t>
      </w:r>
    </w:p>
    <w:p w14:paraId="0185E3D2" w14:textId="77777777" w:rsidR="00D514DE" w:rsidRPr="00AF206D" w:rsidRDefault="00D514DE" w:rsidP="00D514DE">
      <w:pPr>
        <w:spacing w:after="120"/>
        <w:rPr>
          <w:rFonts w:ascii="Calibri" w:hAnsi="Calibri" w:cs="Calibri"/>
          <w:color w:val="000000" w:themeColor="text1"/>
        </w:rPr>
      </w:pPr>
    </w:p>
    <w:p w14:paraId="088197FB" w14:textId="77777777" w:rsidR="00D514DE" w:rsidRPr="00AF206D" w:rsidRDefault="00D514DE" w:rsidP="00D514DE">
      <w:pPr>
        <w:spacing w:before="200" w:after="120"/>
        <w:rPr>
          <w:rFonts w:ascii="Calibri" w:hAnsi="Calibri" w:cs="Calibri"/>
          <w:color w:val="000000" w:themeColor="text1"/>
        </w:rPr>
      </w:pPr>
      <w:r w:rsidRPr="00AF206D">
        <w:rPr>
          <w:rFonts w:ascii="Calibri" w:hAnsi="Calibri" w:cs="Calibri"/>
          <w:b/>
          <w:bCs/>
          <w:color w:val="000000" w:themeColor="text1"/>
          <w:sz w:val="22"/>
          <w:szCs w:val="22"/>
        </w:rPr>
        <w:t>Step 6: Compliance</w:t>
      </w:r>
    </w:p>
    <w:p w14:paraId="6EB01D7F"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Follow required adverse action or notice procedures where applicable under federal, state, or local law.</w:t>
      </w:r>
    </w:p>
    <w:p w14:paraId="75688802" w14:textId="77777777" w:rsidR="00D514DE" w:rsidRPr="00AF206D" w:rsidRDefault="00D514DE" w:rsidP="00D514DE">
      <w:pPr>
        <w:rPr>
          <w:rFonts w:ascii="Calibri" w:hAnsi="Calibri" w:cs="Calibri"/>
          <w:color w:val="000000" w:themeColor="text1"/>
        </w:rPr>
      </w:pPr>
      <w:r w:rsidRPr="00AF206D">
        <w:rPr>
          <w:rFonts w:ascii="Calibri" w:hAnsi="Calibri" w:cs="Calibri"/>
          <w:b/>
          <w:bCs/>
          <w:color w:val="000000" w:themeColor="text1"/>
          <w:sz w:val="32"/>
          <w:szCs w:val="32"/>
        </w:rPr>
        <w:t>Section 13: Documentation Template (Internal Use)</w:t>
      </w:r>
    </w:p>
    <w:p w14:paraId="4636A857"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Organizations should maintain a consistent documentation record for each review conducted. The following template may be adapted to internal requirements.</w:t>
      </w:r>
    </w:p>
    <w:p w14:paraId="39E4F5EF" w14:textId="77777777" w:rsidR="00D514DE" w:rsidRPr="00AF206D" w:rsidRDefault="00D514DE" w:rsidP="00D514DE">
      <w:pPr>
        <w:spacing w:after="120"/>
        <w:rPr>
          <w:rFonts w:ascii="Calibri" w:hAnsi="Calibri" w:cs="Calibri"/>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D514DE" w:rsidRPr="00AF206D" w14:paraId="0448C138" w14:textId="77777777" w:rsidTr="00981C83">
        <w:tc>
          <w:tcPr>
            <w:tcW w:w="3200" w:type="dxa"/>
            <w:tcBorders>
              <w:top w:val="single" w:sz="1" w:space="0" w:color="CCCCCC"/>
              <w:left w:val="single" w:sz="1" w:space="0" w:color="CCCCCC"/>
              <w:bottom w:val="single" w:sz="1" w:space="0" w:color="CCCCCC"/>
              <w:right w:val="single" w:sz="1" w:space="0" w:color="CCCCCC"/>
            </w:tcBorders>
            <w:shd w:val="clear" w:color="auto" w:fill="F7F9FB"/>
            <w:tcMar>
              <w:top w:w="100" w:type="dxa"/>
              <w:left w:w="120" w:type="dxa"/>
              <w:bottom w:w="100" w:type="dxa"/>
              <w:right w:w="120" w:type="dxa"/>
            </w:tcMar>
          </w:tcPr>
          <w:p w14:paraId="1FBBB3FC" w14:textId="77777777" w:rsidR="00D514DE" w:rsidRPr="00AF206D" w:rsidRDefault="00D514DE" w:rsidP="00981C83">
            <w:pPr>
              <w:rPr>
                <w:rFonts w:ascii="Calibri" w:hAnsi="Calibri" w:cs="Calibri"/>
                <w:color w:val="000000" w:themeColor="text1"/>
              </w:rPr>
            </w:pPr>
            <w:r w:rsidRPr="00AF206D">
              <w:rPr>
                <w:rFonts w:ascii="Calibri" w:hAnsi="Calibri" w:cs="Calibri"/>
                <w:b/>
                <w:bCs/>
                <w:color w:val="000000" w:themeColor="text1"/>
                <w:sz w:val="20"/>
                <w:szCs w:val="20"/>
              </w:rPr>
              <w:t>Role Evaluated</w:t>
            </w:r>
          </w:p>
        </w:tc>
        <w:tc>
          <w:tcPr>
            <w:tcW w:w="6160" w:type="dxa"/>
            <w:tcBorders>
              <w:top w:val="single" w:sz="1" w:space="0" w:color="CCCCCC"/>
              <w:left w:val="single" w:sz="1" w:space="0" w:color="CCCCCC"/>
              <w:bottom w:val="single" w:sz="1" w:space="0" w:color="CCCCCC"/>
              <w:right w:val="single" w:sz="1" w:space="0" w:color="CCCCCC"/>
            </w:tcBorders>
            <w:shd w:val="clear" w:color="auto" w:fill="F7F9FB"/>
            <w:tcMar>
              <w:top w:w="100" w:type="dxa"/>
              <w:left w:w="120" w:type="dxa"/>
              <w:bottom w:w="100" w:type="dxa"/>
              <w:right w:w="120" w:type="dxa"/>
            </w:tcMar>
          </w:tcPr>
          <w:p w14:paraId="7EF47C12" w14:textId="77777777" w:rsidR="00D514DE" w:rsidRPr="00AF206D" w:rsidRDefault="00D514DE" w:rsidP="00981C83">
            <w:pPr>
              <w:rPr>
                <w:rFonts w:ascii="Calibri" w:hAnsi="Calibri" w:cs="Calibri"/>
                <w:color w:val="000000" w:themeColor="text1"/>
              </w:rPr>
            </w:pPr>
          </w:p>
        </w:tc>
      </w:tr>
      <w:tr w:rsidR="00D514DE" w:rsidRPr="00AF206D" w14:paraId="4C0DBC01" w14:textId="77777777" w:rsidTr="00981C83">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6292C6D" w14:textId="77777777" w:rsidR="00D514DE" w:rsidRPr="00AF206D" w:rsidRDefault="00D514DE" w:rsidP="00981C83">
            <w:pPr>
              <w:rPr>
                <w:rFonts w:ascii="Calibri" w:hAnsi="Calibri" w:cs="Calibri"/>
                <w:color w:val="000000" w:themeColor="text1"/>
              </w:rPr>
            </w:pPr>
            <w:r w:rsidRPr="00AF206D">
              <w:rPr>
                <w:rFonts w:ascii="Calibri" w:hAnsi="Calibri" w:cs="Calibri"/>
                <w:b/>
                <w:bCs/>
                <w:color w:val="000000" w:themeColor="text1"/>
                <w:sz w:val="20"/>
                <w:szCs w:val="20"/>
              </w:rPr>
              <w:t>Policy Section Referenced (Part 1)</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249A3C73" w14:textId="77777777" w:rsidR="00D514DE" w:rsidRPr="00AF206D" w:rsidRDefault="00D514DE" w:rsidP="00981C83">
            <w:pPr>
              <w:rPr>
                <w:rFonts w:ascii="Calibri" w:hAnsi="Calibri" w:cs="Calibri"/>
                <w:color w:val="000000" w:themeColor="text1"/>
              </w:rPr>
            </w:pPr>
          </w:p>
        </w:tc>
      </w:tr>
      <w:tr w:rsidR="00D514DE" w:rsidRPr="00AF206D" w14:paraId="104ACDE7" w14:textId="77777777" w:rsidTr="00981C83">
        <w:tc>
          <w:tcPr>
            <w:tcW w:w="3200" w:type="dxa"/>
            <w:tcBorders>
              <w:top w:val="single" w:sz="1" w:space="0" w:color="CCCCCC"/>
              <w:left w:val="single" w:sz="1" w:space="0" w:color="CCCCCC"/>
              <w:bottom w:val="single" w:sz="1" w:space="0" w:color="CCCCCC"/>
              <w:right w:val="single" w:sz="1" w:space="0" w:color="CCCCCC"/>
            </w:tcBorders>
            <w:shd w:val="clear" w:color="auto" w:fill="F7F9FB"/>
            <w:tcMar>
              <w:top w:w="100" w:type="dxa"/>
              <w:left w:w="120" w:type="dxa"/>
              <w:bottom w:w="100" w:type="dxa"/>
              <w:right w:w="120" w:type="dxa"/>
            </w:tcMar>
          </w:tcPr>
          <w:p w14:paraId="45F23CFE" w14:textId="77777777" w:rsidR="00D514DE" w:rsidRPr="00AF206D" w:rsidRDefault="00D514DE" w:rsidP="00981C83">
            <w:pPr>
              <w:rPr>
                <w:rFonts w:ascii="Calibri" w:hAnsi="Calibri" w:cs="Calibri"/>
                <w:color w:val="000000" w:themeColor="text1"/>
              </w:rPr>
            </w:pPr>
            <w:r w:rsidRPr="00AF206D">
              <w:rPr>
                <w:rFonts w:ascii="Calibri" w:hAnsi="Calibri" w:cs="Calibri"/>
                <w:b/>
                <w:bCs/>
                <w:color w:val="000000" w:themeColor="text1"/>
                <w:sz w:val="20"/>
                <w:szCs w:val="20"/>
              </w:rPr>
              <w:t>Risk Level Assigned (1–4)</w:t>
            </w:r>
          </w:p>
        </w:tc>
        <w:tc>
          <w:tcPr>
            <w:tcW w:w="6160" w:type="dxa"/>
            <w:tcBorders>
              <w:top w:val="single" w:sz="1" w:space="0" w:color="CCCCCC"/>
              <w:left w:val="single" w:sz="1" w:space="0" w:color="CCCCCC"/>
              <w:bottom w:val="single" w:sz="1" w:space="0" w:color="CCCCCC"/>
              <w:right w:val="single" w:sz="1" w:space="0" w:color="CCCCCC"/>
            </w:tcBorders>
            <w:shd w:val="clear" w:color="auto" w:fill="F7F9FB"/>
            <w:tcMar>
              <w:top w:w="100" w:type="dxa"/>
              <w:left w:w="120" w:type="dxa"/>
              <w:bottom w:w="100" w:type="dxa"/>
              <w:right w:w="120" w:type="dxa"/>
            </w:tcMar>
          </w:tcPr>
          <w:p w14:paraId="791AB2D0" w14:textId="77777777" w:rsidR="00D514DE" w:rsidRPr="00AF206D" w:rsidRDefault="00D514DE" w:rsidP="00981C83">
            <w:pPr>
              <w:rPr>
                <w:rFonts w:ascii="Calibri" w:hAnsi="Calibri" w:cs="Calibri"/>
                <w:color w:val="000000" w:themeColor="text1"/>
              </w:rPr>
            </w:pPr>
          </w:p>
        </w:tc>
      </w:tr>
      <w:tr w:rsidR="00D514DE" w:rsidRPr="00AF206D" w14:paraId="24E3A324" w14:textId="77777777" w:rsidTr="00981C83">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20C9BF75" w14:textId="77777777" w:rsidR="00D514DE" w:rsidRPr="00AF206D" w:rsidRDefault="00D514DE" w:rsidP="00981C83">
            <w:pPr>
              <w:rPr>
                <w:rFonts w:ascii="Calibri" w:hAnsi="Calibri" w:cs="Calibri"/>
                <w:color w:val="000000" w:themeColor="text1"/>
              </w:rPr>
            </w:pPr>
            <w:r w:rsidRPr="00AF206D">
              <w:rPr>
                <w:rFonts w:ascii="Calibri" w:hAnsi="Calibri" w:cs="Calibri"/>
                <w:b/>
                <w:bCs/>
                <w:color w:val="000000" w:themeColor="text1"/>
                <w:sz w:val="20"/>
                <w:szCs w:val="20"/>
              </w:rPr>
              <w:t>Summary of Findings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6C2A93E" w14:textId="77777777" w:rsidR="00D514DE" w:rsidRPr="00AF206D" w:rsidRDefault="00D514DE" w:rsidP="00981C83">
            <w:pPr>
              <w:rPr>
                <w:rFonts w:ascii="Calibri" w:hAnsi="Calibri" w:cs="Calibri"/>
                <w:color w:val="000000" w:themeColor="text1"/>
              </w:rPr>
            </w:pPr>
          </w:p>
        </w:tc>
      </w:tr>
      <w:tr w:rsidR="00D514DE" w:rsidRPr="00AF206D" w14:paraId="4268C20F" w14:textId="77777777" w:rsidTr="00981C83">
        <w:tc>
          <w:tcPr>
            <w:tcW w:w="3200" w:type="dxa"/>
            <w:tcBorders>
              <w:top w:val="single" w:sz="1" w:space="0" w:color="CCCCCC"/>
              <w:left w:val="single" w:sz="1" w:space="0" w:color="CCCCCC"/>
              <w:bottom w:val="single" w:sz="1" w:space="0" w:color="CCCCCC"/>
              <w:right w:val="single" w:sz="1" w:space="0" w:color="CCCCCC"/>
            </w:tcBorders>
            <w:shd w:val="clear" w:color="auto" w:fill="F7F9FB"/>
            <w:tcMar>
              <w:top w:w="100" w:type="dxa"/>
              <w:left w:w="120" w:type="dxa"/>
              <w:bottom w:w="100" w:type="dxa"/>
              <w:right w:w="120" w:type="dxa"/>
            </w:tcMar>
          </w:tcPr>
          <w:p w14:paraId="4BF65A0B" w14:textId="77777777" w:rsidR="00D514DE" w:rsidRPr="00AF206D" w:rsidRDefault="00D514DE" w:rsidP="00981C83">
            <w:pPr>
              <w:rPr>
                <w:rFonts w:ascii="Calibri" w:hAnsi="Calibri" w:cs="Calibri"/>
                <w:color w:val="000000" w:themeColor="text1"/>
              </w:rPr>
            </w:pPr>
            <w:r w:rsidRPr="00AF206D">
              <w:rPr>
                <w:rFonts w:ascii="Calibri" w:hAnsi="Calibri" w:cs="Calibri"/>
                <w:b/>
                <w:bCs/>
                <w:color w:val="000000" w:themeColor="text1"/>
                <w:sz w:val="20"/>
                <w:szCs w:val="20"/>
              </w:rPr>
              <w:t>Pattern or Isolated (indicate which)</w:t>
            </w:r>
          </w:p>
        </w:tc>
        <w:tc>
          <w:tcPr>
            <w:tcW w:w="6160" w:type="dxa"/>
            <w:tcBorders>
              <w:top w:val="single" w:sz="1" w:space="0" w:color="CCCCCC"/>
              <w:left w:val="single" w:sz="1" w:space="0" w:color="CCCCCC"/>
              <w:bottom w:val="single" w:sz="1" w:space="0" w:color="CCCCCC"/>
              <w:right w:val="single" w:sz="1" w:space="0" w:color="CCCCCC"/>
            </w:tcBorders>
            <w:shd w:val="clear" w:color="auto" w:fill="F7F9FB"/>
            <w:tcMar>
              <w:top w:w="100" w:type="dxa"/>
              <w:left w:w="120" w:type="dxa"/>
              <w:bottom w:w="100" w:type="dxa"/>
              <w:right w:w="120" w:type="dxa"/>
            </w:tcMar>
          </w:tcPr>
          <w:p w14:paraId="44E93A27" w14:textId="77777777" w:rsidR="00D514DE" w:rsidRPr="00AF206D" w:rsidRDefault="00D514DE" w:rsidP="00981C83">
            <w:pPr>
              <w:rPr>
                <w:rFonts w:ascii="Calibri" w:hAnsi="Calibri" w:cs="Calibri"/>
                <w:color w:val="000000" w:themeColor="text1"/>
              </w:rPr>
            </w:pPr>
          </w:p>
        </w:tc>
      </w:tr>
      <w:tr w:rsidR="00D514DE" w:rsidRPr="00AF206D" w14:paraId="4B407A5E" w14:textId="77777777" w:rsidTr="00981C83">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47E995C3" w14:textId="77777777" w:rsidR="00D514DE" w:rsidRPr="00AF206D" w:rsidRDefault="00D514DE" w:rsidP="00981C83">
            <w:pPr>
              <w:rPr>
                <w:rFonts w:ascii="Calibri" w:hAnsi="Calibri" w:cs="Calibri"/>
                <w:color w:val="000000" w:themeColor="text1"/>
              </w:rPr>
            </w:pPr>
            <w:r w:rsidRPr="00AF206D">
              <w:rPr>
                <w:rFonts w:ascii="Calibri" w:hAnsi="Calibri" w:cs="Calibri"/>
                <w:b/>
                <w:bCs/>
                <w:color w:val="000000" w:themeColor="text1"/>
                <w:sz w:val="20"/>
                <w:szCs w:val="20"/>
              </w:rPr>
              <w:t>Relevance to Role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67232B49" w14:textId="77777777" w:rsidR="00D514DE" w:rsidRPr="00AF206D" w:rsidRDefault="00D514DE" w:rsidP="00981C83">
            <w:pPr>
              <w:rPr>
                <w:rFonts w:ascii="Calibri" w:hAnsi="Calibri" w:cs="Calibri"/>
                <w:color w:val="000000" w:themeColor="text1"/>
              </w:rPr>
            </w:pPr>
          </w:p>
        </w:tc>
      </w:tr>
      <w:tr w:rsidR="00D514DE" w:rsidRPr="00AF206D" w14:paraId="343E486D" w14:textId="77777777" w:rsidTr="00981C83">
        <w:tc>
          <w:tcPr>
            <w:tcW w:w="3200" w:type="dxa"/>
            <w:tcBorders>
              <w:top w:val="single" w:sz="1" w:space="0" w:color="CCCCCC"/>
              <w:left w:val="single" w:sz="1" w:space="0" w:color="CCCCCC"/>
              <w:bottom w:val="single" w:sz="1" w:space="0" w:color="CCCCCC"/>
              <w:right w:val="single" w:sz="1" w:space="0" w:color="CCCCCC"/>
            </w:tcBorders>
            <w:shd w:val="clear" w:color="auto" w:fill="F7F9FB"/>
            <w:tcMar>
              <w:top w:w="100" w:type="dxa"/>
              <w:left w:w="120" w:type="dxa"/>
              <w:bottom w:w="100" w:type="dxa"/>
              <w:right w:w="120" w:type="dxa"/>
            </w:tcMar>
          </w:tcPr>
          <w:p w14:paraId="03A342BE" w14:textId="77777777" w:rsidR="00D514DE" w:rsidRPr="00AF206D" w:rsidRDefault="00D514DE" w:rsidP="00981C83">
            <w:pPr>
              <w:rPr>
                <w:rFonts w:ascii="Calibri" w:hAnsi="Calibri" w:cs="Calibri"/>
                <w:color w:val="000000" w:themeColor="text1"/>
              </w:rPr>
            </w:pPr>
            <w:r w:rsidRPr="00AF206D">
              <w:rPr>
                <w:rFonts w:ascii="Calibri" w:hAnsi="Calibri" w:cs="Calibri"/>
                <w:b/>
                <w:bCs/>
                <w:color w:val="000000" w:themeColor="text1"/>
                <w:sz w:val="20"/>
                <w:szCs w:val="20"/>
              </w:rPr>
              <w:t>Rationale for Assessment</w:t>
            </w:r>
          </w:p>
        </w:tc>
        <w:tc>
          <w:tcPr>
            <w:tcW w:w="6160" w:type="dxa"/>
            <w:tcBorders>
              <w:top w:val="single" w:sz="1" w:space="0" w:color="CCCCCC"/>
              <w:left w:val="single" w:sz="1" w:space="0" w:color="CCCCCC"/>
              <w:bottom w:val="single" w:sz="1" w:space="0" w:color="CCCCCC"/>
              <w:right w:val="single" w:sz="1" w:space="0" w:color="CCCCCC"/>
            </w:tcBorders>
            <w:shd w:val="clear" w:color="auto" w:fill="F7F9FB"/>
            <w:tcMar>
              <w:top w:w="100" w:type="dxa"/>
              <w:left w:w="120" w:type="dxa"/>
              <w:bottom w:w="100" w:type="dxa"/>
              <w:right w:w="120" w:type="dxa"/>
            </w:tcMar>
          </w:tcPr>
          <w:p w14:paraId="2944174A" w14:textId="77777777" w:rsidR="00D514DE" w:rsidRPr="00AF206D" w:rsidRDefault="00D514DE" w:rsidP="00981C83">
            <w:pPr>
              <w:rPr>
                <w:rFonts w:ascii="Calibri" w:hAnsi="Calibri" w:cs="Calibri"/>
                <w:color w:val="000000" w:themeColor="text1"/>
              </w:rPr>
            </w:pPr>
          </w:p>
        </w:tc>
      </w:tr>
      <w:tr w:rsidR="00D514DE" w:rsidRPr="00AF206D" w14:paraId="0AEA754C" w14:textId="77777777" w:rsidTr="00981C83">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46D4F91" w14:textId="77777777" w:rsidR="00D514DE" w:rsidRPr="00AF206D" w:rsidRDefault="00D514DE" w:rsidP="00981C83">
            <w:pPr>
              <w:rPr>
                <w:rFonts w:ascii="Calibri" w:hAnsi="Calibri" w:cs="Calibri"/>
                <w:color w:val="000000" w:themeColor="text1"/>
              </w:rPr>
            </w:pPr>
            <w:r w:rsidRPr="00AF206D">
              <w:rPr>
                <w:rFonts w:ascii="Calibri" w:hAnsi="Calibri" w:cs="Calibri"/>
                <w:b/>
                <w:bCs/>
                <w:color w:val="000000" w:themeColor="text1"/>
                <w:sz w:val="20"/>
                <w:szCs w:val="20"/>
              </w:rPr>
              <w:t>Reviewer Name / Date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09262F1" w14:textId="77777777" w:rsidR="00D514DE" w:rsidRPr="00AF206D" w:rsidRDefault="00D514DE" w:rsidP="00981C83">
            <w:pPr>
              <w:rPr>
                <w:rFonts w:ascii="Calibri" w:hAnsi="Calibri" w:cs="Calibri"/>
                <w:color w:val="000000" w:themeColor="text1"/>
              </w:rPr>
            </w:pPr>
          </w:p>
        </w:tc>
      </w:tr>
      <w:tr w:rsidR="00D514DE" w:rsidRPr="00AF206D" w14:paraId="00B3F2B5" w14:textId="77777777" w:rsidTr="00981C83">
        <w:tc>
          <w:tcPr>
            <w:tcW w:w="3200" w:type="dxa"/>
            <w:tcBorders>
              <w:top w:val="single" w:sz="1" w:space="0" w:color="CCCCCC"/>
              <w:left w:val="single" w:sz="1" w:space="0" w:color="CCCCCC"/>
              <w:bottom w:val="single" w:sz="1" w:space="0" w:color="CCCCCC"/>
              <w:right w:val="single" w:sz="1" w:space="0" w:color="CCCCCC"/>
            </w:tcBorders>
            <w:shd w:val="clear" w:color="auto" w:fill="F7F9FB"/>
            <w:tcMar>
              <w:top w:w="100" w:type="dxa"/>
              <w:left w:w="120" w:type="dxa"/>
              <w:bottom w:w="100" w:type="dxa"/>
              <w:right w:w="120" w:type="dxa"/>
            </w:tcMar>
          </w:tcPr>
          <w:p w14:paraId="5FA28B7F" w14:textId="77777777" w:rsidR="00D514DE" w:rsidRPr="00AF206D" w:rsidRDefault="00D514DE" w:rsidP="00981C83">
            <w:pPr>
              <w:rPr>
                <w:rFonts w:ascii="Calibri" w:hAnsi="Calibri" w:cs="Calibri"/>
                <w:color w:val="000000" w:themeColor="text1"/>
              </w:rPr>
            </w:pPr>
            <w:r w:rsidRPr="00AF206D">
              <w:rPr>
                <w:rFonts w:ascii="Calibri" w:hAnsi="Calibri" w:cs="Calibri"/>
                <w:b/>
                <w:bCs/>
                <w:color w:val="000000" w:themeColor="text1"/>
                <w:sz w:val="20"/>
                <w:szCs w:val="20"/>
              </w:rPr>
              <w:t>Compliance Steps Taken</w:t>
            </w:r>
          </w:p>
        </w:tc>
        <w:tc>
          <w:tcPr>
            <w:tcW w:w="6160" w:type="dxa"/>
            <w:tcBorders>
              <w:top w:val="single" w:sz="1" w:space="0" w:color="CCCCCC"/>
              <w:left w:val="single" w:sz="1" w:space="0" w:color="CCCCCC"/>
              <w:bottom w:val="single" w:sz="1" w:space="0" w:color="CCCCCC"/>
              <w:right w:val="single" w:sz="1" w:space="0" w:color="CCCCCC"/>
            </w:tcBorders>
            <w:shd w:val="clear" w:color="auto" w:fill="F7F9FB"/>
            <w:tcMar>
              <w:top w:w="100" w:type="dxa"/>
              <w:left w:w="120" w:type="dxa"/>
              <w:bottom w:w="100" w:type="dxa"/>
              <w:right w:w="120" w:type="dxa"/>
            </w:tcMar>
          </w:tcPr>
          <w:p w14:paraId="79CE76E4" w14:textId="77777777" w:rsidR="00D514DE" w:rsidRPr="00AF206D" w:rsidRDefault="00D514DE" w:rsidP="00981C83">
            <w:pPr>
              <w:rPr>
                <w:rFonts w:ascii="Calibri" w:hAnsi="Calibri" w:cs="Calibri"/>
                <w:color w:val="000000" w:themeColor="text1"/>
              </w:rPr>
            </w:pPr>
          </w:p>
        </w:tc>
      </w:tr>
    </w:tbl>
    <w:p w14:paraId="1272B032" w14:textId="77777777" w:rsidR="00D514DE" w:rsidRDefault="00D514DE" w:rsidP="00D514DE">
      <w:pPr>
        <w:rPr>
          <w:rFonts w:ascii="Calibri" w:hAnsi="Calibri" w:cs="Calibri"/>
          <w:color w:val="000000" w:themeColor="text1"/>
        </w:rPr>
      </w:pPr>
    </w:p>
    <w:p w14:paraId="54DE289C" w14:textId="77777777" w:rsidR="00D514DE" w:rsidRPr="00AF206D" w:rsidRDefault="00D514DE" w:rsidP="00D514DE">
      <w:pPr>
        <w:rPr>
          <w:rFonts w:ascii="Calibri" w:hAnsi="Calibri" w:cs="Calibri"/>
          <w:color w:val="000000" w:themeColor="text1"/>
        </w:rPr>
      </w:pPr>
      <w:r w:rsidRPr="00AF206D">
        <w:rPr>
          <w:rFonts w:ascii="Calibri" w:hAnsi="Calibri" w:cs="Calibri"/>
          <w:b/>
          <w:bCs/>
          <w:color w:val="000000" w:themeColor="text1"/>
          <w:sz w:val="32"/>
          <w:szCs w:val="32"/>
        </w:rPr>
        <w:t>Section 14: Scenario Applications</w:t>
      </w:r>
    </w:p>
    <w:p w14:paraId="69C8C1B9"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The following scenarios illustrate how the Policy Template (Part 1) and Adjudication Framework (Part 2) work together in practice.</w:t>
      </w:r>
    </w:p>
    <w:p w14:paraId="55BCBEA8" w14:textId="77777777" w:rsidR="00D514DE" w:rsidRPr="00AF206D" w:rsidRDefault="00D514DE" w:rsidP="00D514DE">
      <w:pPr>
        <w:pStyle w:val="Heading2"/>
        <w:rPr>
          <w:rFonts w:ascii="Calibri" w:hAnsi="Calibri" w:cs="Calibri"/>
          <w:color w:val="000000" w:themeColor="text1"/>
        </w:rPr>
      </w:pPr>
      <w:r w:rsidRPr="00AF206D">
        <w:rPr>
          <w:rFonts w:ascii="Calibri" w:eastAsia="Arial" w:hAnsi="Calibri" w:cs="Calibri"/>
          <w:b/>
          <w:bCs/>
          <w:color w:val="000000" w:themeColor="text1"/>
          <w:sz w:val="26"/>
          <w:szCs w:val="26"/>
        </w:rPr>
        <w:t>Scenario A: Political Expression in a Public-Facing Role</w:t>
      </w:r>
    </w:p>
    <w:p w14:paraId="44EB14D0"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Situation: </w:t>
      </w:r>
      <w:r w:rsidRPr="00AF206D">
        <w:rPr>
          <w:rFonts w:ascii="Calibri" w:hAnsi="Calibri" w:cs="Calibri"/>
          <w:color w:val="000000" w:themeColor="text1"/>
        </w:rPr>
        <w:t>A viral social media post surfaces in which a candidate for a customer-facing role expresses support for a political position. The post gains public attention and is shared widely, generating online commentary linking the individual to the hiring organization.</w:t>
      </w:r>
    </w:p>
    <w:p w14:paraId="098A4AFB"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Policy Reference: </w:t>
      </w:r>
      <w:r w:rsidRPr="00AF206D">
        <w:rPr>
          <w:rFonts w:ascii="Calibri" w:hAnsi="Calibri" w:cs="Calibri"/>
          <w:color w:val="000000" w:themeColor="text1"/>
        </w:rPr>
        <w:t>Section 3 (Conduct, Not Ideology). Political belief alone does not constitute a policy violation.</w:t>
      </w:r>
    </w:p>
    <w:p w14:paraId="196B2360"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lastRenderedPageBreak/>
        <w:t xml:space="preserve">Review Pathway: </w:t>
      </w:r>
      <w:r w:rsidRPr="00AF206D">
        <w:rPr>
          <w:rFonts w:ascii="Calibri" w:hAnsi="Calibri" w:cs="Calibri"/>
          <w:color w:val="000000" w:themeColor="text1"/>
        </w:rPr>
        <w:t>Attribution is verified (Step 1). The Role Relevance Assessment (Step 2) considers whether the expression conflicts with any specific conduct standard in Sections 4–5. It does not.</w:t>
      </w:r>
    </w:p>
    <w:p w14:paraId="3E38E973"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Categorization: </w:t>
      </w:r>
      <w:r w:rsidRPr="00AF206D">
        <w:rPr>
          <w:rFonts w:ascii="Calibri" w:hAnsi="Calibri" w:cs="Calibri"/>
          <w:color w:val="000000" w:themeColor="text1"/>
        </w:rPr>
        <w:t>Level 1 (Informational) or Level 2 (Contextual Review) depending on role sensitivity. The review is documented. No adverse employment action is taken.</w:t>
      </w:r>
    </w:p>
    <w:p w14:paraId="2860B6DF"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Outcome: </w:t>
      </w:r>
      <w:r w:rsidRPr="00AF206D">
        <w:rPr>
          <w:rFonts w:ascii="Calibri" w:hAnsi="Calibri" w:cs="Calibri"/>
          <w:color w:val="000000" w:themeColor="text1"/>
        </w:rPr>
        <w:t>The organization avoids issuing a reactive public statement. The documented review record demonstrates consistent application of policy standards rather than response to external pressure. This protects both the individual and the organization’s credibility.</w:t>
      </w:r>
    </w:p>
    <w:p w14:paraId="2154578A" w14:textId="77777777" w:rsidR="00D514DE" w:rsidRPr="00AF206D" w:rsidRDefault="00D514DE" w:rsidP="00D514DE">
      <w:pPr>
        <w:pStyle w:val="Heading2"/>
        <w:rPr>
          <w:rFonts w:ascii="Calibri" w:hAnsi="Calibri" w:cs="Calibri"/>
          <w:color w:val="000000" w:themeColor="text1"/>
        </w:rPr>
      </w:pPr>
      <w:r w:rsidRPr="00AF206D">
        <w:rPr>
          <w:rFonts w:ascii="Calibri" w:eastAsia="Arial" w:hAnsi="Calibri" w:cs="Calibri"/>
          <w:b/>
          <w:bCs/>
          <w:color w:val="000000" w:themeColor="text1"/>
          <w:sz w:val="26"/>
          <w:szCs w:val="26"/>
        </w:rPr>
        <w:t>Scenario B: Pattern of Harassment</w:t>
      </w:r>
    </w:p>
    <w:p w14:paraId="3BAF0A65"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Situation: </w:t>
      </w:r>
      <w:r w:rsidRPr="00AF206D">
        <w:rPr>
          <w:rFonts w:ascii="Calibri" w:hAnsi="Calibri" w:cs="Calibri"/>
          <w:color w:val="000000" w:themeColor="text1"/>
        </w:rPr>
        <w:t>A screening report surfaces multiple posts over a sustained period in which an individual directs demeaning, derogatory content toward identifiable groups based on protected characteristics.</w:t>
      </w:r>
    </w:p>
    <w:p w14:paraId="452EA68C"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Policy Reference: </w:t>
      </w:r>
      <w:r w:rsidRPr="00AF206D">
        <w:rPr>
          <w:rFonts w:ascii="Calibri" w:hAnsi="Calibri" w:cs="Calibri"/>
          <w:color w:val="000000" w:themeColor="text1"/>
        </w:rPr>
        <w:t>Section 4.1 (Respectful Behavior) and Section 5 (Prohibited Behaviors — Discrimination or Harassment).</w:t>
      </w:r>
    </w:p>
    <w:p w14:paraId="29B82B3E"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Review Pathway: </w:t>
      </w:r>
      <w:r w:rsidRPr="00AF206D">
        <w:rPr>
          <w:rFonts w:ascii="Calibri" w:hAnsi="Calibri" w:cs="Calibri"/>
          <w:color w:val="000000" w:themeColor="text1"/>
        </w:rPr>
        <w:t>Attribution is verified. The pattern-based nature of the conduct distinguishes this from an isolated post. Content materially conflicts with documented standards.</w:t>
      </w:r>
    </w:p>
    <w:p w14:paraId="195FAFF5"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Categorization: </w:t>
      </w:r>
      <w:r w:rsidRPr="00AF206D">
        <w:rPr>
          <w:rFonts w:ascii="Calibri" w:hAnsi="Calibri" w:cs="Calibri"/>
          <w:color w:val="000000" w:themeColor="text1"/>
        </w:rPr>
        <w:t>Level 3 (Policy Conflict). Formal internal review is initiated. Policy sections referenced are documented. Applicable compliance procedures are followed.</w:t>
      </w:r>
    </w:p>
    <w:p w14:paraId="06EE19F5" w14:textId="77777777" w:rsidR="00D514DE" w:rsidRPr="00AF206D" w:rsidRDefault="00D514DE" w:rsidP="00D514DE">
      <w:pPr>
        <w:pStyle w:val="Heading2"/>
        <w:rPr>
          <w:rFonts w:ascii="Calibri" w:hAnsi="Calibri" w:cs="Calibri"/>
          <w:color w:val="000000" w:themeColor="text1"/>
        </w:rPr>
      </w:pPr>
      <w:r w:rsidRPr="00AF206D">
        <w:rPr>
          <w:rFonts w:ascii="Calibri" w:eastAsia="Arial" w:hAnsi="Calibri" w:cs="Calibri"/>
          <w:b/>
          <w:bCs/>
          <w:color w:val="000000" w:themeColor="text1"/>
          <w:sz w:val="26"/>
          <w:szCs w:val="26"/>
        </w:rPr>
        <w:t>Scenario C: Credible Threat</w:t>
      </w:r>
    </w:p>
    <w:p w14:paraId="77667835"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Situation: </w:t>
      </w:r>
      <w:r w:rsidRPr="00AF206D">
        <w:rPr>
          <w:rFonts w:ascii="Calibri" w:hAnsi="Calibri" w:cs="Calibri"/>
          <w:color w:val="000000" w:themeColor="text1"/>
        </w:rPr>
        <w:t>A candidate posts direct, specific threats of violence toward identifiable persons or groups.</w:t>
      </w:r>
    </w:p>
    <w:p w14:paraId="311E8FE7"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Policy Reference: </w:t>
      </w:r>
      <w:r w:rsidRPr="00AF206D">
        <w:rPr>
          <w:rFonts w:ascii="Calibri" w:hAnsi="Calibri" w:cs="Calibri"/>
          <w:color w:val="000000" w:themeColor="text1"/>
        </w:rPr>
        <w:t>Section 5 (Prohibited Behaviors — Hate Speech or Extremism).</w:t>
      </w:r>
    </w:p>
    <w:p w14:paraId="7C835420"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Categorization: </w:t>
      </w:r>
      <w:r w:rsidRPr="00AF206D">
        <w:rPr>
          <w:rFonts w:ascii="Calibri" w:hAnsi="Calibri" w:cs="Calibri"/>
          <w:color w:val="000000" w:themeColor="text1"/>
        </w:rPr>
        <w:t>Level 4 (Legal / Safety Concern). Immediate escalation to designated compliance authority.</w:t>
      </w:r>
    </w:p>
    <w:p w14:paraId="553F4D34" w14:textId="77777777" w:rsidR="00D514DE" w:rsidRPr="00AF206D" w:rsidRDefault="00D514DE" w:rsidP="00D514DE">
      <w:pPr>
        <w:pStyle w:val="Heading2"/>
        <w:rPr>
          <w:rFonts w:ascii="Calibri" w:hAnsi="Calibri" w:cs="Calibri"/>
          <w:color w:val="000000" w:themeColor="text1"/>
        </w:rPr>
      </w:pPr>
      <w:r w:rsidRPr="00AF206D">
        <w:rPr>
          <w:rFonts w:ascii="Calibri" w:eastAsia="Arial" w:hAnsi="Calibri" w:cs="Calibri"/>
          <w:b/>
          <w:bCs/>
          <w:color w:val="000000" w:themeColor="text1"/>
          <w:sz w:val="26"/>
          <w:szCs w:val="26"/>
        </w:rPr>
        <w:t>Scenario D: Confidential Information Disclosure</w:t>
      </w:r>
    </w:p>
    <w:p w14:paraId="7881AE36"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Situation: </w:t>
      </w:r>
      <w:r w:rsidRPr="00AF206D">
        <w:rPr>
          <w:rFonts w:ascii="Calibri" w:hAnsi="Calibri" w:cs="Calibri"/>
          <w:color w:val="000000" w:themeColor="text1"/>
        </w:rPr>
        <w:t>An employee publicly posts proprietary company information, internal process details, or client-identifying data on a social media platform.</w:t>
      </w:r>
    </w:p>
    <w:p w14:paraId="22054428"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Policy Reference: </w:t>
      </w:r>
      <w:r w:rsidRPr="00AF206D">
        <w:rPr>
          <w:rFonts w:ascii="Calibri" w:hAnsi="Calibri" w:cs="Calibri"/>
          <w:color w:val="000000" w:themeColor="text1"/>
        </w:rPr>
        <w:t>Section 4.3 (Confidentiality &amp; Compliance) and Section 5 (Prohibited Behaviors — Confidentiality Violations).</w:t>
      </w:r>
    </w:p>
    <w:p w14:paraId="3F1473A5"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b/>
          <w:bCs/>
          <w:color w:val="000000" w:themeColor="text1"/>
        </w:rPr>
        <w:t xml:space="preserve">Categorization: </w:t>
      </w:r>
      <w:r w:rsidRPr="00AF206D">
        <w:rPr>
          <w:rFonts w:ascii="Calibri" w:hAnsi="Calibri" w:cs="Calibri"/>
          <w:color w:val="000000" w:themeColor="text1"/>
        </w:rPr>
        <w:t>Level 3 (Policy Conflict). Formal internal review initiated. If the disclosure creates legal exposure or regulatory risk, escalation to Level 4 may be warranted.</w:t>
      </w:r>
    </w:p>
    <w:p w14:paraId="0EA554DD" w14:textId="77777777" w:rsidR="00D514DE" w:rsidRPr="00AF206D" w:rsidRDefault="00D514DE" w:rsidP="00D514DE">
      <w:pPr>
        <w:rPr>
          <w:rFonts w:ascii="Calibri" w:hAnsi="Calibri" w:cs="Calibri"/>
          <w:color w:val="000000" w:themeColor="text1"/>
        </w:rPr>
      </w:pPr>
      <w:r w:rsidRPr="00AF206D">
        <w:rPr>
          <w:rFonts w:ascii="Calibri" w:hAnsi="Calibri" w:cs="Calibri"/>
          <w:color w:val="000000" w:themeColor="text1"/>
        </w:rPr>
        <w:br w:type="page"/>
      </w:r>
    </w:p>
    <w:p w14:paraId="77B5668B" w14:textId="77777777" w:rsidR="00D514DE" w:rsidRPr="00AF206D" w:rsidRDefault="00D514DE" w:rsidP="00D514DE">
      <w:pPr>
        <w:pStyle w:val="Heading1"/>
        <w:rPr>
          <w:rFonts w:ascii="Calibri" w:hAnsi="Calibri" w:cs="Calibri"/>
          <w:color w:val="000000" w:themeColor="text1"/>
        </w:rPr>
      </w:pPr>
      <w:r w:rsidRPr="00AF206D">
        <w:rPr>
          <w:rFonts w:ascii="Calibri" w:eastAsia="Arial" w:hAnsi="Calibri" w:cs="Calibri"/>
          <w:b/>
          <w:bCs/>
          <w:color w:val="000000" w:themeColor="text1"/>
          <w:sz w:val="32"/>
          <w:szCs w:val="32"/>
        </w:rPr>
        <w:lastRenderedPageBreak/>
        <w:t>Section 15: How Ferretly Supports This Framework</w:t>
      </w:r>
    </w:p>
    <w:p w14:paraId="052BCE8C"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Ferretly reports are designed to support — not replace — internal review processes. Reports provide structured inputs that organizations can map directly to the conduct standards defined in Part 1 using the adjudication process defined in Part 2.</w:t>
      </w:r>
    </w:p>
    <w:p w14:paraId="7C9F817C" w14:textId="77777777" w:rsidR="00D514DE" w:rsidRPr="00AF206D" w:rsidRDefault="00D514DE" w:rsidP="00D514DE">
      <w:pPr>
        <w:spacing w:after="120"/>
        <w:rPr>
          <w:rFonts w:ascii="Calibri" w:hAnsi="Calibri" w:cs="Calibri"/>
          <w:color w:val="000000" w:themeColor="text1"/>
        </w:rPr>
      </w:pPr>
    </w:p>
    <w:p w14:paraId="0E376DD5" w14:textId="77777777" w:rsidR="00D514DE" w:rsidRPr="00AF206D" w:rsidRDefault="00D514DE" w:rsidP="00D514DE">
      <w:pPr>
        <w:pStyle w:val="Heading2"/>
        <w:rPr>
          <w:rFonts w:ascii="Calibri" w:hAnsi="Calibri" w:cs="Calibri"/>
          <w:color w:val="000000" w:themeColor="text1"/>
        </w:rPr>
      </w:pPr>
      <w:r w:rsidRPr="00AF206D">
        <w:rPr>
          <w:rFonts w:ascii="Calibri" w:eastAsia="Arial" w:hAnsi="Calibri" w:cs="Calibri"/>
          <w:b/>
          <w:bCs/>
          <w:color w:val="000000" w:themeColor="text1"/>
          <w:sz w:val="26"/>
          <w:szCs w:val="26"/>
        </w:rPr>
        <w:t>What Ferretly Reports Provide</w:t>
      </w:r>
    </w:p>
    <w:p w14:paraId="7F7D3A8C" w14:textId="77777777" w:rsidR="00D514DE" w:rsidRPr="00AF206D" w:rsidRDefault="00D514DE" w:rsidP="00D514DE">
      <w:pPr>
        <w:pStyle w:val="ListParagraph"/>
        <w:numPr>
          <w:ilvl w:val="0"/>
          <w:numId w:val="9"/>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Publicly available content organized by behavioral signal</w:t>
      </w:r>
    </w:p>
    <w:p w14:paraId="023C1994" w14:textId="77777777" w:rsidR="00D514DE" w:rsidRPr="00AF206D" w:rsidRDefault="00D514DE" w:rsidP="00D514DE">
      <w:pPr>
        <w:pStyle w:val="ListParagraph"/>
        <w:numPr>
          <w:ilvl w:val="0"/>
          <w:numId w:val="9"/>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Contextual summaries for each finding</w:t>
      </w:r>
    </w:p>
    <w:p w14:paraId="56ADFAE3" w14:textId="77777777" w:rsidR="00D514DE" w:rsidRPr="00AF206D" w:rsidRDefault="00D514DE" w:rsidP="00D514DE">
      <w:pPr>
        <w:pStyle w:val="ListParagraph"/>
        <w:numPr>
          <w:ilvl w:val="0"/>
          <w:numId w:val="9"/>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Pattern identification across multiple data points</w:t>
      </w:r>
    </w:p>
    <w:p w14:paraId="6B7EB22D" w14:textId="77777777" w:rsidR="00D514DE" w:rsidRPr="00AF206D" w:rsidRDefault="00D514DE" w:rsidP="00D514DE">
      <w:pPr>
        <w:pStyle w:val="ListParagraph"/>
        <w:numPr>
          <w:ilvl w:val="0"/>
          <w:numId w:val="9"/>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Separation of conduct indicators from political affiliation</w:t>
      </w:r>
    </w:p>
    <w:p w14:paraId="768665C6" w14:textId="77777777" w:rsidR="00D514DE" w:rsidRPr="00AF206D" w:rsidRDefault="00D514DE" w:rsidP="00D514DE">
      <w:pPr>
        <w:pStyle w:val="ListParagraph"/>
        <w:numPr>
          <w:ilvl w:val="0"/>
          <w:numId w:val="9"/>
        </w:numPr>
        <w:spacing w:after="80" w:line="276" w:lineRule="auto"/>
        <w:contextualSpacing w:val="0"/>
        <w:rPr>
          <w:rFonts w:ascii="Calibri" w:hAnsi="Calibri" w:cs="Calibri"/>
          <w:color w:val="000000" w:themeColor="text1"/>
        </w:rPr>
      </w:pPr>
      <w:r w:rsidRPr="00AF206D">
        <w:rPr>
          <w:rFonts w:ascii="Calibri" w:hAnsi="Calibri" w:cs="Calibri"/>
          <w:color w:val="000000" w:themeColor="text1"/>
        </w:rPr>
        <w:t>Documentation-ready outputs for internal review records</w:t>
      </w:r>
    </w:p>
    <w:p w14:paraId="1CFB5FAF" w14:textId="77777777" w:rsidR="00D514DE" w:rsidRPr="00AF206D" w:rsidRDefault="00D514DE" w:rsidP="00D514DE">
      <w:pPr>
        <w:spacing w:after="120"/>
        <w:rPr>
          <w:rFonts w:ascii="Calibri" w:hAnsi="Calibri" w:cs="Calibri"/>
          <w:color w:val="000000" w:themeColor="text1"/>
        </w:rPr>
      </w:pPr>
    </w:p>
    <w:p w14:paraId="72926EB3" w14:textId="77777777" w:rsidR="00D514DE" w:rsidRPr="00AF206D" w:rsidRDefault="00D514DE" w:rsidP="00D514DE">
      <w:pPr>
        <w:pStyle w:val="Heading2"/>
        <w:rPr>
          <w:rFonts w:ascii="Calibri" w:hAnsi="Calibri" w:cs="Calibri"/>
          <w:color w:val="000000" w:themeColor="text1"/>
        </w:rPr>
      </w:pPr>
      <w:r w:rsidRPr="00AF206D">
        <w:rPr>
          <w:rFonts w:ascii="Calibri" w:eastAsia="Arial" w:hAnsi="Calibri" w:cs="Calibri"/>
          <w:b/>
          <w:bCs/>
          <w:color w:val="000000" w:themeColor="text1"/>
          <w:sz w:val="26"/>
          <w:szCs w:val="26"/>
        </w:rPr>
        <w:t>Mapping Reports to This Framework</w:t>
      </w:r>
    </w:p>
    <w:p w14:paraId="76ADB6B8"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Organizations can use the behavioral categories surfaced in Ferretly reports as direct inputs to the Structured Review Process (Section 12):</w:t>
      </w:r>
    </w:p>
    <w:p w14:paraId="0147AE0E" w14:textId="77777777" w:rsidR="00D514DE" w:rsidRPr="00AF206D" w:rsidRDefault="00D514DE" w:rsidP="00D514DE">
      <w:pPr>
        <w:spacing w:after="120"/>
        <w:rPr>
          <w:rFonts w:ascii="Calibri" w:hAnsi="Calibri" w:cs="Calibri"/>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514DE" w:rsidRPr="00AF206D" w14:paraId="1CAD3E2C" w14:textId="77777777" w:rsidTr="00981C83">
        <w:tc>
          <w:tcPr>
            <w:tcW w:w="9360" w:type="dxa"/>
            <w:tcBorders>
              <w:top w:val="single" w:sz="1" w:space="0" w:color="2E75B6"/>
              <w:left w:val="single" w:sz="1" w:space="0" w:color="2E75B6"/>
              <w:bottom w:val="single" w:sz="1" w:space="0" w:color="2E75B6"/>
              <w:right w:val="single" w:sz="1" w:space="0" w:color="2E75B6"/>
            </w:tcBorders>
            <w:shd w:val="clear" w:color="auto" w:fill="E8EFF5"/>
            <w:tcMar>
              <w:top w:w="160" w:type="dxa"/>
              <w:left w:w="200" w:type="dxa"/>
              <w:bottom w:w="160" w:type="dxa"/>
              <w:right w:w="200" w:type="dxa"/>
            </w:tcMar>
          </w:tcPr>
          <w:p w14:paraId="35ECF048" w14:textId="77777777" w:rsidR="00D514DE" w:rsidRPr="00AF206D" w:rsidRDefault="00D514DE" w:rsidP="00981C83">
            <w:pPr>
              <w:spacing w:after="100"/>
              <w:rPr>
                <w:rFonts w:ascii="Calibri" w:hAnsi="Calibri" w:cs="Calibri"/>
                <w:color w:val="000000" w:themeColor="text1"/>
              </w:rPr>
            </w:pPr>
            <w:r w:rsidRPr="00AF206D">
              <w:rPr>
                <w:rFonts w:ascii="Calibri" w:hAnsi="Calibri" w:cs="Calibri"/>
                <w:b/>
                <w:bCs/>
                <w:color w:val="000000" w:themeColor="text1"/>
              </w:rPr>
              <w:t>Report-to-Framework Bridge</w:t>
            </w:r>
          </w:p>
          <w:p w14:paraId="5DCABF8A" w14:textId="77777777" w:rsidR="00D514DE" w:rsidRPr="00AF206D" w:rsidRDefault="00D514DE" w:rsidP="00981C83">
            <w:pPr>
              <w:spacing w:after="80" w:line="276" w:lineRule="auto"/>
              <w:rPr>
                <w:rFonts w:ascii="Calibri" w:hAnsi="Calibri" w:cs="Calibri"/>
                <w:color w:val="000000" w:themeColor="text1"/>
              </w:rPr>
            </w:pPr>
            <w:r w:rsidRPr="00AF206D">
              <w:rPr>
                <w:rFonts w:ascii="Calibri" w:hAnsi="Calibri" w:cs="Calibri"/>
                <w:color w:val="000000" w:themeColor="text1"/>
                <w:sz w:val="20"/>
                <w:szCs w:val="20"/>
              </w:rPr>
              <w:t>1. Ferretly behavioral categories map to Step 3 (Risk Categorization), evaluated against the conduct standards in Part 1.</w:t>
            </w:r>
          </w:p>
          <w:p w14:paraId="4622FE14" w14:textId="77777777" w:rsidR="00D514DE" w:rsidRPr="00AF206D" w:rsidRDefault="00D514DE" w:rsidP="00981C83">
            <w:pPr>
              <w:spacing w:after="80" w:line="276" w:lineRule="auto"/>
              <w:rPr>
                <w:rFonts w:ascii="Calibri" w:hAnsi="Calibri" w:cs="Calibri"/>
                <w:color w:val="000000" w:themeColor="text1"/>
              </w:rPr>
            </w:pPr>
            <w:r w:rsidRPr="00AF206D">
              <w:rPr>
                <w:rFonts w:ascii="Calibri" w:hAnsi="Calibri" w:cs="Calibri"/>
                <w:color w:val="000000" w:themeColor="text1"/>
                <w:sz w:val="20"/>
                <w:szCs w:val="20"/>
              </w:rPr>
              <w:t>2. Pattern indicators in Ferretly reports support the Pattern vs. Isolated Conduct assessment in Section 9.</w:t>
            </w:r>
          </w:p>
          <w:p w14:paraId="477A2327" w14:textId="77777777" w:rsidR="00D514DE" w:rsidRPr="00AF206D" w:rsidRDefault="00D514DE" w:rsidP="00981C83">
            <w:pPr>
              <w:spacing w:after="80" w:line="276" w:lineRule="auto"/>
              <w:rPr>
                <w:rFonts w:ascii="Calibri" w:hAnsi="Calibri" w:cs="Calibri"/>
                <w:color w:val="000000" w:themeColor="text1"/>
              </w:rPr>
            </w:pPr>
            <w:r w:rsidRPr="00AF206D">
              <w:rPr>
                <w:rFonts w:ascii="Calibri" w:hAnsi="Calibri" w:cs="Calibri"/>
                <w:color w:val="000000" w:themeColor="text1"/>
                <w:sz w:val="20"/>
                <w:szCs w:val="20"/>
              </w:rPr>
              <w:t>3. Contextual summaries support Step 2 (Role Relevance Assessment) by providing the information reviewers need to determine material relevance to specific policy sections.</w:t>
            </w:r>
          </w:p>
          <w:p w14:paraId="33A3597F" w14:textId="77777777" w:rsidR="00D514DE" w:rsidRPr="00AF206D" w:rsidRDefault="00D514DE" w:rsidP="00981C83">
            <w:pPr>
              <w:spacing w:after="80" w:line="276" w:lineRule="auto"/>
              <w:rPr>
                <w:rFonts w:ascii="Calibri" w:hAnsi="Calibri" w:cs="Calibri"/>
                <w:color w:val="000000" w:themeColor="text1"/>
              </w:rPr>
            </w:pPr>
            <w:r w:rsidRPr="00AF206D">
              <w:rPr>
                <w:rFonts w:ascii="Calibri" w:hAnsi="Calibri" w:cs="Calibri"/>
                <w:color w:val="000000" w:themeColor="text1"/>
                <w:sz w:val="20"/>
                <w:szCs w:val="20"/>
              </w:rPr>
              <w:t>4. Organizations apply their own documented standards to determine the appropriate risk level. Ferretly does not assign risk levels or make employment recommendations.</w:t>
            </w:r>
          </w:p>
        </w:tc>
      </w:tr>
    </w:tbl>
    <w:p w14:paraId="3D36DA14" w14:textId="77777777" w:rsidR="00D514DE" w:rsidRPr="00AF206D" w:rsidRDefault="00D514DE" w:rsidP="00D514DE">
      <w:pPr>
        <w:spacing w:after="120"/>
        <w:rPr>
          <w:rFonts w:ascii="Calibri" w:hAnsi="Calibri" w:cs="Calibri"/>
          <w:color w:val="000000" w:themeColor="text1"/>
        </w:rPr>
      </w:pPr>
    </w:p>
    <w:p w14:paraId="7C58FEAA"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Ferretly does not make employment decisions. It provides structured information so organizations can apply documented standards consistently and defensibly.</w:t>
      </w:r>
    </w:p>
    <w:p w14:paraId="7D2EB1F2" w14:textId="77777777" w:rsidR="00D514DE" w:rsidRPr="00AF206D" w:rsidRDefault="00D514DE" w:rsidP="00D514DE">
      <w:pPr>
        <w:rPr>
          <w:rFonts w:ascii="Calibri" w:hAnsi="Calibri" w:cs="Calibri"/>
          <w:color w:val="000000" w:themeColor="text1"/>
        </w:rPr>
      </w:pPr>
      <w:r w:rsidRPr="00AF206D">
        <w:rPr>
          <w:rFonts w:ascii="Calibri" w:hAnsi="Calibri" w:cs="Calibri"/>
          <w:b/>
          <w:bCs/>
          <w:color w:val="000000" w:themeColor="text1"/>
          <w:sz w:val="32"/>
          <w:szCs w:val="32"/>
        </w:rPr>
        <w:t>Section 16: Implementation Checklist</w:t>
      </w:r>
    </w:p>
    <w:p w14:paraId="036D8A3A"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Organizations adopting this framework should complete the following steps:</w:t>
      </w:r>
    </w:p>
    <w:p w14:paraId="1C5C898C" w14:textId="77777777" w:rsidR="00D514DE" w:rsidRPr="00AF206D" w:rsidRDefault="00D514DE" w:rsidP="00D514DE">
      <w:pPr>
        <w:spacing w:after="120"/>
        <w:rPr>
          <w:rFonts w:ascii="Calibri" w:hAnsi="Calibri" w:cs="Calibri"/>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0"/>
        <w:gridCol w:w="8360"/>
      </w:tblGrid>
      <w:tr w:rsidR="00D514DE" w:rsidRPr="00AF206D" w14:paraId="2669C472" w14:textId="77777777" w:rsidTr="00981C83">
        <w:tc>
          <w:tcPr>
            <w:tcW w:w="1000" w:type="dxa"/>
            <w:tcBorders>
              <w:top w:val="single" w:sz="1" w:space="0" w:color="2E75B6"/>
              <w:left w:val="single" w:sz="1" w:space="0" w:color="2E75B6"/>
              <w:bottom w:val="single" w:sz="1" w:space="0" w:color="2E75B6"/>
              <w:right w:val="single" w:sz="1" w:space="0" w:color="2E75B6"/>
            </w:tcBorders>
            <w:shd w:val="clear" w:color="auto" w:fill="1B3A5C"/>
            <w:tcMar>
              <w:top w:w="80" w:type="dxa"/>
              <w:left w:w="120" w:type="dxa"/>
              <w:bottom w:w="80" w:type="dxa"/>
              <w:right w:w="120" w:type="dxa"/>
            </w:tcMar>
          </w:tcPr>
          <w:p w14:paraId="2515755C" w14:textId="77777777" w:rsidR="00D514DE" w:rsidRPr="00AF206D" w:rsidRDefault="00D514DE" w:rsidP="00981C83">
            <w:pPr>
              <w:jc w:val="center"/>
              <w:rPr>
                <w:rFonts w:ascii="Calibri" w:hAnsi="Calibri" w:cs="Calibri"/>
                <w:color w:val="000000" w:themeColor="text1"/>
              </w:rPr>
            </w:pPr>
            <w:r w:rsidRPr="00AF206D">
              <w:rPr>
                <w:rFonts w:ascii="Calibri" w:hAnsi="Calibri" w:cs="Calibri"/>
                <w:b/>
                <w:bCs/>
                <w:color w:val="000000" w:themeColor="text1"/>
                <w:sz w:val="18"/>
                <w:szCs w:val="18"/>
              </w:rPr>
              <w:t>Status</w:t>
            </w:r>
          </w:p>
        </w:tc>
        <w:tc>
          <w:tcPr>
            <w:tcW w:w="8360" w:type="dxa"/>
            <w:tcBorders>
              <w:top w:val="single" w:sz="1" w:space="0" w:color="2E75B6"/>
              <w:left w:val="single" w:sz="1" w:space="0" w:color="2E75B6"/>
              <w:bottom w:val="single" w:sz="1" w:space="0" w:color="2E75B6"/>
              <w:right w:val="single" w:sz="1" w:space="0" w:color="2E75B6"/>
            </w:tcBorders>
            <w:shd w:val="clear" w:color="auto" w:fill="1B3A5C"/>
            <w:tcMar>
              <w:top w:w="80" w:type="dxa"/>
              <w:left w:w="120" w:type="dxa"/>
              <w:bottom w:w="80" w:type="dxa"/>
              <w:right w:w="120" w:type="dxa"/>
            </w:tcMar>
          </w:tcPr>
          <w:p w14:paraId="4344186C" w14:textId="77777777" w:rsidR="00D514DE" w:rsidRPr="00AF206D" w:rsidRDefault="00D514DE" w:rsidP="00981C83">
            <w:pPr>
              <w:rPr>
                <w:rFonts w:ascii="Calibri" w:hAnsi="Calibri" w:cs="Calibri"/>
                <w:color w:val="000000" w:themeColor="text1"/>
              </w:rPr>
            </w:pPr>
            <w:r w:rsidRPr="00AF206D">
              <w:rPr>
                <w:rFonts w:ascii="Calibri" w:hAnsi="Calibri" w:cs="Calibri"/>
                <w:b/>
                <w:bCs/>
                <w:color w:val="000000" w:themeColor="text1"/>
                <w:sz w:val="18"/>
                <w:szCs w:val="18"/>
              </w:rPr>
              <w:t>Readiness Item</w:t>
            </w:r>
          </w:p>
        </w:tc>
      </w:tr>
      <w:tr w:rsidR="00D514DE" w:rsidRPr="00AF206D" w14:paraId="5027F218"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42A221C1" w14:textId="77777777" w:rsidR="00D514DE" w:rsidRPr="00AF206D" w:rsidRDefault="00D514DE" w:rsidP="00981C83">
            <w:pPr>
              <w:jc w:val="center"/>
              <w:rPr>
                <w:rFonts w:ascii="Calibri" w:hAnsi="Calibri" w:cs="Calibri"/>
                <w:color w:val="000000" w:themeColor="text1"/>
              </w:rPr>
            </w:pPr>
            <w:r w:rsidRPr="00AF206D">
              <w:rPr>
                <w:rFonts w:ascii="Segoe UI Symbol" w:hAnsi="Segoe UI Symbol" w:cs="Segoe UI Symbol"/>
                <w:color w:val="000000" w:themeColor="text1"/>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60F5C8DF" w14:textId="77777777" w:rsidR="00D514DE" w:rsidRPr="00AF206D" w:rsidRDefault="00D514DE" w:rsidP="00981C83">
            <w:pPr>
              <w:rPr>
                <w:rFonts w:ascii="Calibri" w:hAnsi="Calibri" w:cs="Calibri"/>
                <w:color w:val="000000" w:themeColor="text1"/>
              </w:rPr>
            </w:pPr>
            <w:r w:rsidRPr="00AF206D">
              <w:rPr>
                <w:rFonts w:ascii="Calibri" w:hAnsi="Calibri" w:cs="Calibri"/>
                <w:color w:val="000000" w:themeColor="text1"/>
                <w:sz w:val="20"/>
                <w:szCs w:val="20"/>
              </w:rPr>
              <w:t>Customize and adopt the Social Media Conduct Policy (Part 1)</w:t>
            </w:r>
          </w:p>
        </w:tc>
      </w:tr>
      <w:tr w:rsidR="00D514DE" w:rsidRPr="00AF206D" w14:paraId="6E8B1A0D"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7F6FD1" w14:textId="77777777" w:rsidR="00D514DE" w:rsidRPr="00AF206D" w:rsidRDefault="00D514DE" w:rsidP="00981C83">
            <w:pPr>
              <w:jc w:val="center"/>
              <w:rPr>
                <w:rFonts w:ascii="Calibri" w:hAnsi="Calibri" w:cs="Calibri"/>
                <w:color w:val="000000" w:themeColor="text1"/>
              </w:rPr>
            </w:pPr>
            <w:r w:rsidRPr="00AF206D">
              <w:rPr>
                <w:rFonts w:ascii="Segoe UI Symbol" w:hAnsi="Segoe UI Symbol" w:cs="Segoe UI Symbol"/>
                <w:color w:val="000000" w:themeColor="text1"/>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F16A62" w14:textId="77777777" w:rsidR="00D514DE" w:rsidRPr="00AF206D" w:rsidRDefault="00D514DE" w:rsidP="00981C83">
            <w:pPr>
              <w:rPr>
                <w:rFonts w:ascii="Calibri" w:hAnsi="Calibri" w:cs="Calibri"/>
                <w:color w:val="000000" w:themeColor="text1"/>
              </w:rPr>
            </w:pPr>
            <w:r w:rsidRPr="00AF206D">
              <w:rPr>
                <w:rFonts w:ascii="Calibri" w:hAnsi="Calibri" w:cs="Calibri"/>
                <w:color w:val="000000" w:themeColor="text1"/>
                <w:sz w:val="20"/>
                <w:szCs w:val="20"/>
              </w:rPr>
              <w:t>Distribute policy to all employees and require acknowledgment</w:t>
            </w:r>
          </w:p>
        </w:tc>
      </w:tr>
      <w:tr w:rsidR="00D514DE" w:rsidRPr="00AF206D" w14:paraId="5D1BB437"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69734680" w14:textId="77777777" w:rsidR="00D514DE" w:rsidRPr="00AF206D" w:rsidRDefault="00D514DE" w:rsidP="00981C83">
            <w:pPr>
              <w:jc w:val="center"/>
              <w:rPr>
                <w:rFonts w:ascii="Calibri" w:hAnsi="Calibri" w:cs="Calibri"/>
                <w:color w:val="000000" w:themeColor="text1"/>
              </w:rPr>
            </w:pPr>
            <w:r w:rsidRPr="00AF206D">
              <w:rPr>
                <w:rFonts w:ascii="Segoe UI Symbol" w:hAnsi="Segoe UI Symbol" w:cs="Segoe UI Symbol"/>
                <w:color w:val="000000" w:themeColor="text1"/>
                <w:sz w:val="22"/>
                <w:szCs w:val="22"/>
              </w:rPr>
              <w:lastRenderedPageBreak/>
              <w:t>☐</w:t>
            </w:r>
          </w:p>
        </w:tc>
        <w:tc>
          <w:tcPr>
            <w:tcW w:w="836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06649E5B" w14:textId="77777777" w:rsidR="00D514DE" w:rsidRPr="00AF206D" w:rsidRDefault="00D514DE" w:rsidP="00981C83">
            <w:pPr>
              <w:rPr>
                <w:rFonts w:ascii="Calibri" w:hAnsi="Calibri" w:cs="Calibri"/>
                <w:color w:val="000000" w:themeColor="text1"/>
              </w:rPr>
            </w:pPr>
            <w:r w:rsidRPr="00AF206D">
              <w:rPr>
                <w:rFonts w:ascii="Calibri" w:hAnsi="Calibri" w:cs="Calibri"/>
                <w:color w:val="000000" w:themeColor="text1"/>
                <w:sz w:val="20"/>
                <w:szCs w:val="20"/>
              </w:rPr>
              <w:t>Align policy with HR leadership and legal counsel</w:t>
            </w:r>
          </w:p>
        </w:tc>
      </w:tr>
      <w:tr w:rsidR="00D514DE" w:rsidRPr="00AF206D" w14:paraId="35D72BC5"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DD93CD" w14:textId="77777777" w:rsidR="00D514DE" w:rsidRPr="00AF206D" w:rsidRDefault="00D514DE" w:rsidP="00981C83">
            <w:pPr>
              <w:jc w:val="center"/>
              <w:rPr>
                <w:rFonts w:ascii="Calibri" w:hAnsi="Calibri" w:cs="Calibri"/>
                <w:color w:val="000000" w:themeColor="text1"/>
              </w:rPr>
            </w:pPr>
            <w:r w:rsidRPr="00AF206D">
              <w:rPr>
                <w:rFonts w:ascii="Segoe UI Symbol" w:hAnsi="Segoe UI Symbol" w:cs="Segoe UI Symbol"/>
                <w:color w:val="000000" w:themeColor="text1"/>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7BCF93" w14:textId="77777777" w:rsidR="00D514DE" w:rsidRPr="00AF206D" w:rsidRDefault="00D514DE" w:rsidP="00981C83">
            <w:pPr>
              <w:rPr>
                <w:rFonts w:ascii="Calibri" w:hAnsi="Calibri" w:cs="Calibri"/>
                <w:color w:val="000000" w:themeColor="text1"/>
              </w:rPr>
            </w:pPr>
            <w:r w:rsidRPr="00AF206D">
              <w:rPr>
                <w:rFonts w:ascii="Calibri" w:hAnsi="Calibri" w:cs="Calibri"/>
                <w:color w:val="000000" w:themeColor="text1"/>
                <w:sz w:val="20"/>
                <w:szCs w:val="20"/>
              </w:rPr>
              <w:t>Train designated reviewers on the Adjudication Framework (Part 2)</w:t>
            </w:r>
          </w:p>
        </w:tc>
      </w:tr>
      <w:tr w:rsidR="00D514DE" w:rsidRPr="00AF206D" w14:paraId="7C2BDA5E"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1AB6F7AA" w14:textId="77777777" w:rsidR="00D514DE" w:rsidRPr="00AF206D" w:rsidRDefault="00D514DE" w:rsidP="00981C83">
            <w:pPr>
              <w:jc w:val="center"/>
              <w:rPr>
                <w:rFonts w:ascii="Calibri" w:hAnsi="Calibri" w:cs="Calibri"/>
                <w:color w:val="000000" w:themeColor="text1"/>
              </w:rPr>
            </w:pPr>
            <w:r w:rsidRPr="00AF206D">
              <w:rPr>
                <w:rFonts w:ascii="Segoe UI Symbol" w:hAnsi="Segoe UI Symbol" w:cs="Segoe UI Symbol"/>
                <w:color w:val="000000" w:themeColor="text1"/>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7847F917" w14:textId="77777777" w:rsidR="00D514DE" w:rsidRPr="00AF206D" w:rsidRDefault="00D514DE" w:rsidP="00981C83">
            <w:pPr>
              <w:rPr>
                <w:rFonts w:ascii="Calibri" w:hAnsi="Calibri" w:cs="Calibri"/>
                <w:color w:val="000000" w:themeColor="text1"/>
              </w:rPr>
            </w:pPr>
            <w:r w:rsidRPr="00AF206D">
              <w:rPr>
                <w:rFonts w:ascii="Calibri" w:hAnsi="Calibri" w:cs="Calibri"/>
                <w:color w:val="000000" w:themeColor="text1"/>
                <w:sz w:val="20"/>
                <w:szCs w:val="20"/>
              </w:rPr>
              <w:t>Establish documentation procedures and assign recordkeeping responsibility</w:t>
            </w:r>
          </w:p>
        </w:tc>
      </w:tr>
      <w:tr w:rsidR="00D514DE" w:rsidRPr="00AF206D" w14:paraId="489F9F78"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654175" w14:textId="77777777" w:rsidR="00D514DE" w:rsidRPr="00AF206D" w:rsidRDefault="00D514DE" w:rsidP="00981C83">
            <w:pPr>
              <w:jc w:val="center"/>
              <w:rPr>
                <w:rFonts w:ascii="Calibri" w:hAnsi="Calibri" w:cs="Calibri"/>
                <w:color w:val="000000" w:themeColor="text1"/>
              </w:rPr>
            </w:pPr>
            <w:r w:rsidRPr="00AF206D">
              <w:rPr>
                <w:rFonts w:ascii="Segoe UI Symbol" w:hAnsi="Segoe UI Symbol" w:cs="Segoe UI Symbol"/>
                <w:color w:val="000000" w:themeColor="text1"/>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8D0256" w14:textId="77777777" w:rsidR="00D514DE" w:rsidRPr="00AF206D" w:rsidRDefault="00D514DE" w:rsidP="00981C83">
            <w:pPr>
              <w:rPr>
                <w:rFonts w:ascii="Calibri" w:hAnsi="Calibri" w:cs="Calibri"/>
                <w:color w:val="000000" w:themeColor="text1"/>
              </w:rPr>
            </w:pPr>
            <w:r w:rsidRPr="00AF206D">
              <w:rPr>
                <w:rFonts w:ascii="Calibri" w:hAnsi="Calibri" w:cs="Calibri"/>
                <w:color w:val="000000" w:themeColor="text1"/>
                <w:sz w:val="20"/>
                <w:szCs w:val="20"/>
              </w:rPr>
              <w:t>Define role sensitivity standards for key position categories</w:t>
            </w:r>
          </w:p>
        </w:tc>
      </w:tr>
      <w:tr w:rsidR="00D514DE" w:rsidRPr="00AF206D" w14:paraId="6A4ED44D"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2EB58C98" w14:textId="77777777" w:rsidR="00D514DE" w:rsidRPr="00AF206D" w:rsidRDefault="00D514DE" w:rsidP="00981C83">
            <w:pPr>
              <w:jc w:val="center"/>
              <w:rPr>
                <w:rFonts w:ascii="Calibri" w:hAnsi="Calibri" w:cs="Calibri"/>
                <w:color w:val="000000" w:themeColor="text1"/>
              </w:rPr>
            </w:pPr>
            <w:r w:rsidRPr="00AF206D">
              <w:rPr>
                <w:rFonts w:ascii="Segoe UI Symbol" w:hAnsi="Segoe UI Symbol" w:cs="Segoe UI Symbol"/>
                <w:color w:val="000000" w:themeColor="text1"/>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05DF806F" w14:textId="77777777" w:rsidR="00D514DE" w:rsidRPr="00AF206D" w:rsidRDefault="00D514DE" w:rsidP="00981C83">
            <w:pPr>
              <w:rPr>
                <w:rFonts w:ascii="Calibri" w:hAnsi="Calibri" w:cs="Calibri"/>
                <w:color w:val="000000" w:themeColor="text1"/>
              </w:rPr>
            </w:pPr>
            <w:r w:rsidRPr="00AF206D">
              <w:rPr>
                <w:rFonts w:ascii="Calibri" w:hAnsi="Calibri" w:cs="Calibri"/>
                <w:color w:val="000000" w:themeColor="text1"/>
                <w:sz w:val="20"/>
                <w:szCs w:val="20"/>
              </w:rPr>
              <w:t>Conduct a pilot review using sample scenarios to validate internal processes</w:t>
            </w:r>
          </w:p>
        </w:tc>
      </w:tr>
      <w:tr w:rsidR="00D514DE" w:rsidRPr="00AF206D" w14:paraId="12C04CA0"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336DBB" w14:textId="77777777" w:rsidR="00D514DE" w:rsidRPr="00AF206D" w:rsidRDefault="00D514DE" w:rsidP="00981C83">
            <w:pPr>
              <w:jc w:val="center"/>
              <w:rPr>
                <w:rFonts w:ascii="Calibri" w:hAnsi="Calibri" w:cs="Calibri"/>
                <w:color w:val="000000" w:themeColor="text1"/>
              </w:rPr>
            </w:pPr>
            <w:r w:rsidRPr="00AF206D">
              <w:rPr>
                <w:rFonts w:ascii="Segoe UI Symbol" w:hAnsi="Segoe UI Symbol" w:cs="Segoe UI Symbol"/>
                <w:color w:val="000000" w:themeColor="text1"/>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057E04" w14:textId="77777777" w:rsidR="00D514DE" w:rsidRPr="00AF206D" w:rsidRDefault="00D514DE" w:rsidP="00981C83">
            <w:pPr>
              <w:rPr>
                <w:rFonts w:ascii="Calibri" w:hAnsi="Calibri" w:cs="Calibri"/>
                <w:color w:val="000000" w:themeColor="text1"/>
              </w:rPr>
            </w:pPr>
            <w:r w:rsidRPr="00AF206D">
              <w:rPr>
                <w:rFonts w:ascii="Calibri" w:hAnsi="Calibri" w:cs="Calibri"/>
                <w:color w:val="000000" w:themeColor="text1"/>
                <w:sz w:val="20"/>
                <w:szCs w:val="20"/>
              </w:rPr>
              <w:t>Follow applicable adverse action and notice procedures</w:t>
            </w:r>
          </w:p>
        </w:tc>
      </w:tr>
      <w:tr w:rsidR="00D514DE" w:rsidRPr="00AF206D" w14:paraId="706AC673" w14:textId="77777777" w:rsidTr="00981C83">
        <w:tc>
          <w:tcPr>
            <w:tcW w:w="100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7648628D" w14:textId="77777777" w:rsidR="00D514DE" w:rsidRPr="00AF206D" w:rsidRDefault="00D514DE" w:rsidP="00981C83">
            <w:pPr>
              <w:jc w:val="center"/>
              <w:rPr>
                <w:rFonts w:ascii="Calibri" w:hAnsi="Calibri" w:cs="Calibri"/>
                <w:color w:val="000000" w:themeColor="text1"/>
              </w:rPr>
            </w:pPr>
            <w:r w:rsidRPr="00AF206D">
              <w:rPr>
                <w:rFonts w:ascii="Segoe UI Symbol" w:hAnsi="Segoe UI Symbol" w:cs="Segoe UI Symbol"/>
                <w:color w:val="000000" w:themeColor="text1"/>
                <w:sz w:val="22"/>
                <w:szCs w:val="22"/>
              </w:rPr>
              <w:t>☐</w:t>
            </w:r>
          </w:p>
        </w:tc>
        <w:tc>
          <w:tcPr>
            <w:tcW w:w="8360" w:type="dxa"/>
            <w:tcBorders>
              <w:top w:val="single" w:sz="1" w:space="0" w:color="CCCCCC"/>
              <w:left w:val="single" w:sz="1" w:space="0" w:color="CCCCCC"/>
              <w:bottom w:val="single" w:sz="1" w:space="0" w:color="CCCCCC"/>
              <w:right w:val="single" w:sz="1" w:space="0" w:color="CCCCCC"/>
            </w:tcBorders>
            <w:shd w:val="clear" w:color="auto" w:fill="F7F9FB"/>
            <w:tcMar>
              <w:top w:w="80" w:type="dxa"/>
              <w:left w:w="120" w:type="dxa"/>
              <w:bottom w:w="80" w:type="dxa"/>
              <w:right w:w="120" w:type="dxa"/>
            </w:tcMar>
          </w:tcPr>
          <w:p w14:paraId="51F99F8D" w14:textId="77777777" w:rsidR="00D514DE" w:rsidRPr="00AF206D" w:rsidRDefault="00D514DE" w:rsidP="00981C83">
            <w:pPr>
              <w:rPr>
                <w:rFonts w:ascii="Calibri" w:hAnsi="Calibri" w:cs="Calibri"/>
                <w:color w:val="000000" w:themeColor="text1"/>
              </w:rPr>
            </w:pPr>
            <w:r w:rsidRPr="00AF206D">
              <w:rPr>
                <w:rFonts w:ascii="Calibri" w:hAnsi="Calibri" w:cs="Calibri"/>
                <w:color w:val="000000" w:themeColor="text1"/>
                <w:sz w:val="20"/>
                <w:szCs w:val="20"/>
              </w:rPr>
              <w:t>Schedule periodic review and update of standards (recommended: annually)</w:t>
            </w:r>
          </w:p>
        </w:tc>
      </w:tr>
    </w:tbl>
    <w:p w14:paraId="4B4C2F00" w14:textId="77777777" w:rsidR="00D514DE" w:rsidRPr="00AF206D" w:rsidRDefault="00D514DE" w:rsidP="00D514DE">
      <w:pPr>
        <w:rPr>
          <w:rFonts w:ascii="Calibri" w:hAnsi="Calibri" w:cs="Calibri"/>
          <w:color w:val="000000" w:themeColor="text1"/>
        </w:rPr>
      </w:pPr>
      <w:r w:rsidRPr="00AF206D">
        <w:rPr>
          <w:rFonts w:ascii="Calibri" w:hAnsi="Calibri" w:cs="Calibri"/>
          <w:color w:val="000000" w:themeColor="text1"/>
        </w:rPr>
        <w:br w:type="page"/>
      </w:r>
    </w:p>
    <w:p w14:paraId="44B3EB31" w14:textId="77777777" w:rsidR="00D514DE" w:rsidRPr="00AF206D" w:rsidRDefault="00D514DE" w:rsidP="00D514DE">
      <w:pPr>
        <w:pStyle w:val="Heading1"/>
        <w:rPr>
          <w:rFonts w:ascii="Calibri" w:hAnsi="Calibri" w:cs="Calibri"/>
          <w:color w:val="000000" w:themeColor="text1"/>
        </w:rPr>
      </w:pPr>
      <w:r w:rsidRPr="00AF206D">
        <w:rPr>
          <w:rFonts w:ascii="Calibri" w:eastAsia="Arial" w:hAnsi="Calibri" w:cs="Calibri"/>
          <w:b/>
          <w:bCs/>
          <w:color w:val="000000" w:themeColor="text1"/>
          <w:sz w:val="32"/>
          <w:szCs w:val="32"/>
        </w:rPr>
        <w:lastRenderedPageBreak/>
        <w:t>Section 17: Disclaimer</w:t>
      </w:r>
    </w:p>
    <w:p w14:paraId="4552889F" w14:textId="77777777" w:rsidR="00D514DE" w:rsidRPr="00AF206D" w:rsidRDefault="00D514DE" w:rsidP="00D514DE">
      <w:pPr>
        <w:spacing w:after="160" w:line="276" w:lineRule="auto"/>
        <w:rPr>
          <w:rFonts w:ascii="Calibri" w:hAnsi="Calibri" w:cs="Calibri"/>
          <w:color w:val="000000" w:themeColor="text1"/>
        </w:rPr>
      </w:pPr>
      <w:r w:rsidRPr="00AF206D">
        <w:rPr>
          <w:rFonts w:ascii="Calibri" w:hAnsi="Calibri" w:cs="Calibri"/>
          <w:color w:val="000000" w:themeColor="text1"/>
        </w:rPr>
        <w:t>This framework is provided for general informational purposes only. Employment decisions involving publicly available online content are subject to federal, state, and local laws, including anti-discrimination statutes, FCRA requirements where applicable, and other regulations. Organizations should consult qualified legal counsel before implementing or relying upon any screening or adjudication framework.</w:t>
      </w:r>
    </w:p>
    <w:p w14:paraId="0A502317" w14:textId="77777777" w:rsidR="00D514DE" w:rsidRPr="00AF206D" w:rsidRDefault="00D514DE" w:rsidP="00D514DE">
      <w:pPr>
        <w:spacing w:after="120"/>
        <w:rPr>
          <w:rFonts w:ascii="Calibri" w:hAnsi="Calibri" w:cs="Calibri"/>
          <w:color w:val="000000" w:themeColor="text1"/>
        </w:rPr>
      </w:pPr>
    </w:p>
    <w:p w14:paraId="708D3E19" w14:textId="160700BF" w:rsidR="00D514DE" w:rsidRPr="00865F8C" w:rsidRDefault="00D514DE" w:rsidP="00865F8C">
      <w:pPr>
        <w:spacing w:after="160" w:line="276" w:lineRule="auto"/>
        <w:rPr>
          <w:rFonts w:ascii="Calibri" w:hAnsi="Calibri" w:cs="Calibri"/>
          <w:color w:val="000000" w:themeColor="text1"/>
        </w:rPr>
      </w:pPr>
      <w:r w:rsidRPr="00AF206D">
        <w:rPr>
          <w:rFonts w:ascii="Calibri" w:hAnsi="Calibri" w:cs="Calibri"/>
          <w:color w:val="000000" w:themeColor="text1"/>
        </w:rPr>
        <w:t>Nothing in this document should be construed as a recommendation to make adverse employment decisions based on political viewpoint, personal belief, or protected characteristics. This framework is designed to support conduct-based, documented, and defensible review practices.</w:t>
      </w:r>
    </w:p>
    <w:sectPr w:rsidR="00D514DE" w:rsidRPr="00865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72B"/>
    <w:multiLevelType w:val="hybridMultilevel"/>
    <w:tmpl w:val="29B6A442"/>
    <w:lvl w:ilvl="0" w:tplc="DF52CEC8">
      <w:start w:val="1"/>
      <w:numFmt w:val="bullet"/>
      <w:lvlText w:val="•"/>
      <w:lvlJc w:val="left"/>
      <w:pPr>
        <w:ind w:left="720" w:hanging="360"/>
      </w:pPr>
    </w:lvl>
    <w:lvl w:ilvl="1" w:tplc="4498F32E">
      <w:numFmt w:val="decimal"/>
      <w:lvlText w:val=""/>
      <w:lvlJc w:val="left"/>
    </w:lvl>
    <w:lvl w:ilvl="2" w:tplc="D6B09E4E">
      <w:numFmt w:val="decimal"/>
      <w:lvlText w:val=""/>
      <w:lvlJc w:val="left"/>
    </w:lvl>
    <w:lvl w:ilvl="3" w:tplc="B05C2D30">
      <w:numFmt w:val="decimal"/>
      <w:lvlText w:val=""/>
      <w:lvlJc w:val="left"/>
    </w:lvl>
    <w:lvl w:ilvl="4" w:tplc="0CEAC898">
      <w:numFmt w:val="decimal"/>
      <w:lvlText w:val=""/>
      <w:lvlJc w:val="left"/>
    </w:lvl>
    <w:lvl w:ilvl="5" w:tplc="13BEB6FA">
      <w:numFmt w:val="decimal"/>
      <w:lvlText w:val=""/>
      <w:lvlJc w:val="left"/>
    </w:lvl>
    <w:lvl w:ilvl="6" w:tplc="36C80662">
      <w:numFmt w:val="decimal"/>
      <w:lvlText w:val=""/>
      <w:lvlJc w:val="left"/>
    </w:lvl>
    <w:lvl w:ilvl="7" w:tplc="4B568224">
      <w:numFmt w:val="decimal"/>
      <w:lvlText w:val=""/>
      <w:lvlJc w:val="left"/>
    </w:lvl>
    <w:lvl w:ilvl="8" w:tplc="2A543BAC">
      <w:numFmt w:val="decimal"/>
      <w:lvlText w:val=""/>
      <w:lvlJc w:val="left"/>
    </w:lvl>
  </w:abstractNum>
  <w:abstractNum w:abstractNumId="1" w15:restartNumberingAfterBreak="0">
    <w:nsid w:val="1A1B3838"/>
    <w:multiLevelType w:val="hybridMultilevel"/>
    <w:tmpl w:val="1B40E9A4"/>
    <w:lvl w:ilvl="0" w:tplc="C5748A38">
      <w:start w:val="1"/>
      <w:numFmt w:val="bullet"/>
      <w:lvlText w:val="•"/>
      <w:lvlJc w:val="left"/>
      <w:pPr>
        <w:ind w:left="720" w:hanging="360"/>
      </w:pPr>
    </w:lvl>
    <w:lvl w:ilvl="1" w:tplc="F9EEEB22">
      <w:numFmt w:val="decimal"/>
      <w:lvlText w:val=""/>
      <w:lvlJc w:val="left"/>
    </w:lvl>
    <w:lvl w:ilvl="2" w:tplc="36C6AD92">
      <w:numFmt w:val="decimal"/>
      <w:lvlText w:val=""/>
      <w:lvlJc w:val="left"/>
    </w:lvl>
    <w:lvl w:ilvl="3" w:tplc="64AC7066">
      <w:numFmt w:val="decimal"/>
      <w:lvlText w:val=""/>
      <w:lvlJc w:val="left"/>
    </w:lvl>
    <w:lvl w:ilvl="4" w:tplc="6E868876">
      <w:numFmt w:val="decimal"/>
      <w:lvlText w:val=""/>
      <w:lvlJc w:val="left"/>
    </w:lvl>
    <w:lvl w:ilvl="5" w:tplc="9F9CCC98">
      <w:numFmt w:val="decimal"/>
      <w:lvlText w:val=""/>
      <w:lvlJc w:val="left"/>
    </w:lvl>
    <w:lvl w:ilvl="6" w:tplc="58B8F936">
      <w:numFmt w:val="decimal"/>
      <w:lvlText w:val=""/>
      <w:lvlJc w:val="left"/>
    </w:lvl>
    <w:lvl w:ilvl="7" w:tplc="10FAA20E">
      <w:numFmt w:val="decimal"/>
      <w:lvlText w:val=""/>
      <w:lvlJc w:val="left"/>
    </w:lvl>
    <w:lvl w:ilvl="8" w:tplc="91525C0A">
      <w:numFmt w:val="decimal"/>
      <w:lvlText w:val=""/>
      <w:lvlJc w:val="left"/>
    </w:lvl>
  </w:abstractNum>
  <w:abstractNum w:abstractNumId="2" w15:restartNumberingAfterBreak="0">
    <w:nsid w:val="1CE06900"/>
    <w:multiLevelType w:val="hybridMultilevel"/>
    <w:tmpl w:val="F684BFDA"/>
    <w:lvl w:ilvl="0" w:tplc="841C9AAC">
      <w:start w:val="1"/>
      <w:numFmt w:val="bullet"/>
      <w:lvlText w:val="•"/>
      <w:lvlJc w:val="left"/>
      <w:pPr>
        <w:ind w:left="720" w:hanging="360"/>
      </w:pPr>
    </w:lvl>
    <w:lvl w:ilvl="1" w:tplc="50BC992A">
      <w:numFmt w:val="decimal"/>
      <w:lvlText w:val=""/>
      <w:lvlJc w:val="left"/>
    </w:lvl>
    <w:lvl w:ilvl="2" w:tplc="549EC370">
      <w:numFmt w:val="decimal"/>
      <w:lvlText w:val=""/>
      <w:lvlJc w:val="left"/>
    </w:lvl>
    <w:lvl w:ilvl="3" w:tplc="4F9C6EF2">
      <w:numFmt w:val="decimal"/>
      <w:lvlText w:val=""/>
      <w:lvlJc w:val="left"/>
    </w:lvl>
    <w:lvl w:ilvl="4" w:tplc="9CA284E2">
      <w:numFmt w:val="decimal"/>
      <w:lvlText w:val=""/>
      <w:lvlJc w:val="left"/>
    </w:lvl>
    <w:lvl w:ilvl="5" w:tplc="727ED32E">
      <w:numFmt w:val="decimal"/>
      <w:lvlText w:val=""/>
      <w:lvlJc w:val="left"/>
    </w:lvl>
    <w:lvl w:ilvl="6" w:tplc="2ABA6696">
      <w:numFmt w:val="decimal"/>
      <w:lvlText w:val=""/>
      <w:lvlJc w:val="left"/>
    </w:lvl>
    <w:lvl w:ilvl="7" w:tplc="28F0D58C">
      <w:numFmt w:val="decimal"/>
      <w:lvlText w:val=""/>
      <w:lvlJc w:val="left"/>
    </w:lvl>
    <w:lvl w:ilvl="8" w:tplc="D6260B1C">
      <w:numFmt w:val="decimal"/>
      <w:lvlText w:val=""/>
      <w:lvlJc w:val="left"/>
    </w:lvl>
  </w:abstractNum>
  <w:abstractNum w:abstractNumId="3" w15:restartNumberingAfterBreak="0">
    <w:nsid w:val="39651B53"/>
    <w:multiLevelType w:val="hybridMultilevel"/>
    <w:tmpl w:val="F9A0F6F2"/>
    <w:lvl w:ilvl="0" w:tplc="6E120142">
      <w:start w:val="1"/>
      <w:numFmt w:val="bullet"/>
      <w:lvlText w:val="•"/>
      <w:lvlJc w:val="left"/>
      <w:pPr>
        <w:ind w:left="720" w:hanging="360"/>
      </w:pPr>
    </w:lvl>
    <w:lvl w:ilvl="1" w:tplc="BB88CE70">
      <w:numFmt w:val="decimal"/>
      <w:lvlText w:val=""/>
      <w:lvlJc w:val="left"/>
    </w:lvl>
    <w:lvl w:ilvl="2" w:tplc="30C0AD0E">
      <w:numFmt w:val="decimal"/>
      <w:lvlText w:val=""/>
      <w:lvlJc w:val="left"/>
    </w:lvl>
    <w:lvl w:ilvl="3" w:tplc="97D0B516">
      <w:numFmt w:val="decimal"/>
      <w:lvlText w:val=""/>
      <w:lvlJc w:val="left"/>
    </w:lvl>
    <w:lvl w:ilvl="4" w:tplc="C058A6D4">
      <w:numFmt w:val="decimal"/>
      <w:lvlText w:val=""/>
      <w:lvlJc w:val="left"/>
    </w:lvl>
    <w:lvl w:ilvl="5" w:tplc="9A646052">
      <w:numFmt w:val="decimal"/>
      <w:lvlText w:val=""/>
      <w:lvlJc w:val="left"/>
    </w:lvl>
    <w:lvl w:ilvl="6" w:tplc="AB8CB422">
      <w:numFmt w:val="decimal"/>
      <w:lvlText w:val=""/>
      <w:lvlJc w:val="left"/>
    </w:lvl>
    <w:lvl w:ilvl="7" w:tplc="F16AFAB8">
      <w:numFmt w:val="decimal"/>
      <w:lvlText w:val=""/>
      <w:lvlJc w:val="left"/>
    </w:lvl>
    <w:lvl w:ilvl="8" w:tplc="19AE695A">
      <w:numFmt w:val="decimal"/>
      <w:lvlText w:val=""/>
      <w:lvlJc w:val="left"/>
    </w:lvl>
  </w:abstractNum>
  <w:abstractNum w:abstractNumId="4" w15:restartNumberingAfterBreak="0">
    <w:nsid w:val="3E6F7281"/>
    <w:multiLevelType w:val="hybridMultilevel"/>
    <w:tmpl w:val="231C43CA"/>
    <w:lvl w:ilvl="0" w:tplc="12DCC0A8">
      <w:start w:val="1"/>
      <w:numFmt w:val="bullet"/>
      <w:lvlText w:val="•"/>
      <w:lvlJc w:val="left"/>
      <w:pPr>
        <w:ind w:left="720" w:hanging="360"/>
      </w:pPr>
    </w:lvl>
    <w:lvl w:ilvl="1" w:tplc="76EC986E">
      <w:numFmt w:val="decimal"/>
      <w:lvlText w:val=""/>
      <w:lvlJc w:val="left"/>
    </w:lvl>
    <w:lvl w:ilvl="2" w:tplc="3C226ED2">
      <w:numFmt w:val="decimal"/>
      <w:lvlText w:val=""/>
      <w:lvlJc w:val="left"/>
    </w:lvl>
    <w:lvl w:ilvl="3" w:tplc="CB726766">
      <w:numFmt w:val="decimal"/>
      <w:lvlText w:val=""/>
      <w:lvlJc w:val="left"/>
    </w:lvl>
    <w:lvl w:ilvl="4" w:tplc="55621A82">
      <w:numFmt w:val="decimal"/>
      <w:lvlText w:val=""/>
      <w:lvlJc w:val="left"/>
    </w:lvl>
    <w:lvl w:ilvl="5" w:tplc="3BA450C8">
      <w:numFmt w:val="decimal"/>
      <w:lvlText w:val=""/>
      <w:lvlJc w:val="left"/>
    </w:lvl>
    <w:lvl w:ilvl="6" w:tplc="5D4EFA9E">
      <w:numFmt w:val="decimal"/>
      <w:lvlText w:val=""/>
      <w:lvlJc w:val="left"/>
    </w:lvl>
    <w:lvl w:ilvl="7" w:tplc="3474C942">
      <w:numFmt w:val="decimal"/>
      <w:lvlText w:val=""/>
      <w:lvlJc w:val="left"/>
    </w:lvl>
    <w:lvl w:ilvl="8" w:tplc="9864CC02">
      <w:numFmt w:val="decimal"/>
      <w:lvlText w:val=""/>
      <w:lvlJc w:val="left"/>
    </w:lvl>
  </w:abstractNum>
  <w:abstractNum w:abstractNumId="5" w15:restartNumberingAfterBreak="0">
    <w:nsid w:val="47375A88"/>
    <w:multiLevelType w:val="hybridMultilevel"/>
    <w:tmpl w:val="AE20808C"/>
    <w:lvl w:ilvl="0" w:tplc="078608AA">
      <w:start w:val="1"/>
      <w:numFmt w:val="bullet"/>
      <w:lvlText w:val="•"/>
      <w:lvlJc w:val="left"/>
      <w:pPr>
        <w:ind w:left="720" w:hanging="360"/>
      </w:pPr>
    </w:lvl>
    <w:lvl w:ilvl="1" w:tplc="9CDACDF6">
      <w:numFmt w:val="decimal"/>
      <w:lvlText w:val=""/>
      <w:lvlJc w:val="left"/>
    </w:lvl>
    <w:lvl w:ilvl="2" w:tplc="08EA424C">
      <w:numFmt w:val="decimal"/>
      <w:lvlText w:val=""/>
      <w:lvlJc w:val="left"/>
    </w:lvl>
    <w:lvl w:ilvl="3" w:tplc="DACEA474">
      <w:numFmt w:val="decimal"/>
      <w:lvlText w:val=""/>
      <w:lvlJc w:val="left"/>
    </w:lvl>
    <w:lvl w:ilvl="4" w:tplc="6BAADD4A">
      <w:numFmt w:val="decimal"/>
      <w:lvlText w:val=""/>
      <w:lvlJc w:val="left"/>
    </w:lvl>
    <w:lvl w:ilvl="5" w:tplc="19D2EA22">
      <w:numFmt w:val="decimal"/>
      <w:lvlText w:val=""/>
      <w:lvlJc w:val="left"/>
    </w:lvl>
    <w:lvl w:ilvl="6" w:tplc="DC1EEE7E">
      <w:numFmt w:val="decimal"/>
      <w:lvlText w:val=""/>
      <w:lvlJc w:val="left"/>
    </w:lvl>
    <w:lvl w:ilvl="7" w:tplc="0AA477DE">
      <w:numFmt w:val="decimal"/>
      <w:lvlText w:val=""/>
      <w:lvlJc w:val="left"/>
    </w:lvl>
    <w:lvl w:ilvl="8" w:tplc="11541FFA">
      <w:numFmt w:val="decimal"/>
      <w:lvlText w:val=""/>
      <w:lvlJc w:val="left"/>
    </w:lvl>
  </w:abstractNum>
  <w:abstractNum w:abstractNumId="6" w15:restartNumberingAfterBreak="0">
    <w:nsid w:val="52107748"/>
    <w:multiLevelType w:val="hybridMultilevel"/>
    <w:tmpl w:val="B7A245AE"/>
    <w:lvl w:ilvl="0" w:tplc="8E2CD898">
      <w:start w:val="1"/>
      <w:numFmt w:val="bullet"/>
      <w:lvlText w:val="•"/>
      <w:lvlJc w:val="left"/>
      <w:pPr>
        <w:ind w:left="720" w:hanging="360"/>
      </w:pPr>
    </w:lvl>
    <w:lvl w:ilvl="1" w:tplc="E5520360">
      <w:numFmt w:val="decimal"/>
      <w:lvlText w:val=""/>
      <w:lvlJc w:val="left"/>
    </w:lvl>
    <w:lvl w:ilvl="2" w:tplc="C42EC98E">
      <w:numFmt w:val="decimal"/>
      <w:lvlText w:val=""/>
      <w:lvlJc w:val="left"/>
    </w:lvl>
    <w:lvl w:ilvl="3" w:tplc="F0360416">
      <w:numFmt w:val="decimal"/>
      <w:lvlText w:val=""/>
      <w:lvlJc w:val="left"/>
    </w:lvl>
    <w:lvl w:ilvl="4" w:tplc="084466A8">
      <w:numFmt w:val="decimal"/>
      <w:lvlText w:val=""/>
      <w:lvlJc w:val="left"/>
    </w:lvl>
    <w:lvl w:ilvl="5" w:tplc="90ACA526">
      <w:numFmt w:val="decimal"/>
      <w:lvlText w:val=""/>
      <w:lvlJc w:val="left"/>
    </w:lvl>
    <w:lvl w:ilvl="6" w:tplc="2388659C">
      <w:numFmt w:val="decimal"/>
      <w:lvlText w:val=""/>
      <w:lvlJc w:val="left"/>
    </w:lvl>
    <w:lvl w:ilvl="7" w:tplc="A8809FE6">
      <w:numFmt w:val="decimal"/>
      <w:lvlText w:val=""/>
      <w:lvlJc w:val="left"/>
    </w:lvl>
    <w:lvl w:ilvl="8" w:tplc="E6784BE0">
      <w:numFmt w:val="decimal"/>
      <w:lvlText w:val=""/>
      <w:lvlJc w:val="left"/>
    </w:lvl>
  </w:abstractNum>
  <w:abstractNum w:abstractNumId="7" w15:restartNumberingAfterBreak="0">
    <w:nsid w:val="691175C1"/>
    <w:multiLevelType w:val="hybridMultilevel"/>
    <w:tmpl w:val="5784F582"/>
    <w:lvl w:ilvl="0" w:tplc="09B0EBD6">
      <w:start w:val="1"/>
      <w:numFmt w:val="bullet"/>
      <w:lvlText w:val="•"/>
      <w:lvlJc w:val="left"/>
      <w:pPr>
        <w:ind w:left="720" w:hanging="360"/>
      </w:pPr>
    </w:lvl>
    <w:lvl w:ilvl="1" w:tplc="2F6C970E">
      <w:numFmt w:val="decimal"/>
      <w:lvlText w:val=""/>
      <w:lvlJc w:val="left"/>
    </w:lvl>
    <w:lvl w:ilvl="2" w:tplc="992A6348">
      <w:numFmt w:val="decimal"/>
      <w:lvlText w:val=""/>
      <w:lvlJc w:val="left"/>
    </w:lvl>
    <w:lvl w:ilvl="3" w:tplc="56B0FF78">
      <w:numFmt w:val="decimal"/>
      <w:lvlText w:val=""/>
      <w:lvlJc w:val="left"/>
    </w:lvl>
    <w:lvl w:ilvl="4" w:tplc="46140396">
      <w:numFmt w:val="decimal"/>
      <w:lvlText w:val=""/>
      <w:lvlJc w:val="left"/>
    </w:lvl>
    <w:lvl w:ilvl="5" w:tplc="FD8A56A0">
      <w:numFmt w:val="decimal"/>
      <w:lvlText w:val=""/>
      <w:lvlJc w:val="left"/>
    </w:lvl>
    <w:lvl w:ilvl="6" w:tplc="B33A51A8">
      <w:numFmt w:val="decimal"/>
      <w:lvlText w:val=""/>
      <w:lvlJc w:val="left"/>
    </w:lvl>
    <w:lvl w:ilvl="7" w:tplc="272622B6">
      <w:numFmt w:val="decimal"/>
      <w:lvlText w:val=""/>
      <w:lvlJc w:val="left"/>
    </w:lvl>
    <w:lvl w:ilvl="8" w:tplc="05E47CDE">
      <w:numFmt w:val="decimal"/>
      <w:lvlText w:val=""/>
      <w:lvlJc w:val="left"/>
    </w:lvl>
  </w:abstractNum>
  <w:abstractNum w:abstractNumId="8" w15:restartNumberingAfterBreak="0">
    <w:nsid w:val="6CB117D2"/>
    <w:multiLevelType w:val="hybridMultilevel"/>
    <w:tmpl w:val="FD567016"/>
    <w:lvl w:ilvl="0" w:tplc="90BCEFF8">
      <w:start w:val="1"/>
      <w:numFmt w:val="bullet"/>
      <w:lvlText w:val="•"/>
      <w:lvlJc w:val="left"/>
      <w:pPr>
        <w:ind w:left="720" w:hanging="360"/>
      </w:pPr>
    </w:lvl>
    <w:lvl w:ilvl="1" w:tplc="817AC76A">
      <w:numFmt w:val="decimal"/>
      <w:lvlText w:val=""/>
      <w:lvlJc w:val="left"/>
    </w:lvl>
    <w:lvl w:ilvl="2" w:tplc="AD4E2100">
      <w:numFmt w:val="decimal"/>
      <w:lvlText w:val=""/>
      <w:lvlJc w:val="left"/>
    </w:lvl>
    <w:lvl w:ilvl="3" w:tplc="57DE66C6">
      <w:numFmt w:val="decimal"/>
      <w:lvlText w:val=""/>
      <w:lvlJc w:val="left"/>
    </w:lvl>
    <w:lvl w:ilvl="4" w:tplc="59FCA950">
      <w:numFmt w:val="decimal"/>
      <w:lvlText w:val=""/>
      <w:lvlJc w:val="left"/>
    </w:lvl>
    <w:lvl w:ilvl="5" w:tplc="0B38DA92">
      <w:numFmt w:val="decimal"/>
      <w:lvlText w:val=""/>
      <w:lvlJc w:val="left"/>
    </w:lvl>
    <w:lvl w:ilvl="6" w:tplc="98E865E6">
      <w:numFmt w:val="decimal"/>
      <w:lvlText w:val=""/>
      <w:lvlJc w:val="left"/>
    </w:lvl>
    <w:lvl w:ilvl="7" w:tplc="7EA050CA">
      <w:numFmt w:val="decimal"/>
      <w:lvlText w:val=""/>
      <w:lvlJc w:val="left"/>
    </w:lvl>
    <w:lvl w:ilvl="8" w:tplc="D2A6D554">
      <w:numFmt w:val="decimal"/>
      <w:lvlText w:val=""/>
      <w:lvlJc w:val="left"/>
    </w:lvl>
  </w:abstractNum>
  <w:num w:numId="1" w16cid:durableId="2132355761">
    <w:abstractNumId w:val="1"/>
    <w:lvlOverride w:ilvl="0">
      <w:startOverride w:val="1"/>
    </w:lvlOverride>
  </w:num>
  <w:num w:numId="2" w16cid:durableId="265189066">
    <w:abstractNumId w:val="7"/>
    <w:lvlOverride w:ilvl="0">
      <w:startOverride w:val="1"/>
    </w:lvlOverride>
  </w:num>
  <w:num w:numId="3" w16cid:durableId="1684091722">
    <w:abstractNumId w:val="3"/>
    <w:lvlOverride w:ilvl="0">
      <w:startOverride w:val="1"/>
    </w:lvlOverride>
  </w:num>
  <w:num w:numId="4" w16cid:durableId="516387094">
    <w:abstractNumId w:val="0"/>
    <w:lvlOverride w:ilvl="0">
      <w:startOverride w:val="1"/>
    </w:lvlOverride>
  </w:num>
  <w:num w:numId="5" w16cid:durableId="402416779">
    <w:abstractNumId w:val="5"/>
    <w:lvlOverride w:ilvl="0">
      <w:startOverride w:val="1"/>
    </w:lvlOverride>
  </w:num>
  <w:num w:numId="6" w16cid:durableId="1468013647">
    <w:abstractNumId w:val="2"/>
    <w:lvlOverride w:ilvl="0">
      <w:startOverride w:val="1"/>
    </w:lvlOverride>
  </w:num>
  <w:num w:numId="7" w16cid:durableId="859930333">
    <w:abstractNumId w:val="6"/>
    <w:lvlOverride w:ilvl="0">
      <w:startOverride w:val="1"/>
    </w:lvlOverride>
  </w:num>
  <w:num w:numId="8" w16cid:durableId="1026365056">
    <w:abstractNumId w:val="8"/>
    <w:lvlOverride w:ilvl="0">
      <w:startOverride w:val="1"/>
    </w:lvlOverride>
  </w:num>
  <w:num w:numId="9" w16cid:durableId="126911630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DE"/>
    <w:rsid w:val="003008DF"/>
    <w:rsid w:val="006C4140"/>
    <w:rsid w:val="00865F8C"/>
    <w:rsid w:val="00BA5AAF"/>
    <w:rsid w:val="00D5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52D5E8"/>
  <w15:chartTrackingRefBased/>
  <w15:docId w15:val="{2E86B3D6-D855-3B42-957E-DDA5358F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DE"/>
    <w:pPr>
      <w:spacing w:after="0" w:line="240" w:lineRule="auto"/>
    </w:pPr>
    <w:rPr>
      <w:rFonts w:ascii="Arial" w:eastAsia="Arial" w:hAnsi="Arial" w:cs="Arial"/>
      <w:kern w:val="0"/>
      <w:sz w:val="21"/>
      <w:szCs w:val="21"/>
      <w14:ligatures w14:val="none"/>
    </w:rPr>
  </w:style>
  <w:style w:type="paragraph" w:styleId="Heading1">
    <w:name w:val="heading 1"/>
    <w:basedOn w:val="Normal"/>
    <w:next w:val="Normal"/>
    <w:link w:val="Heading1Char"/>
    <w:uiPriority w:val="9"/>
    <w:qFormat/>
    <w:rsid w:val="00D51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1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4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4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4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4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1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4DE"/>
    <w:rPr>
      <w:rFonts w:eastAsiaTheme="majorEastAsia" w:cstheme="majorBidi"/>
      <w:color w:val="272727" w:themeColor="text1" w:themeTint="D8"/>
    </w:rPr>
  </w:style>
  <w:style w:type="paragraph" w:styleId="Title">
    <w:name w:val="Title"/>
    <w:basedOn w:val="Normal"/>
    <w:next w:val="Normal"/>
    <w:link w:val="TitleChar"/>
    <w:uiPriority w:val="10"/>
    <w:qFormat/>
    <w:rsid w:val="00D514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4DE"/>
    <w:pPr>
      <w:spacing w:before="160"/>
      <w:jc w:val="center"/>
    </w:pPr>
    <w:rPr>
      <w:i/>
      <w:iCs/>
      <w:color w:val="404040" w:themeColor="text1" w:themeTint="BF"/>
    </w:rPr>
  </w:style>
  <w:style w:type="character" w:customStyle="1" w:styleId="QuoteChar">
    <w:name w:val="Quote Char"/>
    <w:basedOn w:val="DefaultParagraphFont"/>
    <w:link w:val="Quote"/>
    <w:uiPriority w:val="29"/>
    <w:rsid w:val="00D514DE"/>
    <w:rPr>
      <w:i/>
      <w:iCs/>
      <w:color w:val="404040" w:themeColor="text1" w:themeTint="BF"/>
    </w:rPr>
  </w:style>
  <w:style w:type="paragraph" w:styleId="ListParagraph">
    <w:name w:val="List Paragraph"/>
    <w:basedOn w:val="Normal"/>
    <w:qFormat/>
    <w:rsid w:val="00D514DE"/>
    <w:pPr>
      <w:ind w:left="720"/>
      <w:contextualSpacing/>
    </w:pPr>
  </w:style>
  <w:style w:type="character" w:styleId="IntenseEmphasis">
    <w:name w:val="Intense Emphasis"/>
    <w:basedOn w:val="DefaultParagraphFont"/>
    <w:uiPriority w:val="21"/>
    <w:qFormat/>
    <w:rsid w:val="00D514DE"/>
    <w:rPr>
      <w:i/>
      <w:iCs/>
      <w:color w:val="0F4761" w:themeColor="accent1" w:themeShade="BF"/>
    </w:rPr>
  </w:style>
  <w:style w:type="paragraph" w:styleId="IntenseQuote">
    <w:name w:val="Intense Quote"/>
    <w:basedOn w:val="Normal"/>
    <w:next w:val="Normal"/>
    <w:link w:val="IntenseQuoteChar"/>
    <w:uiPriority w:val="30"/>
    <w:qFormat/>
    <w:rsid w:val="00D51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4DE"/>
    <w:rPr>
      <w:i/>
      <w:iCs/>
      <w:color w:val="0F4761" w:themeColor="accent1" w:themeShade="BF"/>
    </w:rPr>
  </w:style>
  <w:style w:type="character" w:styleId="IntenseReference">
    <w:name w:val="Intense Reference"/>
    <w:basedOn w:val="DefaultParagraphFont"/>
    <w:uiPriority w:val="32"/>
    <w:qFormat/>
    <w:rsid w:val="00D514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2605</Words>
  <Characters>16935</Characters>
  <Application>Microsoft Office Word</Application>
  <DocSecurity>0</DocSecurity>
  <Lines>384</Lines>
  <Paragraphs>271</Paragraphs>
  <ScaleCrop>false</ScaleCrop>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N</dc:creator>
  <cp:keywords/>
  <dc:description/>
  <cp:lastModifiedBy>N N</cp:lastModifiedBy>
  <cp:revision>4</cp:revision>
  <dcterms:created xsi:type="dcterms:W3CDTF">2026-02-18T16:29:00Z</dcterms:created>
  <dcterms:modified xsi:type="dcterms:W3CDTF">2026-02-18T19:23:00Z</dcterms:modified>
</cp:coreProperties>
</file>