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7AB8" w:rsidR="00355FFC" w:rsidP="5F895AD1" w:rsidRDefault="00F743C7" w14:paraId="3B3BA7E5" w14:textId="192DC26C">
      <w:pPr>
        <w:ind w:left="360"/>
        <w:outlineLvl w:val="0"/>
        <w:rPr>
          <w:rFonts w:ascii="Verdana" w:hAnsi="Verdana"/>
          <w:b w:val="1"/>
          <w:bCs w:val="1"/>
          <w:i w:val="1"/>
          <w:iCs w:val="1"/>
        </w:rPr>
      </w:pPr>
      <w:r w:rsidRPr="5F895AD1" w:rsidR="00F743C7">
        <w:rPr>
          <w:rFonts w:ascii="Verdana" w:hAnsi="Verdana"/>
          <w:b w:val="1"/>
          <w:bCs w:val="1"/>
          <w:i w:val="1"/>
          <w:iCs w:val="1"/>
          <w:highlight w:val="yellow"/>
        </w:rPr>
        <w:t>Sample</w:t>
      </w:r>
      <w:r w:rsidRPr="5F895AD1" w:rsidR="00355FFC">
        <w:rPr>
          <w:rFonts w:ascii="Verdana" w:hAnsi="Verdana"/>
          <w:b w:val="1"/>
          <w:bCs w:val="1"/>
          <w:i w:val="1"/>
          <w:iCs w:val="1"/>
          <w:highlight w:val="yellow"/>
        </w:rPr>
        <w:t xml:space="preserve"> </w:t>
      </w:r>
    </w:p>
    <w:p w:rsidR="00355FFC" w:rsidRDefault="00355FFC" w14:paraId="3B3BA7E6" w14:textId="77777777">
      <w:pPr>
        <w:jc w:val="center"/>
        <w:rPr>
          <w:rFonts w:ascii="Verdana" w:hAnsi="Verdana"/>
          <w:sz w:val="22"/>
        </w:rPr>
      </w:pPr>
    </w:p>
    <w:p w:rsidRPr="00A91095" w:rsidR="00355FFC" w:rsidRDefault="00355FFC" w14:paraId="3B3BA7E7" w14:textId="77777777">
      <w:pPr>
        <w:jc w:val="center"/>
        <w:outlineLvl w:val="0"/>
        <w:rPr>
          <w:rFonts w:ascii="Verdana" w:hAnsi="Verdana"/>
          <w:b/>
          <w:szCs w:val="24"/>
        </w:rPr>
      </w:pPr>
      <w:r w:rsidRPr="00A91095">
        <w:rPr>
          <w:rFonts w:ascii="Verdana" w:hAnsi="Verdana"/>
          <w:b/>
          <w:szCs w:val="24"/>
        </w:rPr>
        <w:t>RISK MANAGEMENT POLICY</w:t>
      </w:r>
    </w:p>
    <w:p w:rsidR="00355FFC" w:rsidRDefault="00355FFC" w14:paraId="3B3BA7E8" w14:textId="77777777">
      <w:pPr>
        <w:rPr>
          <w:rFonts w:ascii="Verdana" w:hAnsi="Verdana"/>
          <w:sz w:val="22"/>
        </w:rPr>
      </w:pPr>
    </w:p>
    <w:p w:rsidR="00355FFC" w:rsidRDefault="00355FFC" w14:paraId="3B3BA7E9" w14:textId="77777777">
      <w:pPr>
        <w:numPr>
          <w:ilvl w:val="0"/>
          <w:numId w:val="1"/>
        </w:numPr>
        <w:rPr>
          <w:rFonts w:ascii="Verdana" w:hAnsi="Verdana"/>
          <w:b/>
          <w:sz w:val="22"/>
        </w:rPr>
      </w:pPr>
      <w:r>
        <w:rPr>
          <w:rFonts w:ascii="Verdana" w:hAnsi="Verdana"/>
          <w:b/>
          <w:sz w:val="22"/>
        </w:rPr>
        <w:t>Scope</w:t>
      </w:r>
      <w:r w:rsidR="00E47AB8">
        <w:rPr>
          <w:rFonts w:ascii="Verdana" w:hAnsi="Verdana"/>
          <w:b/>
          <w:sz w:val="22"/>
        </w:rPr>
        <w:t xml:space="preserve"> and Rationale</w:t>
      </w:r>
    </w:p>
    <w:p w:rsidR="00355FFC" w:rsidRDefault="00355FFC" w14:paraId="3B3BA7EA" w14:textId="77777777">
      <w:pPr>
        <w:rPr>
          <w:rFonts w:ascii="Verdana" w:hAnsi="Verdana"/>
          <w:b/>
          <w:sz w:val="22"/>
        </w:rPr>
      </w:pPr>
    </w:p>
    <w:p w:rsidR="00355FFC" w:rsidRDefault="00543CC9" w14:paraId="3B3BA7EB" w14:textId="77777777">
      <w:pPr>
        <w:pStyle w:val="BodyTextIndent"/>
        <w:rPr>
          <w:rFonts w:ascii="Verdana" w:hAnsi="Verdana"/>
          <w:sz w:val="22"/>
        </w:rPr>
      </w:pPr>
      <w:r>
        <w:rPr>
          <w:rFonts w:ascii="Verdana" w:hAnsi="Verdana"/>
          <w:b/>
          <w:bCs/>
          <w:sz w:val="22"/>
          <w:highlight w:val="yellow"/>
        </w:rPr>
        <w:t>Organisation</w:t>
      </w:r>
      <w:r w:rsidR="00355FFC">
        <w:rPr>
          <w:rFonts w:ascii="Verdana" w:hAnsi="Verdana"/>
          <w:sz w:val="22"/>
        </w:rPr>
        <w:t xml:space="preserve"> is committed to the management of risk as an integral part of its operations, </w:t>
      </w:r>
      <w:r w:rsidR="00372F96">
        <w:rPr>
          <w:rFonts w:ascii="Verdana" w:hAnsi="Verdana"/>
          <w:sz w:val="22"/>
        </w:rPr>
        <w:t>implementing</w:t>
      </w:r>
      <w:r w:rsidR="00355FFC">
        <w:rPr>
          <w:rFonts w:ascii="Verdana" w:hAnsi="Verdana"/>
          <w:sz w:val="22"/>
        </w:rPr>
        <w:t xml:space="preserve"> strategies to minimise </w:t>
      </w:r>
      <w:r w:rsidR="004D7FA6">
        <w:rPr>
          <w:rFonts w:ascii="Verdana" w:hAnsi="Verdana"/>
          <w:sz w:val="22"/>
        </w:rPr>
        <w:t xml:space="preserve">threats </w:t>
      </w:r>
      <w:r w:rsidR="00355FFC">
        <w:rPr>
          <w:rFonts w:ascii="Verdana" w:hAnsi="Verdana"/>
          <w:sz w:val="22"/>
        </w:rPr>
        <w:t xml:space="preserve">to </w:t>
      </w:r>
      <w:r w:rsidR="00D2565F">
        <w:rPr>
          <w:rFonts w:ascii="Verdana" w:hAnsi="Verdana"/>
          <w:sz w:val="22"/>
        </w:rPr>
        <w:t xml:space="preserve">the achievement of </w:t>
      </w:r>
      <w:r w:rsidR="00E47AB8">
        <w:rPr>
          <w:rFonts w:ascii="Verdana" w:hAnsi="Verdana"/>
          <w:sz w:val="22"/>
        </w:rPr>
        <w:t>organisational</w:t>
      </w:r>
      <w:r w:rsidR="00355FFC">
        <w:rPr>
          <w:rFonts w:ascii="Verdana" w:hAnsi="Verdana"/>
          <w:sz w:val="22"/>
        </w:rPr>
        <w:t xml:space="preserve"> goals and objectives.</w:t>
      </w:r>
    </w:p>
    <w:p w:rsidR="00355FFC" w:rsidRDefault="00355FFC" w14:paraId="3B3BA7EC" w14:textId="77777777">
      <w:pPr>
        <w:pStyle w:val="BodyTextIndent"/>
        <w:rPr>
          <w:rFonts w:ascii="Verdana" w:hAnsi="Verdana"/>
          <w:sz w:val="22"/>
        </w:rPr>
      </w:pPr>
    </w:p>
    <w:p w:rsidRPr="00E47AB8" w:rsidR="00E47AB8" w:rsidP="00E47AB8" w:rsidRDefault="00E47AB8" w14:paraId="3B3BA7ED" w14:textId="77777777">
      <w:pPr>
        <w:pStyle w:val="BodyTextIndent"/>
        <w:rPr>
          <w:rFonts w:ascii="Verdana" w:hAnsi="Verdana"/>
          <w:sz w:val="22"/>
        </w:rPr>
      </w:pPr>
      <w:r w:rsidRPr="00E47AB8">
        <w:rPr>
          <w:rFonts w:ascii="Verdana" w:hAnsi="Verdana"/>
          <w:sz w:val="22"/>
        </w:rPr>
        <w:t>Effective risk</w:t>
      </w:r>
      <w:r>
        <w:rPr>
          <w:rFonts w:ascii="Verdana" w:hAnsi="Verdana"/>
          <w:sz w:val="22"/>
        </w:rPr>
        <w:t xml:space="preserve"> </w:t>
      </w:r>
      <w:r w:rsidRPr="00E47AB8">
        <w:rPr>
          <w:rFonts w:ascii="Verdana" w:hAnsi="Verdana"/>
          <w:sz w:val="22"/>
        </w:rPr>
        <w:t>management allows us to:</w:t>
      </w:r>
    </w:p>
    <w:p w:rsidRPr="00E47AB8" w:rsidR="00E47AB8" w:rsidP="00E47AB8" w:rsidRDefault="00E47AB8" w14:paraId="3B3BA7EE" w14:textId="77777777">
      <w:pPr>
        <w:pStyle w:val="BodyTextIndent"/>
        <w:numPr>
          <w:ilvl w:val="0"/>
          <w:numId w:val="3"/>
        </w:numPr>
        <w:rPr>
          <w:rFonts w:ascii="Verdana" w:hAnsi="Verdana"/>
          <w:sz w:val="22"/>
        </w:rPr>
      </w:pPr>
      <w:r w:rsidRPr="00E47AB8">
        <w:rPr>
          <w:rFonts w:ascii="Verdana" w:hAnsi="Verdana"/>
          <w:sz w:val="22"/>
        </w:rPr>
        <w:t>Have increased confidence in achieving</w:t>
      </w:r>
      <w:r>
        <w:rPr>
          <w:rFonts w:ascii="Verdana" w:hAnsi="Verdana"/>
          <w:sz w:val="22"/>
        </w:rPr>
        <w:t xml:space="preserve"> </w:t>
      </w:r>
      <w:r w:rsidRPr="00E47AB8">
        <w:rPr>
          <w:rFonts w:ascii="Verdana" w:hAnsi="Verdana"/>
          <w:sz w:val="22"/>
        </w:rPr>
        <w:t xml:space="preserve">our </w:t>
      </w:r>
      <w:r>
        <w:rPr>
          <w:rFonts w:ascii="Verdana" w:hAnsi="Verdana"/>
          <w:sz w:val="22"/>
        </w:rPr>
        <w:t>goals</w:t>
      </w:r>
    </w:p>
    <w:p w:rsidRPr="00E47AB8" w:rsidR="00E47AB8" w:rsidP="00E47AB8" w:rsidRDefault="00372F96" w14:paraId="3B3BA7EF" w14:textId="77777777">
      <w:pPr>
        <w:pStyle w:val="BodyTextIndent"/>
        <w:numPr>
          <w:ilvl w:val="0"/>
          <w:numId w:val="3"/>
        </w:numPr>
        <w:rPr>
          <w:rFonts w:ascii="Verdana" w:hAnsi="Verdana"/>
          <w:sz w:val="22"/>
        </w:rPr>
      </w:pPr>
      <w:r>
        <w:rPr>
          <w:rFonts w:ascii="Verdana" w:hAnsi="Verdana"/>
          <w:sz w:val="22"/>
        </w:rPr>
        <w:t>Manage</w:t>
      </w:r>
      <w:r w:rsidRPr="00E47AB8" w:rsidR="00E47AB8">
        <w:rPr>
          <w:rFonts w:ascii="Verdana" w:hAnsi="Verdana"/>
          <w:sz w:val="22"/>
        </w:rPr>
        <w:t xml:space="preserve"> risks </w:t>
      </w:r>
      <w:r w:rsidR="004D7FA6">
        <w:rPr>
          <w:rFonts w:ascii="Verdana" w:hAnsi="Verdana"/>
          <w:sz w:val="22"/>
        </w:rPr>
        <w:t>at tolerable</w:t>
      </w:r>
      <w:r w:rsidRPr="00E47AB8" w:rsidR="00E47AB8">
        <w:rPr>
          <w:rFonts w:ascii="Verdana" w:hAnsi="Verdana"/>
          <w:sz w:val="22"/>
        </w:rPr>
        <w:t xml:space="preserve"> levels</w:t>
      </w:r>
    </w:p>
    <w:p w:rsidRPr="00E47AB8" w:rsidR="00E47AB8" w:rsidP="00E47AB8" w:rsidRDefault="00E47AB8" w14:paraId="3B3BA7F0" w14:textId="77777777">
      <w:pPr>
        <w:pStyle w:val="BodyTextIndent"/>
        <w:numPr>
          <w:ilvl w:val="0"/>
          <w:numId w:val="3"/>
        </w:numPr>
        <w:rPr>
          <w:rFonts w:ascii="Verdana" w:hAnsi="Verdana"/>
          <w:sz w:val="22"/>
        </w:rPr>
      </w:pPr>
      <w:r w:rsidRPr="00E47AB8">
        <w:rPr>
          <w:rFonts w:ascii="Verdana" w:hAnsi="Verdana"/>
          <w:sz w:val="22"/>
        </w:rPr>
        <w:t>Make informed decisions</w:t>
      </w:r>
    </w:p>
    <w:p w:rsidR="00E47AB8" w:rsidP="00E47AB8" w:rsidRDefault="00496ED8" w14:paraId="3B3BA7F1" w14:textId="77777777">
      <w:pPr>
        <w:pStyle w:val="BodyTextIndent"/>
        <w:numPr>
          <w:ilvl w:val="0"/>
          <w:numId w:val="3"/>
        </w:numPr>
        <w:rPr>
          <w:rFonts w:ascii="Verdana" w:hAnsi="Verdana"/>
          <w:sz w:val="22"/>
        </w:rPr>
      </w:pPr>
      <w:r>
        <w:rPr>
          <w:rFonts w:ascii="Verdana" w:hAnsi="Verdana"/>
          <w:sz w:val="22"/>
        </w:rPr>
        <w:t xml:space="preserve">Strengthen our </w:t>
      </w:r>
      <w:r w:rsidRPr="00E47AB8" w:rsidR="00E47AB8">
        <w:rPr>
          <w:rFonts w:ascii="Verdana" w:hAnsi="Verdana"/>
          <w:sz w:val="22"/>
        </w:rPr>
        <w:t>governance procedures</w:t>
      </w:r>
    </w:p>
    <w:p w:rsidR="00E47AB8" w:rsidRDefault="00E47AB8" w14:paraId="3B3BA7F2" w14:textId="77777777">
      <w:pPr>
        <w:pStyle w:val="BodyTextIndent"/>
        <w:rPr>
          <w:rFonts w:ascii="Verdana" w:hAnsi="Verdana"/>
          <w:sz w:val="22"/>
        </w:rPr>
      </w:pPr>
    </w:p>
    <w:p w:rsidR="00355FFC" w:rsidRDefault="00355FFC" w14:paraId="3B3BA7F3" w14:textId="77777777">
      <w:pPr>
        <w:pStyle w:val="BodyTextIndent"/>
        <w:numPr>
          <w:ilvl w:val="0"/>
          <w:numId w:val="1"/>
        </w:numPr>
        <w:rPr>
          <w:rFonts w:ascii="Verdana" w:hAnsi="Verdana"/>
          <w:b/>
          <w:sz w:val="22"/>
        </w:rPr>
      </w:pPr>
      <w:r>
        <w:rPr>
          <w:rFonts w:ascii="Verdana" w:hAnsi="Verdana"/>
          <w:b/>
          <w:sz w:val="22"/>
        </w:rPr>
        <w:t>Objectives</w:t>
      </w:r>
    </w:p>
    <w:p w:rsidR="00355FFC" w:rsidRDefault="00355FFC" w14:paraId="3B3BA7F4" w14:textId="77777777">
      <w:pPr>
        <w:pStyle w:val="BodyTextIndent"/>
        <w:ind w:left="0"/>
        <w:rPr>
          <w:rFonts w:ascii="Verdana" w:hAnsi="Verdana"/>
          <w:b/>
          <w:sz w:val="22"/>
        </w:rPr>
      </w:pPr>
    </w:p>
    <w:p w:rsidR="00355FFC" w:rsidRDefault="00355FFC" w14:paraId="3B3BA7F5" w14:textId="77777777">
      <w:pPr>
        <w:pStyle w:val="BodyTextIndent"/>
        <w:rPr>
          <w:rFonts w:ascii="Verdana" w:hAnsi="Verdana"/>
          <w:sz w:val="22"/>
        </w:rPr>
      </w:pPr>
      <w:r>
        <w:rPr>
          <w:rFonts w:ascii="Verdana" w:hAnsi="Verdana"/>
          <w:sz w:val="22"/>
        </w:rPr>
        <w:t xml:space="preserve">The </w:t>
      </w:r>
      <w:r w:rsidR="004D7FA6">
        <w:rPr>
          <w:rFonts w:ascii="Verdana" w:hAnsi="Verdana"/>
          <w:sz w:val="22"/>
        </w:rPr>
        <w:t xml:space="preserve">risk management </w:t>
      </w:r>
      <w:r>
        <w:rPr>
          <w:rFonts w:ascii="Verdana" w:hAnsi="Verdana"/>
          <w:sz w:val="22"/>
        </w:rPr>
        <w:t xml:space="preserve">objectives of </w:t>
      </w:r>
      <w:r w:rsidR="00543CC9">
        <w:rPr>
          <w:rFonts w:ascii="Verdana" w:hAnsi="Verdana"/>
          <w:sz w:val="22"/>
          <w:highlight w:val="yellow"/>
        </w:rPr>
        <w:t>Organisation</w:t>
      </w:r>
      <w:r w:rsidR="00D2565F">
        <w:rPr>
          <w:rFonts w:ascii="Verdana" w:hAnsi="Verdana"/>
          <w:sz w:val="22"/>
        </w:rPr>
        <w:t xml:space="preserve"> </w:t>
      </w:r>
      <w:r>
        <w:rPr>
          <w:rFonts w:ascii="Verdana" w:hAnsi="Verdana"/>
          <w:sz w:val="22"/>
        </w:rPr>
        <w:t>are to;</w:t>
      </w:r>
    </w:p>
    <w:p w:rsidR="00496ED8" w:rsidP="00543CC9" w:rsidRDefault="00496ED8" w14:paraId="3B3BA7F6" w14:textId="77777777">
      <w:pPr>
        <w:pStyle w:val="BodyTextIndent"/>
        <w:numPr>
          <w:ilvl w:val="0"/>
          <w:numId w:val="2"/>
        </w:numPr>
        <w:tabs>
          <w:tab w:val="clear" w:pos="360"/>
          <w:tab w:val="num" w:pos="1080"/>
        </w:tabs>
        <w:ind w:left="1080"/>
        <w:rPr>
          <w:rFonts w:ascii="Verdana" w:hAnsi="Verdana"/>
          <w:sz w:val="22"/>
        </w:rPr>
      </w:pPr>
      <w:r>
        <w:rPr>
          <w:rFonts w:ascii="Verdana" w:hAnsi="Verdana"/>
          <w:sz w:val="22"/>
        </w:rPr>
        <w:t xml:space="preserve">establish an effective system of risk identification, analysis, evaluation and treatment within all areas </w:t>
      </w:r>
      <w:r w:rsidRPr="00DB3FF7">
        <w:rPr>
          <w:rFonts w:ascii="Verdana" w:hAnsi="Verdana"/>
          <w:sz w:val="22"/>
        </w:rPr>
        <w:t>and all levels</w:t>
      </w:r>
      <w:r>
        <w:rPr>
          <w:rFonts w:ascii="Verdana" w:hAnsi="Verdana"/>
          <w:sz w:val="22"/>
        </w:rPr>
        <w:t xml:space="preserve"> of the </w:t>
      </w:r>
      <w:r w:rsidR="00543CC9">
        <w:rPr>
          <w:rFonts w:ascii="Verdana" w:hAnsi="Verdana"/>
          <w:sz w:val="22"/>
        </w:rPr>
        <w:t>organisation</w:t>
      </w:r>
      <w:r>
        <w:rPr>
          <w:rFonts w:ascii="Verdana" w:hAnsi="Verdana"/>
          <w:sz w:val="22"/>
        </w:rPr>
        <w:t>;</w:t>
      </w:r>
    </w:p>
    <w:p w:rsidR="00E47AB8" w:rsidP="00355FFC" w:rsidRDefault="00E47AB8" w14:paraId="3B3BA7F7" w14:textId="77777777">
      <w:pPr>
        <w:pStyle w:val="BodyTextIndent"/>
        <w:numPr>
          <w:ilvl w:val="0"/>
          <w:numId w:val="2"/>
        </w:numPr>
        <w:tabs>
          <w:tab w:val="clear" w:pos="360"/>
          <w:tab w:val="num" w:pos="1080"/>
        </w:tabs>
        <w:ind w:left="1080"/>
        <w:rPr>
          <w:rFonts w:ascii="Verdana" w:hAnsi="Verdana"/>
          <w:sz w:val="22"/>
        </w:rPr>
      </w:pPr>
      <w:r>
        <w:rPr>
          <w:rFonts w:ascii="Verdana" w:hAnsi="Verdana"/>
          <w:sz w:val="22"/>
        </w:rPr>
        <w:t xml:space="preserve">embed </w:t>
      </w:r>
      <w:r w:rsidR="00D2565F">
        <w:rPr>
          <w:rFonts w:ascii="Verdana" w:hAnsi="Verdana"/>
          <w:sz w:val="22"/>
        </w:rPr>
        <w:t xml:space="preserve">the management of </w:t>
      </w:r>
      <w:r>
        <w:rPr>
          <w:rFonts w:ascii="Verdana" w:hAnsi="Verdana"/>
          <w:sz w:val="22"/>
        </w:rPr>
        <w:t>risk as an integral part o</w:t>
      </w:r>
      <w:r w:rsidR="00372F96">
        <w:rPr>
          <w:rFonts w:ascii="Verdana" w:hAnsi="Verdana"/>
          <w:sz w:val="22"/>
        </w:rPr>
        <w:t>f our business</w:t>
      </w:r>
      <w:r w:rsidR="00662AD9">
        <w:rPr>
          <w:rFonts w:ascii="Verdana" w:hAnsi="Verdana"/>
          <w:sz w:val="22"/>
        </w:rPr>
        <w:t xml:space="preserve"> process</w:t>
      </w:r>
      <w:r w:rsidR="00372F96">
        <w:rPr>
          <w:rFonts w:ascii="Verdana" w:hAnsi="Verdana"/>
          <w:sz w:val="22"/>
        </w:rPr>
        <w:t>es</w:t>
      </w:r>
      <w:r w:rsidR="00662AD9">
        <w:rPr>
          <w:rFonts w:ascii="Verdana" w:hAnsi="Verdana"/>
          <w:sz w:val="22"/>
        </w:rPr>
        <w:t>;</w:t>
      </w:r>
    </w:p>
    <w:p w:rsidR="006E1F46" w:rsidP="006E1F46" w:rsidRDefault="006E1F46" w14:paraId="3B3BA7F8" w14:textId="77777777">
      <w:pPr>
        <w:pStyle w:val="BodyTextIndent"/>
        <w:numPr>
          <w:ilvl w:val="0"/>
          <w:numId w:val="2"/>
        </w:numPr>
        <w:tabs>
          <w:tab w:val="clear" w:pos="360"/>
          <w:tab w:val="num" w:pos="1080"/>
        </w:tabs>
        <w:ind w:left="1080"/>
        <w:rPr>
          <w:rFonts w:ascii="Verdana" w:hAnsi="Verdana"/>
          <w:sz w:val="22"/>
        </w:rPr>
      </w:pPr>
      <w:r>
        <w:rPr>
          <w:rFonts w:ascii="Verdana" w:hAnsi="Verdana"/>
          <w:sz w:val="22"/>
        </w:rPr>
        <w:t>avoid exposure to significant reputational or financial loss;</w:t>
      </w:r>
    </w:p>
    <w:p w:rsidR="006E1F46" w:rsidP="00543CC9" w:rsidRDefault="006E1F46" w14:paraId="3B3BA7F9" w14:textId="77777777">
      <w:pPr>
        <w:pStyle w:val="BodyTextIndent"/>
        <w:numPr>
          <w:ilvl w:val="0"/>
          <w:numId w:val="2"/>
        </w:numPr>
        <w:tabs>
          <w:tab w:val="clear" w:pos="360"/>
          <w:tab w:val="num" w:pos="1080"/>
        </w:tabs>
        <w:ind w:left="1080"/>
        <w:rPr>
          <w:rFonts w:ascii="Verdana" w:hAnsi="Verdana"/>
          <w:sz w:val="22"/>
        </w:rPr>
      </w:pPr>
      <w:r>
        <w:rPr>
          <w:rFonts w:ascii="Verdana" w:hAnsi="Verdana"/>
          <w:sz w:val="22"/>
        </w:rPr>
        <w:t xml:space="preserve">contribute to the </w:t>
      </w:r>
      <w:r w:rsidR="00A91095">
        <w:rPr>
          <w:rFonts w:ascii="Verdana" w:hAnsi="Verdana"/>
          <w:sz w:val="22"/>
        </w:rPr>
        <w:t xml:space="preserve">achievement of </w:t>
      </w:r>
      <w:r w:rsidR="00484020">
        <w:rPr>
          <w:rFonts w:ascii="Verdana" w:hAnsi="Verdana"/>
          <w:sz w:val="22"/>
        </w:rPr>
        <w:t xml:space="preserve">the </w:t>
      </w:r>
      <w:r w:rsidR="00543CC9">
        <w:rPr>
          <w:rFonts w:ascii="Verdana" w:hAnsi="Verdana"/>
          <w:sz w:val="22"/>
        </w:rPr>
        <w:t>organisation</w:t>
      </w:r>
      <w:r w:rsidR="00A91095">
        <w:rPr>
          <w:rFonts w:ascii="Verdana" w:hAnsi="Verdana"/>
          <w:sz w:val="22"/>
        </w:rPr>
        <w:t xml:space="preserve"> objectives</w:t>
      </w:r>
      <w:r w:rsidR="00D2565F">
        <w:rPr>
          <w:rFonts w:ascii="Verdana" w:hAnsi="Verdana"/>
          <w:sz w:val="22"/>
        </w:rPr>
        <w:t>; and</w:t>
      </w:r>
    </w:p>
    <w:p w:rsidR="00355FFC" w:rsidP="00DB3FF7" w:rsidRDefault="00355FFC" w14:paraId="3B3BA7FA" w14:textId="77777777">
      <w:pPr>
        <w:pStyle w:val="BodyTextIndent"/>
        <w:numPr>
          <w:ilvl w:val="0"/>
          <w:numId w:val="2"/>
        </w:numPr>
        <w:tabs>
          <w:tab w:val="clear" w:pos="360"/>
          <w:tab w:val="num" w:pos="1080"/>
        </w:tabs>
        <w:ind w:left="1080"/>
        <w:rPr>
          <w:rFonts w:ascii="Verdana" w:hAnsi="Verdana"/>
          <w:sz w:val="22"/>
        </w:rPr>
      </w:pPr>
      <w:r>
        <w:rPr>
          <w:rFonts w:ascii="Verdana" w:hAnsi="Verdana"/>
          <w:sz w:val="22"/>
        </w:rPr>
        <w:t>assess the benefits</w:t>
      </w:r>
      <w:r w:rsidR="00DB3FF7">
        <w:rPr>
          <w:rFonts w:ascii="Verdana" w:hAnsi="Verdana"/>
          <w:sz w:val="22"/>
        </w:rPr>
        <w:t xml:space="preserve"> and</w:t>
      </w:r>
      <w:r>
        <w:rPr>
          <w:rFonts w:ascii="Verdana" w:hAnsi="Verdana"/>
          <w:sz w:val="22"/>
        </w:rPr>
        <w:t xml:space="preserve"> costs </w:t>
      </w:r>
      <w:r w:rsidR="00DB3FF7">
        <w:rPr>
          <w:rFonts w:ascii="Verdana" w:hAnsi="Verdana"/>
          <w:sz w:val="22"/>
        </w:rPr>
        <w:t xml:space="preserve">of </w:t>
      </w:r>
      <w:r>
        <w:rPr>
          <w:rFonts w:ascii="Verdana" w:hAnsi="Verdana"/>
          <w:sz w:val="22"/>
        </w:rPr>
        <w:t>implementation of available opti</w:t>
      </w:r>
      <w:r w:rsidR="00AA686E">
        <w:rPr>
          <w:rFonts w:ascii="Verdana" w:hAnsi="Verdana"/>
          <w:sz w:val="22"/>
        </w:rPr>
        <w:t>ons and controls to manage risk.</w:t>
      </w:r>
    </w:p>
    <w:p w:rsidR="00355FFC" w:rsidRDefault="00355FFC" w14:paraId="3B3BA7FB" w14:textId="77777777">
      <w:pPr>
        <w:pStyle w:val="BodyTextIndent"/>
        <w:rPr>
          <w:rFonts w:ascii="Verdana" w:hAnsi="Verdana"/>
          <w:sz w:val="22"/>
        </w:rPr>
      </w:pPr>
    </w:p>
    <w:p w:rsidR="00355FFC" w:rsidRDefault="00355FFC" w14:paraId="3B3BA7FC" w14:textId="77777777">
      <w:pPr>
        <w:pStyle w:val="BodyTextIndent"/>
        <w:numPr>
          <w:ilvl w:val="0"/>
          <w:numId w:val="1"/>
        </w:numPr>
        <w:rPr>
          <w:rFonts w:ascii="Verdana" w:hAnsi="Verdana"/>
          <w:b/>
          <w:sz w:val="22"/>
        </w:rPr>
      </w:pPr>
      <w:r>
        <w:rPr>
          <w:rFonts w:ascii="Verdana" w:hAnsi="Verdana"/>
          <w:b/>
          <w:sz w:val="22"/>
        </w:rPr>
        <w:t>Policy Statement</w:t>
      </w:r>
    </w:p>
    <w:p w:rsidR="00355FFC" w:rsidRDefault="00355FFC" w14:paraId="3B3BA7FD" w14:textId="77777777">
      <w:pPr>
        <w:pStyle w:val="BodyTextIndent"/>
        <w:ind w:left="0"/>
        <w:rPr>
          <w:rFonts w:ascii="Verdana" w:hAnsi="Verdana"/>
          <w:b/>
          <w:sz w:val="22"/>
        </w:rPr>
      </w:pPr>
    </w:p>
    <w:p w:rsidR="007C153C" w:rsidRDefault="00543CC9" w14:paraId="3B3BA7FE" w14:textId="77777777">
      <w:pPr>
        <w:pStyle w:val="BodyTextIndent"/>
        <w:rPr>
          <w:rFonts w:ascii="Verdana" w:hAnsi="Verdana"/>
          <w:sz w:val="22"/>
        </w:rPr>
      </w:pPr>
      <w:r>
        <w:rPr>
          <w:rFonts w:ascii="Verdana" w:hAnsi="Verdana" w:cs="Arial"/>
          <w:sz w:val="22"/>
          <w:highlight w:val="yellow"/>
        </w:rPr>
        <w:t>Organisation</w:t>
      </w:r>
      <w:r w:rsidR="00355FFC">
        <w:rPr>
          <w:rFonts w:ascii="Verdana" w:hAnsi="Verdana" w:cs="Arial"/>
          <w:sz w:val="22"/>
        </w:rPr>
        <w:t xml:space="preserve"> is committed to managing risk in accordance with the process set out in the </w:t>
      </w:r>
      <w:r w:rsidR="005E283B">
        <w:rPr>
          <w:rFonts w:ascii="Verdana" w:hAnsi="Verdana" w:cs="Arial"/>
          <w:sz w:val="22"/>
        </w:rPr>
        <w:t xml:space="preserve">International Standard ISO 31000:2009 </w:t>
      </w:r>
      <w:r w:rsidR="00355FFC">
        <w:rPr>
          <w:rFonts w:ascii="Verdana" w:hAnsi="Verdana"/>
          <w:sz w:val="22"/>
        </w:rPr>
        <w:t xml:space="preserve">in order to </w:t>
      </w:r>
      <w:r w:rsidR="007C153C">
        <w:rPr>
          <w:rFonts w:ascii="Verdana" w:hAnsi="Verdana"/>
          <w:sz w:val="22"/>
        </w:rPr>
        <w:t>reduce loss and increase the likelihood of achieving its objectives.</w:t>
      </w:r>
      <w:r w:rsidR="00355FFC">
        <w:rPr>
          <w:rFonts w:ascii="Verdana" w:hAnsi="Verdana"/>
          <w:sz w:val="22"/>
        </w:rPr>
        <w:t xml:space="preserve"> </w:t>
      </w:r>
    </w:p>
    <w:p w:rsidR="007C153C" w:rsidRDefault="007C153C" w14:paraId="3B3BA7FF" w14:textId="77777777">
      <w:pPr>
        <w:pStyle w:val="BodyTextIndent"/>
        <w:rPr>
          <w:rFonts w:ascii="Verdana" w:hAnsi="Verdana"/>
          <w:sz w:val="22"/>
        </w:rPr>
      </w:pPr>
    </w:p>
    <w:p w:rsidR="00355FFC" w:rsidRDefault="00355FFC" w14:paraId="3B3BA800" w14:textId="77777777">
      <w:pPr>
        <w:pStyle w:val="BodyTextIndent"/>
        <w:rPr>
          <w:rFonts w:ascii="Verdana" w:hAnsi="Verdana"/>
          <w:sz w:val="22"/>
        </w:rPr>
      </w:pPr>
      <w:r>
        <w:rPr>
          <w:rFonts w:ascii="Verdana" w:hAnsi="Verdana"/>
          <w:sz w:val="22"/>
        </w:rPr>
        <w:t>To meet this commitment, risk is every employee’s business</w:t>
      </w:r>
      <w:r w:rsidR="007C153C">
        <w:rPr>
          <w:rFonts w:ascii="Verdana" w:hAnsi="Verdana"/>
          <w:sz w:val="22"/>
        </w:rPr>
        <w:t>.  All employees are responsible</w:t>
      </w:r>
      <w:r>
        <w:rPr>
          <w:rFonts w:ascii="Verdana" w:hAnsi="Verdana"/>
          <w:sz w:val="22"/>
        </w:rPr>
        <w:t xml:space="preserve"> for managing risk in so far as is reasonably practicable within their area of </w:t>
      </w:r>
      <w:r w:rsidR="00372F96">
        <w:rPr>
          <w:rFonts w:ascii="Verdana" w:hAnsi="Verdana"/>
          <w:sz w:val="22"/>
        </w:rPr>
        <w:t>activity</w:t>
      </w:r>
      <w:r>
        <w:rPr>
          <w:rFonts w:ascii="Verdana" w:hAnsi="Verdana"/>
          <w:sz w:val="22"/>
        </w:rPr>
        <w:t>.</w:t>
      </w:r>
    </w:p>
    <w:p w:rsidR="00355FFC" w:rsidRDefault="00355FFC" w14:paraId="3B3BA801" w14:textId="77777777">
      <w:pPr>
        <w:pStyle w:val="BodyTextIndent"/>
        <w:rPr>
          <w:rFonts w:ascii="Verdana" w:hAnsi="Verdana"/>
          <w:sz w:val="22"/>
        </w:rPr>
      </w:pPr>
    </w:p>
    <w:p w:rsidRPr="007C153C" w:rsidR="00355FFC" w:rsidRDefault="00355FFC" w14:paraId="3B3BA802" w14:textId="77777777">
      <w:pPr>
        <w:pStyle w:val="BodyTextIndent"/>
        <w:rPr>
          <w:rFonts w:ascii="Verdana" w:hAnsi="Verdana"/>
          <w:bCs/>
          <w:sz w:val="22"/>
        </w:rPr>
      </w:pPr>
      <w:r>
        <w:rPr>
          <w:rFonts w:ascii="Verdana" w:hAnsi="Verdana"/>
          <w:bCs/>
          <w:sz w:val="22"/>
        </w:rPr>
        <w:t>Sound risk manageme</w:t>
      </w:r>
      <w:r w:rsidR="000153CC">
        <w:rPr>
          <w:rFonts w:ascii="Verdana" w:hAnsi="Verdana"/>
          <w:bCs/>
          <w:sz w:val="22"/>
        </w:rPr>
        <w:t>nt principles and practices will</w:t>
      </w:r>
      <w:r>
        <w:rPr>
          <w:rFonts w:ascii="Verdana" w:hAnsi="Verdana"/>
          <w:bCs/>
          <w:sz w:val="22"/>
        </w:rPr>
        <w:t xml:space="preserve"> become</w:t>
      </w:r>
      <w:r w:rsidR="004D7FA6">
        <w:rPr>
          <w:rFonts w:ascii="Verdana" w:hAnsi="Verdana"/>
          <w:bCs/>
          <w:sz w:val="22"/>
        </w:rPr>
        <w:t xml:space="preserve"> an </w:t>
      </w:r>
      <w:r w:rsidR="00072DDB">
        <w:rPr>
          <w:rFonts w:ascii="Verdana" w:hAnsi="Verdana"/>
          <w:bCs/>
          <w:sz w:val="22"/>
        </w:rPr>
        <w:t>integral</w:t>
      </w:r>
      <w:r>
        <w:rPr>
          <w:rFonts w:ascii="Verdana" w:hAnsi="Verdana"/>
          <w:bCs/>
          <w:sz w:val="22"/>
        </w:rPr>
        <w:t xml:space="preserve"> part of the normal management strategy for all </w:t>
      </w:r>
      <w:r w:rsidR="007C153C">
        <w:rPr>
          <w:rFonts w:ascii="Verdana" w:hAnsi="Verdana"/>
          <w:bCs/>
          <w:sz w:val="22"/>
        </w:rPr>
        <w:t>departments</w:t>
      </w:r>
      <w:r>
        <w:rPr>
          <w:rFonts w:ascii="Verdana" w:hAnsi="Verdana"/>
          <w:bCs/>
          <w:sz w:val="22"/>
        </w:rPr>
        <w:t xml:space="preserve"> within </w:t>
      </w:r>
      <w:r w:rsidR="00543CC9">
        <w:rPr>
          <w:rFonts w:ascii="Verdana" w:hAnsi="Verdana"/>
          <w:bCs/>
          <w:sz w:val="22"/>
          <w:highlight w:val="yellow"/>
        </w:rPr>
        <w:t>Organisation</w:t>
      </w:r>
      <w:r w:rsidRPr="00A91095" w:rsidR="007C153C">
        <w:rPr>
          <w:rFonts w:ascii="Verdana" w:hAnsi="Verdana"/>
          <w:bCs/>
          <w:sz w:val="22"/>
          <w:highlight w:val="yellow"/>
        </w:rPr>
        <w:t>.</w:t>
      </w:r>
    </w:p>
    <w:p w:rsidR="00355FFC" w:rsidRDefault="00355FFC" w14:paraId="3B3BA803" w14:textId="77777777">
      <w:pPr>
        <w:pStyle w:val="BodyTextIndent"/>
        <w:rPr>
          <w:rFonts w:ascii="Verdana" w:hAnsi="Verdana"/>
          <w:sz w:val="22"/>
        </w:rPr>
      </w:pPr>
    </w:p>
    <w:p w:rsidR="00355FFC" w:rsidP="00484020" w:rsidRDefault="00355FFC" w14:paraId="3B3BA804" w14:textId="77777777">
      <w:pPr>
        <w:pStyle w:val="BodyTextIndent"/>
        <w:rPr>
          <w:rFonts w:ascii="Verdana" w:hAnsi="Verdana"/>
          <w:sz w:val="22"/>
        </w:rPr>
      </w:pPr>
      <w:r>
        <w:rPr>
          <w:rFonts w:ascii="Verdana" w:hAnsi="Verdana"/>
          <w:sz w:val="22"/>
        </w:rPr>
        <w:t xml:space="preserve">Implementation of risk management strategy is a </w:t>
      </w:r>
      <w:r w:rsidR="007C153C">
        <w:rPr>
          <w:rFonts w:ascii="Verdana" w:hAnsi="Verdana"/>
          <w:sz w:val="22"/>
        </w:rPr>
        <w:t xml:space="preserve">priority and will be </w:t>
      </w:r>
      <w:r w:rsidR="0050199C">
        <w:rPr>
          <w:rFonts w:ascii="Verdana" w:hAnsi="Verdana"/>
          <w:sz w:val="22"/>
        </w:rPr>
        <w:t xml:space="preserve">accomplished </w:t>
      </w:r>
      <w:r>
        <w:rPr>
          <w:rFonts w:ascii="Verdana" w:hAnsi="Verdana"/>
          <w:sz w:val="22"/>
        </w:rPr>
        <w:t>through</w:t>
      </w:r>
      <w:r w:rsidR="00E80B87">
        <w:rPr>
          <w:rFonts w:ascii="Verdana" w:hAnsi="Verdana"/>
          <w:sz w:val="22"/>
        </w:rPr>
        <w:t xml:space="preserve"> embedding a risk management ethos in all aspects of the </w:t>
      </w:r>
      <w:r w:rsidR="00543CC9">
        <w:rPr>
          <w:rFonts w:ascii="Verdana" w:hAnsi="Verdana"/>
          <w:sz w:val="22"/>
        </w:rPr>
        <w:t>organisation</w:t>
      </w:r>
      <w:r w:rsidR="00E80B87">
        <w:rPr>
          <w:rFonts w:ascii="Verdana" w:hAnsi="Verdana"/>
          <w:sz w:val="22"/>
        </w:rPr>
        <w:t>’s activity.</w:t>
      </w:r>
    </w:p>
    <w:p w:rsidR="00355FFC" w:rsidRDefault="00355FFC" w14:paraId="3B3BA805" w14:textId="77777777">
      <w:pPr>
        <w:pStyle w:val="BodyTextIndent"/>
        <w:rPr>
          <w:rFonts w:ascii="Verdana" w:hAnsi="Verdana"/>
          <w:sz w:val="22"/>
        </w:rPr>
      </w:pPr>
    </w:p>
    <w:p w:rsidR="00355FFC" w:rsidRDefault="004D7FA6" w14:paraId="3B3BA806" w14:textId="77777777">
      <w:pPr>
        <w:pStyle w:val="BodyText"/>
        <w:ind w:left="720"/>
        <w:jc w:val="both"/>
        <w:rPr>
          <w:rFonts w:ascii="Verdana" w:hAnsi="Verdana"/>
          <w:b w:val="0"/>
          <w:bCs/>
          <w:sz w:val="22"/>
        </w:rPr>
      </w:pPr>
      <w:r>
        <w:rPr>
          <w:rFonts w:ascii="Verdana" w:hAnsi="Verdana"/>
          <w:b w:val="0"/>
          <w:bCs/>
          <w:sz w:val="22"/>
        </w:rPr>
        <w:t xml:space="preserve">Accountability </w:t>
      </w:r>
      <w:r w:rsidR="00E80B87">
        <w:rPr>
          <w:rFonts w:ascii="Verdana" w:hAnsi="Verdana"/>
          <w:b w:val="0"/>
          <w:bCs/>
          <w:sz w:val="22"/>
        </w:rPr>
        <w:t>for m</w:t>
      </w:r>
      <w:r w:rsidR="001A1D47">
        <w:rPr>
          <w:rFonts w:ascii="Verdana" w:hAnsi="Verdana"/>
          <w:b w:val="0"/>
          <w:bCs/>
          <w:sz w:val="22"/>
        </w:rPr>
        <w:t xml:space="preserve">anaging risk must be clear and reflected </w:t>
      </w:r>
      <w:r w:rsidR="00355FFC">
        <w:rPr>
          <w:rFonts w:ascii="Verdana" w:hAnsi="Verdana"/>
          <w:b w:val="0"/>
          <w:bCs/>
          <w:sz w:val="22"/>
        </w:rPr>
        <w:t>in all individu</w:t>
      </w:r>
      <w:r w:rsidR="00372F96">
        <w:rPr>
          <w:rFonts w:ascii="Verdana" w:hAnsi="Verdana"/>
          <w:b w:val="0"/>
          <w:bCs/>
          <w:sz w:val="22"/>
        </w:rPr>
        <w:t>al job</w:t>
      </w:r>
      <w:r w:rsidR="00253026">
        <w:rPr>
          <w:rFonts w:ascii="Verdana" w:hAnsi="Verdana"/>
          <w:b w:val="0"/>
          <w:bCs/>
          <w:sz w:val="22"/>
        </w:rPr>
        <w:t xml:space="preserve"> descriptions,</w:t>
      </w:r>
      <w:r w:rsidR="00355FFC">
        <w:rPr>
          <w:rFonts w:ascii="Verdana" w:hAnsi="Verdana"/>
          <w:b w:val="0"/>
          <w:bCs/>
          <w:sz w:val="22"/>
        </w:rPr>
        <w:t xml:space="preserve"> </w:t>
      </w:r>
      <w:r w:rsidR="001A1D47">
        <w:rPr>
          <w:rFonts w:ascii="Verdana" w:hAnsi="Verdana"/>
          <w:b w:val="0"/>
          <w:bCs/>
          <w:sz w:val="22"/>
        </w:rPr>
        <w:t xml:space="preserve">with relevant </w:t>
      </w:r>
      <w:r w:rsidR="00355FFC">
        <w:rPr>
          <w:rFonts w:ascii="Verdana" w:hAnsi="Verdana"/>
          <w:b w:val="0"/>
          <w:bCs/>
          <w:sz w:val="22"/>
        </w:rPr>
        <w:t>key performance indicators.</w:t>
      </w:r>
    </w:p>
    <w:p w:rsidR="00355FFC" w:rsidRDefault="00355FFC" w14:paraId="3B3BA807" w14:textId="77777777">
      <w:pPr>
        <w:pStyle w:val="BodyTextIndent"/>
        <w:rPr>
          <w:rFonts w:ascii="Verdana" w:hAnsi="Verdana"/>
          <w:sz w:val="22"/>
        </w:rPr>
      </w:pPr>
    </w:p>
    <w:p w:rsidR="004121F5" w:rsidRDefault="00355FFC" w14:paraId="3B3BA808" w14:textId="77777777">
      <w:pPr>
        <w:pStyle w:val="BodyTextIndent"/>
        <w:rPr>
          <w:rFonts w:ascii="Verdana" w:hAnsi="Verdana"/>
          <w:sz w:val="22"/>
        </w:rPr>
      </w:pPr>
      <w:r>
        <w:rPr>
          <w:rFonts w:ascii="Verdana" w:hAnsi="Verdana"/>
          <w:sz w:val="22"/>
        </w:rPr>
        <w:t xml:space="preserve">The management of risk </w:t>
      </w:r>
      <w:r w:rsidR="00372F96">
        <w:rPr>
          <w:rFonts w:ascii="Verdana" w:hAnsi="Verdana"/>
          <w:sz w:val="22"/>
        </w:rPr>
        <w:t>will</w:t>
      </w:r>
      <w:r>
        <w:rPr>
          <w:rFonts w:ascii="Verdana" w:hAnsi="Verdana"/>
          <w:sz w:val="22"/>
        </w:rPr>
        <w:t xml:space="preserve"> be integrated into </w:t>
      </w:r>
      <w:r w:rsidR="00543CC9">
        <w:rPr>
          <w:rFonts w:ascii="Verdana" w:hAnsi="Verdana"/>
          <w:sz w:val="22"/>
          <w:highlight w:val="yellow"/>
        </w:rPr>
        <w:t>Organisation</w:t>
      </w:r>
      <w:r w:rsidRPr="00A91095">
        <w:rPr>
          <w:rFonts w:ascii="Verdana" w:hAnsi="Verdana"/>
          <w:sz w:val="22"/>
          <w:highlight w:val="yellow"/>
        </w:rPr>
        <w:t>’s</w:t>
      </w:r>
      <w:r>
        <w:rPr>
          <w:rFonts w:ascii="Verdana" w:hAnsi="Verdana"/>
          <w:sz w:val="22"/>
        </w:rPr>
        <w:t xml:space="preserve"> existing </w:t>
      </w:r>
      <w:r w:rsidR="005E283B">
        <w:rPr>
          <w:rFonts w:ascii="Verdana" w:hAnsi="Verdana"/>
          <w:sz w:val="22"/>
        </w:rPr>
        <w:t xml:space="preserve">strategic </w:t>
      </w:r>
      <w:r>
        <w:rPr>
          <w:rFonts w:ascii="Verdana" w:hAnsi="Verdana"/>
          <w:sz w:val="22"/>
        </w:rPr>
        <w:t>planning and operational process</w:t>
      </w:r>
      <w:r w:rsidR="00543CC9">
        <w:rPr>
          <w:rFonts w:ascii="Verdana" w:hAnsi="Verdana"/>
          <w:sz w:val="22"/>
        </w:rPr>
        <w:t>es</w:t>
      </w:r>
      <w:r>
        <w:rPr>
          <w:rFonts w:ascii="Verdana" w:hAnsi="Verdana"/>
          <w:sz w:val="22"/>
        </w:rPr>
        <w:t xml:space="preserve"> and is to be fully recognised in the funding and reporting process</w:t>
      </w:r>
      <w:r w:rsidR="001A1D47">
        <w:rPr>
          <w:rFonts w:ascii="Verdana" w:hAnsi="Verdana"/>
          <w:sz w:val="22"/>
        </w:rPr>
        <w:t>es.</w:t>
      </w:r>
      <w:r>
        <w:rPr>
          <w:rFonts w:ascii="Verdana" w:hAnsi="Verdana"/>
          <w:sz w:val="22"/>
        </w:rPr>
        <w:t xml:space="preserve"> </w:t>
      </w:r>
    </w:p>
    <w:p w:rsidR="001A1D47" w:rsidRDefault="001A1D47" w14:paraId="3B3BA809" w14:textId="77777777">
      <w:pPr>
        <w:pStyle w:val="BodyTextIndent"/>
        <w:rPr>
          <w:rFonts w:ascii="Verdana" w:hAnsi="Verdana"/>
          <w:sz w:val="22"/>
        </w:rPr>
      </w:pPr>
    </w:p>
    <w:p w:rsidR="00DB1546" w:rsidP="00B73362" w:rsidRDefault="00DB1546" w14:paraId="3B3BA80A" w14:textId="77777777">
      <w:pPr>
        <w:pStyle w:val="BodyTextIndent"/>
        <w:jc w:val="center"/>
        <w:rPr>
          <w:rFonts w:ascii="Verdana" w:hAnsi="Verdana"/>
          <w:sz w:val="22"/>
          <w:highlight w:val="yellow"/>
        </w:rPr>
      </w:pPr>
    </w:p>
    <w:p w:rsidR="00496ED8" w:rsidP="00446297" w:rsidRDefault="00496ED8" w14:paraId="3B3BA80B" w14:textId="77777777">
      <w:pPr>
        <w:pStyle w:val="BodyTextIndent"/>
        <w:rPr>
          <w:rFonts w:ascii="Verdana" w:hAnsi="Verdana"/>
          <w:sz w:val="22"/>
          <w:highlight w:val="yellow"/>
        </w:rPr>
      </w:pPr>
    </w:p>
    <w:p w:rsidR="004121F5" w:rsidP="00543CC9" w:rsidRDefault="00543CC9" w14:paraId="3B3BA80C" w14:textId="77777777">
      <w:pPr>
        <w:pStyle w:val="BodyTextIndent"/>
        <w:rPr>
          <w:rFonts w:ascii="Verdana" w:hAnsi="Verdana"/>
          <w:sz w:val="22"/>
        </w:rPr>
      </w:pPr>
      <w:r>
        <w:rPr>
          <w:rFonts w:ascii="Verdana" w:hAnsi="Verdana"/>
          <w:sz w:val="22"/>
          <w:highlight w:val="yellow"/>
        </w:rPr>
        <w:t>Organisation</w:t>
      </w:r>
      <w:r w:rsidR="00533E6C">
        <w:rPr>
          <w:rFonts w:ascii="Verdana" w:hAnsi="Verdana"/>
          <w:sz w:val="22"/>
        </w:rPr>
        <w:t xml:space="preserve"> is committed to fulfilling the </w:t>
      </w:r>
      <w:r w:rsidR="00922828">
        <w:rPr>
          <w:rFonts w:ascii="Verdana" w:hAnsi="Verdana"/>
          <w:sz w:val="22"/>
        </w:rPr>
        <w:t xml:space="preserve">requirements for managing risk as described in </w:t>
      </w:r>
      <w:r w:rsidRPr="00543CC9" w:rsidR="00922828">
        <w:rPr>
          <w:rFonts w:ascii="Verdana" w:hAnsi="Verdana"/>
          <w:sz w:val="22"/>
          <w:highlight w:val="yellow"/>
        </w:rPr>
        <w:t>the</w:t>
      </w:r>
      <w:r w:rsidRPr="00543CC9">
        <w:rPr>
          <w:rFonts w:ascii="Verdana" w:hAnsi="Verdana"/>
          <w:sz w:val="22"/>
          <w:highlight w:val="yellow"/>
        </w:rPr>
        <w:t xml:space="preserve"> appropriate regulator body here</w:t>
      </w:r>
      <w:r>
        <w:rPr>
          <w:rFonts w:ascii="Verdana" w:hAnsi="Verdana"/>
          <w:sz w:val="22"/>
        </w:rPr>
        <w:t xml:space="preserve"> guidelines.</w:t>
      </w:r>
    </w:p>
    <w:p w:rsidR="004121F5" w:rsidRDefault="004121F5" w14:paraId="3B3BA80D" w14:textId="77777777">
      <w:pPr>
        <w:pStyle w:val="BodyTextIndent"/>
        <w:rPr>
          <w:rFonts w:ascii="Verdana" w:hAnsi="Verdana"/>
          <w:sz w:val="22"/>
        </w:rPr>
      </w:pPr>
    </w:p>
    <w:p w:rsidR="004121F5" w:rsidRDefault="00543CC9" w14:paraId="3B3BA80E" w14:textId="77777777">
      <w:pPr>
        <w:pStyle w:val="BodyTextIndent"/>
        <w:rPr>
          <w:rFonts w:ascii="Verdana" w:hAnsi="Verdana"/>
          <w:sz w:val="22"/>
        </w:rPr>
      </w:pPr>
      <w:r>
        <w:rPr>
          <w:rFonts w:ascii="Verdana" w:hAnsi="Verdana"/>
          <w:sz w:val="22"/>
          <w:highlight w:val="yellow"/>
        </w:rPr>
        <w:t>Organisation</w:t>
      </w:r>
      <w:r w:rsidR="004121F5">
        <w:rPr>
          <w:rFonts w:ascii="Verdana" w:hAnsi="Verdana"/>
          <w:sz w:val="22"/>
        </w:rPr>
        <w:t xml:space="preserve"> will ensure that the necessary resources are made available to those accou</w:t>
      </w:r>
      <w:r w:rsidR="00922828">
        <w:rPr>
          <w:rFonts w:ascii="Verdana" w:hAnsi="Verdana"/>
          <w:sz w:val="22"/>
        </w:rPr>
        <w:t>ntable and resp</w:t>
      </w:r>
      <w:r w:rsidR="004121F5">
        <w:rPr>
          <w:rFonts w:ascii="Verdana" w:hAnsi="Verdana"/>
          <w:sz w:val="22"/>
        </w:rPr>
        <w:t>onsible for the manag</w:t>
      </w:r>
      <w:r w:rsidR="00413B04">
        <w:rPr>
          <w:rFonts w:ascii="Verdana" w:hAnsi="Verdana"/>
          <w:sz w:val="22"/>
        </w:rPr>
        <w:t>e</w:t>
      </w:r>
      <w:r w:rsidR="004121F5">
        <w:rPr>
          <w:rFonts w:ascii="Verdana" w:hAnsi="Verdana"/>
          <w:sz w:val="22"/>
        </w:rPr>
        <w:t>ment of risk.</w:t>
      </w:r>
    </w:p>
    <w:p w:rsidR="00020203" w:rsidRDefault="00020203" w14:paraId="3B3BA80F" w14:textId="77777777">
      <w:pPr>
        <w:pStyle w:val="BodyTextIndent"/>
        <w:rPr>
          <w:rFonts w:ascii="Verdana" w:hAnsi="Verdana"/>
          <w:sz w:val="22"/>
        </w:rPr>
      </w:pPr>
    </w:p>
    <w:p w:rsidR="00020203" w:rsidP="00020203" w:rsidRDefault="00020203" w14:paraId="3B3BA810" w14:textId="77777777">
      <w:pPr>
        <w:pStyle w:val="BodyTextIndent"/>
        <w:rPr>
          <w:rFonts w:ascii="Verdana" w:hAnsi="Verdana"/>
          <w:sz w:val="22"/>
        </w:rPr>
      </w:pPr>
      <w:r>
        <w:rPr>
          <w:rFonts w:ascii="Verdana" w:hAnsi="Verdana"/>
          <w:sz w:val="22"/>
        </w:rPr>
        <w:t>This policy will be reviewed and updated as required on an at least annual basis or in the event of a significant change of circumstances.</w:t>
      </w:r>
    </w:p>
    <w:p w:rsidR="00020203" w:rsidRDefault="00020203" w14:paraId="3B3BA811" w14:textId="77777777">
      <w:pPr>
        <w:pStyle w:val="BodyTextIndent"/>
        <w:rPr>
          <w:rFonts w:ascii="Verdana" w:hAnsi="Verdana"/>
          <w:sz w:val="22"/>
        </w:rPr>
      </w:pPr>
    </w:p>
    <w:p w:rsidR="004121F5" w:rsidRDefault="004121F5" w14:paraId="3B3BA812" w14:textId="77777777">
      <w:pPr>
        <w:pStyle w:val="BodyTextIndent"/>
        <w:rPr>
          <w:rFonts w:ascii="Verdana" w:hAnsi="Verdana"/>
          <w:sz w:val="22"/>
        </w:rPr>
      </w:pPr>
    </w:p>
    <w:p w:rsidR="00B040C2" w:rsidRDefault="00B040C2" w14:paraId="3B3BA813" w14:textId="77777777">
      <w:pPr>
        <w:pStyle w:val="BodyTextIndent"/>
        <w:rPr>
          <w:rFonts w:ascii="Verdana" w:hAnsi="Verdana"/>
          <w:sz w:val="22"/>
        </w:rPr>
      </w:pPr>
    </w:p>
    <w:p w:rsidRPr="00F14401" w:rsidR="00020203" w:rsidRDefault="00496ED8" w14:paraId="3B3BA814" w14:textId="77777777">
      <w:pPr>
        <w:pStyle w:val="BodyTextIndent"/>
        <w:numPr>
          <w:ilvl w:val="0"/>
          <w:numId w:val="1"/>
        </w:numPr>
        <w:rPr>
          <w:rFonts w:ascii="Verdana" w:hAnsi="Verdana"/>
          <w:b/>
          <w:sz w:val="22"/>
        </w:rPr>
      </w:pPr>
      <w:r>
        <w:rPr>
          <w:rFonts w:ascii="Verdana" w:hAnsi="Verdana"/>
          <w:b/>
          <w:sz w:val="22"/>
        </w:rPr>
        <w:t>Risk Criteria</w:t>
      </w:r>
    </w:p>
    <w:p w:rsidR="00F14401" w:rsidRDefault="00F14401" w14:paraId="3B3BA815" w14:textId="77777777">
      <w:pPr>
        <w:pStyle w:val="BodyTextIndent"/>
        <w:rPr>
          <w:rFonts w:ascii="Verdana" w:hAnsi="Verdana"/>
          <w:sz w:val="22"/>
        </w:rPr>
      </w:pPr>
    </w:p>
    <w:p w:rsidR="00496ED8" w:rsidP="00496ED8" w:rsidRDefault="00F14401" w14:paraId="3B3BA816" w14:textId="77777777">
      <w:pPr>
        <w:pStyle w:val="BodyTextIndent"/>
        <w:rPr>
          <w:rFonts w:ascii="Verdana" w:hAnsi="Verdana"/>
          <w:sz w:val="22"/>
        </w:rPr>
      </w:pPr>
      <w:r w:rsidRPr="00D2565F">
        <w:rPr>
          <w:rFonts w:ascii="Verdana" w:hAnsi="Verdana"/>
          <w:i/>
          <w:iCs/>
          <w:sz w:val="22"/>
        </w:rPr>
        <w:t>Definition:</w:t>
      </w:r>
      <w:r>
        <w:rPr>
          <w:rFonts w:ascii="Verdana" w:hAnsi="Verdana"/>
          <w:sz w:val="22"/>
        </w:rPr>
        <w:t xml:space="preserve"> </w:t>
      </w:r>
      <w:r w:rsidR="00496ED8">
        <w:rPr>
          <w:rFonts w:ascii="Verdana" w:hAnsi="Verdana"/>
          <w:sz w:val="22"/>
        </w:rPr>
        <w:t xml:space="preserve">Terms of reference against which the significance of a risk is evaluated. </w:t>
      </w:r>
      <w:r w:rsidRPr="00543CC9" w:rsidR="00496ED8">
        <w:rPr>
          <w:rFonts w:ascii="Verdana" w:hAnsi="Verdana"/>
          <w:sz w:val="18"/>
          <w:szCs w:val="18"/>
        </w:rPr>
        <w:t>(ISO guide 73)</w:t>
      </w:r>
    </w:p>
    <w:p w:rsidR="00F14401" w:rsidP="00496ED8" w:rsidRDefault="00496ED8" w14:paraId="3B3BA817" w14:textId="77777777">
      <w:pPr>
        <w:pStyle w:val="BodyTextIndent"/>
        <w:rPr>
          <w:rFonts w:ascii="Verdana" w:hAnsi="Verdana"/>
          <w:sz w:val="22"/>
        </w:rPr>
      </w:pPr>
      <w:r>
        <w:rPr>
          <w:rFonts w:ascii="Verdana" w:hAnsi="Verdana"/>
          <w:sz w:val="22"/>
        </w:rPr>
        <w:t xml:space="preserve"> </w:t>
      </w:r>
    </w:p>
    <w:p w:rsidR="00BB5EEE" w:rsidRDefault="00496ED8" w14:paraId="3B3BA818" w14:textId="77777777">
      <w:pPr>
        <w:pStyle w:val="BodyTextIndent"/>
        <w:rPr>
          <w:rFonts w:ascii="Verdana" w:hAnsi="Verdana"/>
          <w:sz w:val="22"/>
        </w:rPr>
      </w:pPr>
      <w:r>
        <w:rPr>
          <w:rFonts w:ascii="Verdana" w:hAnsi="Verdana"/>
          <w:sz w:val="22"/>
        </w:rPr>
        <w:t>To ensure consistency and to provide a basis for risk management decision-making, we will establish</w:t>
      </w:r>
      <w:r w:rsidR="003E18A3">
        <w:rPr>
          <w:rFonts w:ascii="Verdana" w:hAnsi="Verdana"/>
          <w:sz w:val="22"/>
        </w:rPr>
        <w:t>:</w:t>
      </w:r>
    </w:p>
    <w:p w:rsidR="003E18A3" w:rsidRDefault="003E18A3" w14:paraId="3B3BA819" w14:textId="77777777">
      <w:pPr>
        <w:pStyle w:val="BodyTextIndent"/>
        <w:rPr>
          <w:rFonts w:ascii="Verdana" w:hAnsi="Verdana"/>
          <w:sz w:val="22"/>
        </w:rPr>
      </w:pPr>
    </w:p>
    <w:p w:rsidR="00872090" w:rsidRDefault="00872090" w14:paraId="3B3BA81A" w14:textId="77777777">
      <w:pPr>
        <w:pStyle w:val="BodyTextIndent"/>
        <w:numPr>
          <w:ilvl w:val="0"/>
          <w:numId w:val="4"/>
        </w:numPr>
        <w:rPr>
          <w:rFonts w:ascii="Verdana" w:hAnsi="Verdana"/>
          <w:sz w:val="22"/>
        </w:rPr>
      </w:pPr>
      <w:r>
        <w:rPr>
          <w:rFonts w:ascii="Verdana" w:hAnsi="Verdana"/>
          <w:sz w:val="22"/>
        </w:rPr>
        <w:t>a consistent method of determining the level of risk;</w:t>
      </w:r>
    </w:p>
    <w:p w:rsidR="003E18A3" w:rsidRDefault="00872090" w14:paraId="3B3BA81B" w14:textId="77777777">
      <w:pPr>
        <w:pStyle w:val="BodyTextIndent"/>
        <w:numPr>
          <w:ilvl w:val="0"/>
          <w:numId w:val="4"/>
        </w:numPr>
        <w:rPr>
          <w:rFonts w:ascii="Verdana" w:hAnsi="Verdana"/>
          <w:sz w:val="22"/>
        </w:rPr>
      </w:pPr>
      <w:r>
        <w:rPr>
          <w:rFonts w:ascii="Verdana" w:hAnsi="Verdana"/>
          <w:sz w:val="22"/>
        </w:rPr>
        <w:t xml:space="preserve">a </w:t>
      </w:r>
      <w:r w:rsidR="003E18A3">
        <w:rPr>
          <w:rFonts w:ascii="Verdana" w:hAnsi="Verdana"/>
          <w:sz w:val="22"/>
        </w:rPr>
        <w:t>clear statement by management of what level of risk is</w:t>
      </w:r>
      <w:r w:rsidR="00320EB9">
        <w:rPr>
          <w:rFonts w:ascii="Verdana" w:hAnsi="Verdana"/>
          <w:sz w:val="22"/>
        </w:rPr>
        <w:t xml:space="preserve"> considered within the capacity of the organisation;</w:t>
      </w:r>
      <w:r>
        <w:rPr>
          <w:rFonts w:ascii="Verdana" w:hAnsi="Verdana"/>
          <w:sz w:val="22"/>
        </w:rPr>
        <w:t xml:space="preserve"> and </w:t>
      </w:r>
    </w:p>
    <w:p w:rsidR="00B81CA3" w:rsidRDefault="003E18A3" w14:paraId="3B3BA81C" w14:textId="77777777">
      <w:pPr>
        <w:pStyle w:val="BodyTextIndent"/>
        <w:numPr>
          <w:ilvl w:val="0"/>
          <w:numId w:val="4"/>
        </w:numPr>
        <w:rPr>
          <w:rFonts w:ascii="Verdana" w:hAnsi="Verdana"/>
          <w:sz w:val="22"/>
        </w:rPr>
      </w:pPr>
      <w:r>
        <w:rPr>
          <w:rFonts w:ascii="Verdana" w:hAnsi="Verdana"/>
          <w:sz w:val="22"/>
        </w:rPr>
        <w:t>a p</w:t>
      </w:r>
      <w:r w:rsidR="00B81CA3">
        <w:rPr>
          <w:rFonts w:ascii="Verdana" w:hAnsi="Verdana"/>
          <w:sz w:val="22"/>
        </w:rPr>
        <w:t xml:space="preserve">rocess to follow when risk exposure is considered to exceed stated </w:t>
      </w:r>
      <w:r w:rsidR="00B040C2">
        <w:rPr>
          <w:rFonts w:ascii="Verdana" w:hAnsi="Verdana"/>
          <w:sz w:val="22"/>
        </w:rPr>
        <w:t>capacity</w:t>
      </w:r>
      <w:r w:rsidR="004D7FA6">
        <w:rPr>
          <w:rFonts w:ascii="Verdana" w:hAnsi="Verdana"/>
          <w:sz w:val="22"/>
        </w:rPr>
        <w:t xml:space="preserve"> </w:t>
      </w:r>
      <w:r w:rsidR="00B81CA3">
        <w:rPr>
          <w:rFonts w:ascii="Verdana" w:hAnsi="Verdana"/>
          <w:sz w:val="22"/>
        </w:rPr>
        <w:t>levels</w:t>
      </w:r>
      <w:r w:rsidR="00872090">
        <w:rPr>
          <w:rFonts w:ascii="Verdana" w:hAnsi="Verdana"/>
          <w:sz w:val="22"/>
        </w:rPr>
        <w:t>;</w:t>
      </w:r>
    </w:p>
    <w:p w:rsidR="00872090" w:rsidP="00872090" w:rsidRDefault="00872090" w14:paraId="3B3BA81D" w14:textId="77777777">
      <w:pPr>
        <w:pStyle w:val="BodyTextIndent"/>
        <w:rPr>
          <w:rFonts w:ascii="Verdana" w:hAnsi="Verdana"/>
          <w:sz w:val="22"/>
        </w:rPr>
      </w:pPr>
    </w:p>
    <w:p w:rsidR="00EC3503" w:rsidP="00872090" w:rsidRDefault="00EC3503" w14:paraId="3B3BA81E" w14:textId="77777777">
      <w:pPr>
        <w:pStyle w:val="BodyTextIndent"/>
        <w:rPr>
          <w:rFonts w:ascii="Verdana" w:hAnsi="Verdana"/>
          <w:sz w:val="22"/>
        </w:rPr>
      </w:pPr>
    </w:p>
    <w:p w:rsidRPr="00EC3503" w:rsidR="003E18A3" w:rsidP="00446297" w:rsidRDefault="00496ED8" w14:paraId="3B3BA81F" w14:textId="77777777">
      <w:pPr>
        <w:autoSpaceDE w:val="0"/>
        <w:autoSpaceDN w:val="0"/>
        <w:adjustRightInd w:val="0"/>
        <w:ind w:left="720"/>
        <w:rPr>
          <w:rFonts w:ascii="Verdana" w:hAnsi="Verdana"/>
          <w:sz w:val="22"/>
          <w:szCs w:val="22"/>
        </w:rPr>
      </w:pPr>
      <w:r w:rsidRPr="00EC3503">
        <w:rPr>
          <w:rFonts w:ascii="Verdana" w:hAnsi="Verdana"/>
          <w:b/>
          <w:bCs/>
          <w:sz w:val="22"/>
          <w:szCs w:val="22"/>
        </w:rPr>
        <w:t>Risk A</w:t>
      </w:r>
      <w:r w:rsidRPr="00EC3503" w:rsidR="00872090">
        <w:rPr>
          <w:rFonts w:ascii="Verdana" w:hAnsi="Verdana"/>
          <w:b/>
          <w:bCs/>
          <w:sz w:val="22"/>
          <w:szCs w:val="22"/>
        </w:rPr>
        <w:t>ppetite</w:t>
      </w:r>
      <w:r w:rsidRPr="00EC3503" w:rsidR="00872090">
        <w:rPr>
          <w:rFonts w:ascii="Verdana" w:hAnsi="Verdana"/>
          <w:sz w:val="22"/>
          <w:szCs w:val="22"/>
        </w:rPr>
        <w:t xml:space="preserve"> (</w:t>
      </w:r>
      <w:r w:rsidRPr="00EC3503" w:rsidR="00872090">
        <w:rPr>
          <w:rFonts w:ascii="Verdana" w:hAnsi="Verdana" w:eastAsia="MS Mincho"/>
          <w:sz w:val="22"/>
          <w:szCs w:val="22"/>
          <w:lang w:val="en-US" w:eastAsia="ja-JP"/>
        </w:rPr>
        <w:t xml:space="preserve">amount and type of risk that an organization is prepared to pursue, retain or take) will be set and reviewed by the executive management in consultation with the Board of Directors. Conflicting interests, for example where a business decision may exceed stated risk appetite levels, will be dealt with by the </w:t>
      </w:r>
      <w:r w:rsidRPr="00EC3503" w:rsidR="00446297">
        <w:rPr>
          <w:rFonts w:ascii="Verdana" w:hAnsi="Verdana" w:eastAsia="MS Mincho"/>
          <w:sz w:val="22"/>
          <w:szCs w:val="22"/>
          <w:lang w:val="en-US" w:eastAsia="ja-JP"/>
        </w:rPr>
        <w:t>Board.</w:t>
      </w:r>
    </w:p>
    <w:p w:rsidRPr="00EC3503" w:rsidR="00B81CA3" w:rsidRDefault="00B81CA3" w14:paraId="3B3BA820" w14:textId="77777777">
      <w:pPr>
        <w:pStyle w:val="BodyTextIndent"/>
        <w:rPr>
          <w:rFonts w:ascii="Verdana" w:hAnsi="Verdana"/>
          <w:sz w:val="22"/>
        </w:rPr>
      </w:pPr>
    </w:p>
    <w:p w:rsidR="002A2C38" w:rsidRDefault="002A2C38" w14:paraId="3B3BA821" w14:textId="77777777">
      <w:pPr>
        <w:pStyle w:val="BodyTextIndent"/>
        <w:rPr>
          <w:rFonts w:ascii="Verdana" w:hAnsi="Verdana"/>
          <w:sz w:val="22"/>
        </w:rPr>
      </w:pPr>
    </w:p>
    <w:p w:rsidR="00B81CA3" w:rsidRDefault="00B81CA3" w14:paraId="3B3BA822" w14:textId="77777777">
      <w:pPr>
        <w:pStyle w:val="BodyTextIndent"/>
        <w:rPr>
          <w:rFonts w:ascii="Verdana" w:hAnsi="Verdana"/>
          <w:sz w:val="22"/>
        </w:rPr>
      </w:pPr>
    </w:p>
    <w:p w:rsidRPr="00BE51CC" w:rsidR="00BE51CC" w:rsidP="00BE51CC" w:rsidRDefault="00BE51CC" w14:paraId="3B3BA823" w14:textId="77777777">
      <w:pPr>
        <w:pStyle w:val="BodyTextIndent"/>
        <w:numPr>
          <w:ilvl w:val="0"/>
          <w:numId w:val="1"/>
        </w:numPr>
        <w:rPr>
          <w:rFonts w:ascii="Verdana" w:hAnsi="Verdana"/>
          <w:b/>
          <w:sz w:val="22"/>
        </w:rPr>
      </w:pPr>
      <w:r>
        <w:rPr>
          <w:rFonts w:ascii="Verdana" w:hAnsi="Verdana"/>
          <w:b/>
          <w:sz w:val="22"/>
        </w:rPr>
        <w:t>Risk Management Performance</w:t>
      </w:r>
    </w:p>
    <w:p w:rsidR="00BE51CC" w:rsidP="00BE51CC" w:rsidRDefault="00BE51CC" w14:paraId="3B3BA824" w14:textId="77777777">
      <w:pPr>
        <w:pStyle w:val="BodyTextIndent"/>
        <w:ind w:left="0"/>
        <w:rPr>
          <w:rFonts w:ascii="Verdana" w:hAnsi="Verdana"/>
          <w:sz w:val="22"/>
        </w:rPr>
      </w:pPr>
    </w:p>
    <w:p w:rsidR="00AC6C5B" w:rsidP="00BE51CC" w:rsidRDefault="00B81CA3" w14:paraId="3B3BA825" w14:textId="77777777">
      <w:pPr>
        <w:pStyle w:val="BodyTextIndent"/>
        <w:rPr>
          <w:rFonts w:ascii="Verdana" w:hAnsi="Verdana"/>
          <w:sz w:val="22"/>
        </w:rPr>
      </w:pPr>
      <w:r>
        <w:rPr>
          <w:rFonts w:ascii="Verdana" w:hAnsi="Verdana"/>
          <w:sz w:val="22"/>
        </w:rPr>
        <w:t>Risk Management performance will be measured by</w:t>
      </w:r>
      <w:r w:rsidR="00AC6C5B">
        <w:rPr>
          <w:rFonts w:ascii="Verdana" w:hAnsi="Verdana"/>
          <w:sz w:val="22"/>
        </w:rPr>
        <w:t xml:space="preserve"> a combination of </w:t>
      </w:r>
    </w:p>
    <w:p w:rsidR="00AC6C5B" w:rsidP="00BE51CC" w:rsidRDefault="00AC6C5B" w14:paraId="3B3BA826" w14:textId="77777777">
      <w:pPr>
        <w:pStyle w:val="BodyTextIndent"/>
        <w:rPr>
          <w:rFonts w:ascii="Verdana" w:hAnsi="Verdana"/>
          <w:sz w:val="22"/>
        </w:rPr>
      </w:pPr>
    </w:p>
    <w:p w:rsidR="00AC6C5B" w:rsidP="00AC6C5B" w:rsidRDefault="00AC6C5B" w14:paraId="3B3BA827" w14:textId="77777777">
      <w:pPr>
        <w:pStyle w:val="BodyTextIndent"/>
        <w:numPr>
          <w:ilvl w:val="0"/>
          <w:numId w:val="6"/>
        </w:numPr>
        <w:rPr>
          <w:rFonts w:ascii="Verdana" w:hAnsi="Verdana"/>
          <w:sz w:val="22"/>
        </w:rPr>
      </w:pPr>
      <w:r>
        <w:rPr>
          <w:rFonts w:ascii="Verdana" w:hAnsi="Verdana"/>
          <w:sz w:val="22"/>
        </w:rPr>
        <w:t>status of the risk register, extent to which risks are managed within the stated appetite;</w:t>
      </w:r>
    </w:p>
    <w:p w:rsidR="00AC6C5B" w:rsidP="00AC6C5B" w:rsidRDefault="000153CC" w14:paraId="3B3BA828" w14:textId="77777777">
      <w:pPr>
        <w:pStyle w:val="BodyTextIndent"/>
        <w:numPr>
          <w:ilvl w:val="0"/>
          <w:numId w:val="6"/>
        </w:numPr>
        <w:rPr>
          <w:rFonts w:ascii="Verdana" w:hAnsi="Verdana"/>
          <w:sz w:val="22"/>
        </w:rPr>
      </w:pPr>
      <w:r>
        <w:rPr>
          <w:rFonts w:ascii="Verdana" w:hAnsi="Verdana"/>
          <w:sz w:val="22"/>
        </w:rPr>
        <w:t>reporting on</w:t>
      </w:r>
      <w:r w:rsidR="00AC6C5B">
        <w:rPr>
          <w:rFonts w:ascii="Verdana" w:hAnsi="Verdana"/>
          <w:sz w:val="22"/>
        </w:rPr>
        <w:t xml:space="preserve"> initiatives planned / completed that address exposures;</w:t>
      </w:r>
    </w:p>
    <w:p w:rsidR="00AC6C5B" w:rsidP="00AC6C5B" w:rsidRDefault="00AC6C5B" w14:paraId="3B3BA829" w14:textId="77777777">
      <w:pPr>
        <w:pStyle w:val="BodyTextIndent"/>
        <w:numPr>
          <w:ilvl w:val="0"/>
          <w:numId w:val="6"/>
        </w:numPr>
        <w:rPr>
          <w:rFonts w:ascii="Verdana" w:hAnsi="Verdana"/>
          <w:sz w:val="22"/>
        </w:rPr>
      </w:pPr>
      <w:r>
        <w:rPr>
          <w:rFonts w:ascii="Verdana" w:hAnsi="Verdana"/>
          <w:sz w:val="22"/>
        </w:rPr>
        <w:t xml:space="preserve">quarterly report on the </w:t>
      </w:r>
      <w:r w:rsidR="00C91014">
        <w:rPr>
          <w:rFonts w:ascii="Verdana" w:hAnsi="Verdana"/>
          <w:sz w:val="22"/>
        </w:rPr>
        <w:t>performance in relation to the risk management objectives;</w:t>
      </w:r>
    </w:p>
    <w:p w:rsidR="00C91014" w:rsidP="00AC6C5B" w:rsidRDefault="00C91014" w14:paraId="3B3BA82A" w14:textId="77777777">
      <w:pPr>
        <w:pStyle w:val="BodyTextIndent"/>
        <w:numPr>
          <w:ilvl w:val="0"/>
          <w:numId w:val="6"/>
        </w:numPr>
        <w:rPr>
          <w:rFonts w:ascii="Verdana" w:hAnsi="Verdana"/>
          <w:sz w:val="22"/>
        </w:rPr>
      </w:pPr>
      <w:r>
        <w:rPr>
          <w:rFonts w:ascii="Verdana" w:hAnsi="Verdana"/>
          <w:sz w:val="22"/>
        </w:rPr>
        <w:t xml:space="preserve">regular reports on incidents and accidents; </w:t>
      </w:r>
    </w:p>
    <w:p w:rsidR="00372F96" w:rsidP="00AC6C5B" w:rsidRDefault="00372F96" w14:paraId="3B3BA82B" w14:textId="77777777">
      <w:pPr>
        <w:pStyle w:val="BodyTextIndent"/>
        <w:numPr>
          <w:ilvl w:val="0"/>
          <w:numId w:val="6"/>
        </w:numPr>
        <w:rPr>
          <w:rFonts w:ascii="Verdana" w:hAnsi="Verdana"/>
          <w:sz w:val="22"/>
        </w:rPr>
      </w:pPr>
      <w:r>
        <w:rPr>
          <w:rFonts w:ascii="Verdana" w:hAnsi="Verdana"/>
          <w:sz w:val="22"/>
        </w:rPr>
        <w:t>review of trends of key risk indicators</w:t>
      </w:r>
      <w:r w:rsidR="002A2C38">
        <w:rPr>
          <w:rFonts w:ascii="Verdana" w:hAnsi="Verdana"/>
          <w:sz w:val="22"/>
        </w:rPr>
        <w:t>; and</w:t>
      </w:r>
    </w:p>
    <w:p w:rsidR="00C91014" w:rsidP="00AC6C5B" w:rsidRDefault="002A2C38" w14:paraId="3B3BA82C" w14:textId="77777777">
      <w:pPr>
        <w:pStyle w:val="BodyTextIndent"/>
        <w:numPr>
          <w:ilvl w:val="0"/>
          <w:numId w:val="6"/>
        </w:numPr>
        <w:rPr>
          <w:rFonts w:ascii="Verdana" w:hAnsi="Verdana"/>
          <w:sz w:val="22"/>
        </w:rPr>
      </w:pPr>
      <w:r>
        <w:rPr>
          <w:rFonts w:ascii="Verdana" w:hAnsi="Verdana"/>
          <w:sz w:val="22"/>
        </w:rPr>
        <w:t>r</w:t>
      </w:r>
      <w:r w:rsidR="004D7FA6">
        <w:rPr>
          <w:rFonts w:ascii="Verdana" w:hAnsi="Verdana"/>
          <w:sz w:val="22"/>
        </w:rPr>
        <w:t xml:space="preserve">isk </w:t>
      </w:r>
      <w:r>
        <w:rPr>
          <w:rFonts w:ascii="Verdana" w:hAnsi="Verdana"/>
          <w:sz w:val="22"/>
        </w:rPr>
        <w:t>o</w:t>
      </w:r>
      <w:r w:rsidR="004D7FA6">
        <w:rPr>
          <w:rFonts w:ascii="Verdana" w:hAnsi="Verdana"/>
          <w:sz w:val="22"/>
        </w:rPr>
        <w:t>wners are clearly identified</w:t>
      </w:r>
    </w:p>
    <w:p w:rsidR="00AC6C5B" w:rsidP="00BE51CC" w:rsidRDefault="00AC6C5B" w14:paraId="3B3BA82D" w14:textId="77777777">
      <w:pPr>
        <w:pStyle w:val="BodyTextIndent"/>
        <w:rPr>
          <w:rFonts w:ascii="Verdana" w:hAnsi="Verdana"/>
          <w:sz w:val="22"/>
        </w:rPr>
      </w:pPr>
    </w:p>
    <w:p w:rsidR="00B81CA3" w:rsidP="00BE51CC" w:rsidRDefault="00C91014" w14:paraId="3B3BA82E" w14:textId="77777777">
      <w:pPr>
        <w:pStyle w:val="BodyTextIndent"/>
        <w:rPr>
          <w:rFonts w:ascii="Verdana" w:hAnsi="Verdana"/>
          <w:sz w:val="22"/>
        </w:rPr>
      </w:pPr>
      <w:r>
        <w:rPr>
          <w:rFonts w:ascii="Verdana" w:hAnsi="Verdana"/>
          <w:sz w:val="22"/>
        </w:rPr>
        <w:t xml:space="preserve"> </w:t>
      </w:r>
    </w:p>
    <w:p w:rsidR="00B040C2" w:rsidP="00BE51CC" w:rsidRDefault="00B040C2" w14:paraId="3B3BA82F" w14:textId="77777777">
      <w:pPr>
        <w:pStyle w:val="BodyTextIndent"/>
        <w:rPr>
          <w:rFonts w:ascii="Verdana" w:hAnsi="Verdana"/>
          <w:sz w:val="22"/>
        </w:rPr>
      </w:pPr>
    </w:p>
    <w:p w:rsidR="00355FFC" w:rsidRDefault="00355FFC" w14:paraId="3B3BA830" w14:textId="77777777">
      <w:pPr>
        <w:pStyle w:val="BodyTextIndent"/>
        <w:rPr>
          <w:rFonts w:ascii="Verdana" w:hAnsi="Verdana"/>
          <w:sz w:val="22"/>
        </w:rPr>
      </w:pPr>
    </w:p>
    <w:p w:rsidR="00355FFC" w:rsidRDefault="00355FFC" w14:paraId="3B3BA831" w14:textId="77777777">
      <w:pPr>
        <w:pStyle w:val="Heading1"/>
        <w:numPr>
          <w:ilvl w:val="0"/>
          <w:numId w:val="1"/>
        </w:numPr>
        <w:rPr>
          <w:rFonts w:ascii="Verdana" w:hAnsi="Verdana"/>
          <w:sz w:val="22"/>
        </w:rPr>
      </w:pPr>
      <w:r>
        <w:rPr>
          <w:rFonts w:ascii="Verdana" w:hAnsi="Verdana"/>
          <w:sz w:val="22"/>
        </w:rPr>
        <w:t>Roles and Responsibilities</w:t>
      </w:r>
    </w:p>
    <w:p w:rsidR="00355FFC" w:rsidRDefault="00355FFC" w14:paraId="3B3BA832" w14:textId="77777777">
      <w:pPr>
        <w:rPr>
          <w:rFonts w:ascii="Verdana" w:hAnsi="Verdana" w:eastAsia="Arial Unicode MS"/>
          <w:sz w:val="22"/>
        </w:rPr>
      </w:pPr>
    </w:p>
    <w:p w:rsidR="00355FFC" w:rsidP="00543CC9" w:rsidRDefault="00543CC9" w14:paraId="3B3BA833" w14:textId="77777777">
      <w:pPr>
        <w:pStyle w:val="BodyTextIndent"/>
        <w:outlineLvl w:val="0"/>
        <w:rPr>
          <w:rFonts w:ascii="Verdana" w:hAnsi="Verdana"/>
          <w:sz w:val="22"/>
        </w:rPr>
      </w:pPr>
      <w:r>
        <w:rPr>
          <w:rFonts w:ascii="Verdana" w:hAnsi="Verdana"/>
          <w:sz w:val="22"/>
        </w:rPr>
        <w:lastRenderedPageBreak/>
        <w:t xml:space="preserve">The </w:t>
      </w:r>
      <w:r w:rsidRPr="00245FFE">
        <w:rPr>
          <w:rFonts w:ascii="Verdana" w:hAnsi="Verdana"/>
          <w:sz w:val="22"/>
          <w:highlight w:val="yellow"/>
        </w:rPr>
        <w:t>Chief Executive Officer</w:t>
      </w:r>
      <w:r>
        <w:rPr>
          <w:rFonts w:ascii="Verdana" w:hAnsi="Verdana"/>
          <w:sz w:val="22"/>
        </w:rPr>
        <w:t xml:space="preserve"> </w:t>
      </w:r>
      <w:r w:rsidR="00355FFC">
        <w:rPr>
          <w:rFonts w:ascii="Verdana" w:hAnsi="Verdana"/>
          <w:sz w:val="22"/>
        </w:rPr>
        <w:t xml:space="preserve">is </w:t>
      </w:r>
      <w:r w:rsidR="005E283B">
        <w:rPr>
          <w:rFonts w:ascii="Verdana" w:hAnsi="Verdana"/>
          <w:sz w:val="22"/>
        </w:rPr>
        <w:t>accountable</w:t>
      </w:r>
      <w:r w:rsidR="00355FFC">
        <w:rPr>
          <w:rFonts w:ascii="Verdana" w:hAnsi="Verdana"/>
          <w:sz w:val="22"/>
        </w:rPr>
        <w:t xml:space="preserve"> for ensuring risk is managed across all activities.</w:t>
      </w:r>
    </w:p>
    <w:p w:rsidR="00355FFC" w:rsidRDefault="00355FFC" w14:paraId="3B3BA834" w14:textId="77777777">
      <w:pPr>
        <w:pStyle w:val="BodyTextIndent"/>
        <w:rPr>
          <w:rFonts w:ascii="Verdana" w:hAnsi="Verdana"/>
          <w:sz w:val="22"/>
        </w:rPr>
      </w:pPr>
    </w:p>
    <w:p w:rsidR="00355FFC" w:rsidP="00543CC9" w:rsidRDefault="00355FFC" w14:paraId="3B3BA835" w14:textId="77777777">
      <w:pPr>
        <w:pStyle w:val="BodyTextIndent"/>
        <w:rPr>
          <w:rFonts w:ascii="Verdana" w:hAnsi="Verdana"/>
          <w:sz w:val="22"/>
        </w:rPr>
      </w:pPr>
      <w:r>
        <w:rPr>
          <w:rFonts w:ascii="Verdana" w:hAnsi="Verdana"/>
          <w:sz w:val="22"/>
        </w:rPr>
        <w:t xml:space="preserve">The </w:t>
      </w:r>
      <w:r w:rsidRPr="00245FFE" w:rsidR="00B040C2">
        <w:rPr>
          <w:rFonts w:ascii="Verdana" w:hAnsi="Verdana"/>
          <w:sz w:val="22"/>
          <w:highlight w:val="yellow"/>
        </w:rPr>
        <w:t xml:space="preserve">Chief </w:t>
      </w:r>
      <w:r w:rsidRPr="00245FFE" w:rsidR="00446297">
        <w:rPr>
          <w:rFonts w:ascii="Verdana" w:hAnsi="Verdana"/>
          <w:sz w:val="22"/>
          <w:highlight w:val="yellow"/>
        </w:rPr>
        <w:t>Risk Officer</w:t>
      </w:r>
      <w:r>
        <w:rPr>
          <w:rFonts w:ascii="Verdana" w:hAnsi="Verdana"/>
          <w:sz w:val="22"/>
        </w:rPr>
        <w:t xml:space="preserve"> is responsible for </w:t>
      </w:r>
      <w:r w:rsidR="00020203">
        <w:rPr>
          <w:rFonts w:ascii="Verdana" w:hAnsi="Verdana"/>
          <w:sz w:val="22"/>
        </w:rPr>
        <w:t>drawing up a plan</w:t>
      </w:r>
      <w:r>
        <w:rPr>
          <w:rFonts w:ascii="Verdana" w:hAnsi="Verdana"/>
          <w:sz w:val="22"/>
        </w:rPr>
        <w:t xml:space="preserve"> for the management of risk throughout the </w:t>
      </w:r>
      <w:r w:rsidR="00543CC9">
        <w:rPr>
          <w:rFonts w:ascii="Verdana" w:hAnsi="Verdana"/>
          <w:sz w:val="22"/>
        </w:rPr>
        <w:t>organisation</w:t>
      </w:r>
      <w:r>
        <w:rPr>
          <w:rFonts w:ascii="Verdana" w:hAnsi="Verdana"/>
          <w:sz w:val="22"/>
        </w:rPr>
        <w:t>.</w:t>
      </w:r>
    </w:p>
    <w:p w:rsidR="00355FFC" w:rsidRDefault="00355FFC" w14:paraId="3B3BA836" w14:textId="77777777">
      <w:pPr>
        <w:pStyle w:val="BodyTextIndent"/>
        <w:rPr>
          <w:rFonts w:ascii="Verdana" w:hAnsi="Verdana"/>
          <w:sz w:val="22"/>
        </w:rPr>
      </w:pPr>
    </w:p>
    <w:p w:rsidR="00355FFC" w:rsidRDefault="00355FFC" w14:paraId="3B3BA837" w14:textId="77777777">
      <w:pPr>
        <w:pStyle w:val="BodyTextIndent"/>
        <w:rPr>
          <w:rFonts w:ascii="Verdana" w:hAnsi="Verdana"/>
          <w:sz w:val="22"/>
        </w:rPr>
      </w:pPr>
      <w:r>
        <w:rPr>
          <w:rFonts w:ascii="Verdana" w:hAnsi="Verdana"/>
          <w:sz w:val="22"/>
        </w:rPr>
        <w:t>Managers, at all levels, are required to create an environment where the management of risk is accepted as the personal responsibility of all employees</w:t>
      </w:r>
      <w:r w:rsidR="00446297">
        <w:rPr>
          <w:rFonts w:ascii="Verdana" w:hAnsi="Verdana"/>
          <w:sz w:val="22"/>
        </w:rPr>
        <w:t>, volunteers</w:t>
      </w:r>
      <w:r>
        <w:rPr>
          <w:rFonts w:ascii="Verdana" w:hAnsi="Verdana"/>
          <w:sz w:val="22"/>
        </w:rPr>
        <w:t xml:space="preserve"> and contractors.  The Managers are accountable for the implementation and maintenance of sound risk management processes and structures within their area of responsibility in conformity with this risk management policy</w:t>
      </w:r>
      <w:r w:rsidR="00B040C2">
        <w:rPr>
          <w:rFonts w:ascii="Verdana" w:hAnsi="Verdana"/>
          <w:sz w:val="22"/>
        </w:rPr>
        <w:t xml:space="preserve"> and the agreed risk management process</w:t>
      </w:r>
      <w:r>
        <w:rPr>
          <w:rFonts w:ascii="Verdana" w:hAnsi="Verdana"/>
          <w:sz w:val="22"/>
        </w:rPr>
        <w:t>.  All employees are to be actively involved in the management of risk.</w:t>
      </w:r>
    </w:p>
    <w:p w:rsidR="00355FFC" w:rsidRDefault="00355FFC" w14:paraId="3B3BA838" w14:textId="77777777">
      <w:pPr>
        <w:pStyle w:val="BodyTextIndent"/>
        <w:rPr>
          <w:rFonts w:ascii="Verdana" w:hAnsi="Verdana"/>
          <w:sz w:val="22"/>
        </w:rPr>
      </w:pPr>
    </w:p>
    <w:p w:rsidR="00355FFC" w:rsidP="00446297" w:rsidRDefault="00355FFC" w14:paraId="3B3BA839" w14:textId="77777777">
      <w:pPr>
        <w:pStyle w:val="BodyTextIndent"/>
        <w:rPr>
          <w:rFonts w:ascii="Verdana" w:hAnsi="Verdana"/>
          <w:sz w:val="22"/>
        </w:rPr>
      </w:pPr>
      <w:r>
        <w:rPr>
          <w:rFonts w:ascii="Verdana" w:hAnsi="Verdana"/>
          <w:sz w:val="22"/>
        </w:rPr>
        <w:t>The</w:t>
      </w:r>
      <w:r w:rsidR="00610E8B">
        <w:rPr>
          <w:rFonts w:ascii="Verdana" w:hAnsi="Verdana"/>
          <w:sz w:val="22"/>
        </w:rPr>
        <w:t xml:space="preserve"> </w:t>
      </w:r>
      <w:r w:rsidRPr="00245FFE" w:rsidR="00B040C2">
        <w:rPr>
          <w:rFonts w:ascii="Verdana" w:hAnsi="Verdana"/>
          <w:sz w:val="22"/>
          <w:highlight w:val="yellow"/>
        </w:rPr>
        <w:t xml:space="preserve">Chief </w:t>
      </w:r>
      <w:r w:rsidRPr="00245FFE" w:rsidR="00446297">
        <w:rPr>
          <w:rFonts w:ascii="Verdana" w:hAnsi="Verdana"/>
          <w:sz w:val="22"/>
          <w:highlight w:val="yellow"/>
        </w:rPr>
        <w:t>Risk Officer</w:t>
      </w:r>
      <w:r w:rsidR="00446297">
        <w:rPr>
          <w:rFonts w:ascii="Verdana" w:hAnsi="Verdana"/>
          <w:sz w:val="22"/>
        </w:rPr>
        <w:t xml:space="preserve"> </w:t>
      </w:r>
      <w:r>
        <w:rPr>
          <w:rFonts w:ascii="Verdana" w:hAnsi="Verdana"/>
          <w:sz w:val="22"/>
        </w:rPr>
        <w:t>is responsible for the provision of advice and service assistance to all areas on risk management matters.</w:t>
      </w:r>
    </w:p>
    <w:p w:rsidR="00355FFC" w:rsidRDefault="00355FFC" w14:paraId="3B3BA83A" w14:textId="77777777">
      <w:pPr>
        <w:pStyle w:val="BodyTextIndent"/>
        <w:rPr>
          <w:rFonts w:ascii="Verdana" w:hAnsi="Verdana"/>
          <w:sz w:val="22"/>
        </w:rPr>
      </w:pPr>
    </w:p>
    <w:p w:rsidR="00355FFC" w:rsidRDefault="00355FFC" w14:paraId="3B3BA83B" w14:textId="77777777">
      <w:pPr>
        <w:pStyle w:val="BodyTextIndent3"/>
        <w:tabs>
          <w:tab w:val="clear" w:pos="567"/>
          <w:tab w:val="left" w:pos="720"/>
        </w:tabs>
        <w:suppressAutoHyphens w:val="0"/>
        <w:spacing w:before="60" w:after="60" w:line="240" w:lineRule="auto"/>
        <w:ind w:left="720"/>
        <w:rPr>
          <w:rFonts w:ascii="Verdana" w:hAnsi="Verdana" w:cs="Times New Roman"/>
          <w:b w:val="0"/>
          <w:bCs w:val="0"/>
          <w:szCs w:val="20"/>
        </w:rPr>
      </w:pPr>
      <w:r>
        <w:rPr>
          <w:rFonts w:ascii="Verdana" w:hAnsi="Verdana" w:cs="Times New Roman"/>
          <w:b w:val="0"/>
          <w:bCs w:val="0"/>
          <w:szCs w:val="20"/>
        </w:rPr>
        <w:t xml:space="preserve">In order for </w:t>
      </w:r>
      <w:r w:rsidR="005E283B">
        <w:rPr>
          <w:rFonts w:ascii="Verdana" w:hAnsi="Verdana"/>
          <w:b w:val="0"/>
          <w:sz w:val="24"/>
        </w:rPr>
        <w:t>the Board</w:t>
      </w:r>
      <w:r>
        <w:rPr>
          <w:rFonts w:ascii="Verdana" w:hAnsi="Verdana" w:cs="Times New Roman"/>
          <w:b w:val="0"/>
          <w:bCs w:val="0"/>
          <w:szCs w:val="20"/>
        </w:rPr>
        <w:t xml:space="preserve"> to be properly informed of the status of risks facing </w:t>
      </w:r>
      <w:r w:rsidR="00543CC9">
        <w:rPr>
          <w:rFonts w:ascii="Verdana" w:hAnsi="Verdana" w:cs="Times New Roman"/>
          <w:b w:val="0"/>
          <w:bCs w:val="0"/>
          <w:szCs w:val="20"/>
          <w:highlight w:val="yellow"/>
        </w:rPr>
        <w:t>Organisation</w:t>
      </w:r>
      <w:r>
        <w:rPr>
          <w:rFonts w:ascii="Verdana" w:hAnsi="Verdana" w:cs="Times New Roman"/>
          <w:b w:val="0"/>
          <w:bCs w:val="0"/>
          <w:szCs w:val="20"/>
        </w:rPr>
        <w:t xml:space="preserve">, all </w:t>
      </w:r>
      <w:r w:rsidR="00610E8B">
        <w:rPr>
          <w:rFonts w:ascii="Verdana" w:hAnsi="Verdana" w:cs="Times New Roman"/>
          <w:b w:val="0"/>
          <w:bCs w:val="0"/>
          <w:szCs w:val="20"/>
        </w:rPr>
        <w:t>departments</w:t>
      </w:r>
      <w:r>
        <w:rPr>
          <w:rFonts w:ascii="Verdana" w:hAnsi="Verdana" w:cs="Times New Roman"/>
          <w:b w:val="0"/>
          <w:bCs w:val="0"/>
          <w:szCs w:val="20"/>
        </w:rPr>
        <w:t xml:space="preserve"> are required to report regularly on risks assessed and progress with respect to their management.</w:t>
      </w:r>
    </w:p>
    <w:p w:rsidR="00355FFC" w:rsidP="00543CC9" w:rsidRDefault="00355FFC" w14:paraId="3B3BA83C" w14:textId="77777777">
      <w:pPr>
        <w:pStyle w:val="BodyTextIndent3"/>
        <w:tabs>
          <w:tab w:val="clear" w:pos="567"/>
          <w:tab w:val="left" w:pos="720"/>
        </w:tabs>
        <w:suppressAutoHyphens w:val="0"/>
        <w:spacing w:before="60" w:after="60" w:line="240" w:lineRule="auto"/>
        <w:ind w:left="720"/>
        <w:rPr>
          <w:rFonts w:ascii="Verdana" w:hAnsi="Verdana" w:cs="Times New Roman"/>
          <w:b w:val="0"/>
          <w:bCs w:val="0"/>
          <w:szCs w:val="20"/>
        </w:rPr>
      </w:pPr>
      <w:r>
        <w:rPr>
          <w:rFonts w:ascii="Verdana" w:hAnsi="Verdana" w:cs="Times New Roman"/>
          <w:b w:val="0"/>
          <w:bCs w:val="0"/>
          <w:szCs w:val="20"/>
        </w:rPr>
        <w:t>Reports are to be submitted to the Board each quarter utilising a standard format that details all identifie</w:t>
      </w:r>
      <w:r w:rsidR="00610E8B">
        <w:rPr>
          <w:rFonts w:ascii="Verdana" w:hAnsi="Verdana" w:cs="Times New Roman"/>
          <w:b w:val="0"/>
          <w:bCs w:val="0"/>
          <w:szCs w:val="20"/>
        </w:rPr>
        <w:t>d</w:t>
      </w:r>
      <w:r w:rsidR="00372F96">
        <w:rPr>
          <w:rFonts w:ascii="Verdana" w:hAnsi="Verdana" w:cs="Times New Roman"/>
          <w:b w:val="0"/>
          <w:bCs w:val="0"/>
          <w:szCs w:val="20"/>
        </w:rPr>
        <w:t xml:space="preserve"> significant</w:t>
      </w:r>
      <w:r w:rsidR="00610E8B">
        <w:rPr>
          <w:rFonts w:ascii="Verdana" w:hAnsi="Verdana" w:cs="Times New Roman"/>
          <w:b w:val="0"/>
          <w:bCs w:val="0"/>
          <w:szCs w:val="20"/>
        </w:rPr>
        <w:t xml:space="preserve"> risks with a level of risk</w:t>
      </w:r>
      <w:r>
        <w:rPr>
          <w:rFonts w:ascii="Verdana" w:hAnsi="Verdana" w:cs="Times New Roman"/>
          <w:b w:val="0"/>
          <w:bCs w:val="0"/>
          <w:szCs w:val="20"/>
        </w:rPr>
        <w:t xml:space="preserve"> greater than </w:t>
      </w:r>
      <w:r w:rsidRPr="00C91014" w:rsidR="00610E8B">
        <w:rPr>
          <w:rFonts w:ascii="Verdana" w:hAnsi="Verdana" w:cs="Times New Roman"/>
          <w:b w:val="0"/>
          <w:bCs w:val="0"/>
          <w:szCs w:val="20"/>
          <w:highlight w:val="cyan"/>
        </w:rPr>
        <w:t>__</w:t>
      </w:r>
      <w:r w:rsidR="00610E8B">
        <w:rPr>
          <w:rFonts w:ascii="Verdana" w:hAnsi="Verdana" w:cs="Times New Roman"/>
          <w:b w:val="0"/>
          <w:bCs w:val="0"/>
          <w:szCs w:val="20"/>
        </w:rPr>
        <w:t xml:space="preserve"> (where level of risk is the product of Likelihood and Consequence, each rated on a 1-5 scale)</w:t>
      </w:r>
      <w:r>
        <w:rPr>
          <w:rFonts w:ascii="Verdana" w:hAnsi="Verdana" w:cs="Times New Roman"/>
          <w:b w:val="0"/>
          <w:bCs w:val="0"/>
          <w:szCs w:val="20"/>
        </w:rPr>
        <w:t xml:space="preserve">.  Returns from each </w:t>
      </w:r>
      <w:r w:rsidR="00610E8B">
        <w:rPr>
          <w:rFonts w:ascii="Verdana" w:hAnsi="Verdana" w:cs="Times New Roman"/>
          <w:b w:val="0"/>
          <w:bCs w:val="0"/>
          <w:szCs w:val="20"/>
        </w:rPr>
        <w:t>department</w:t>
      </w:r>
      <w:r>
        <w:rPr>
          <w:rFonts w:ascii="Verdana" w:hAnsi="Verdana" w:cs="Times New Roman"/>
          <w:b w:val="0"/>
          <w:bCs w:val="0"/>
          <w:szCs w:val="20"/>
        </w:rPr>
        <w:t xml:space="preserve"> are to be consolidated into a </w:t>
      </w:r>
      <w:r w:rsidR="00610E8B">
        <w:rPr>
          <w:rFonts w:ascii="Verdana" w:hAnsi="Verdana" w:cs="Times New Roman"/>
          <w:b w:val="0"/>
          <w:bCs w:val="0"/>
          <w:szCs w:val="20"/>
        </w:rPr>
        <w:t xml:space="preserve">single </w:t>
      </w:r>
      <w:r w:rsidR="00543CC9">
        <w:rPr>
          <w:rFonts w:ascii="Verdana" w:hAnsi="Verdana" w:cs="Times New Roman"/>
          <w:b w:val="0"/>
          <w:bCs w:val="0"/>
          <w:szCs w:val="20"/>
        </w:rPr>
        <w:t>organisation</w:t>
      </w:r>
      <w:r>
        <w:rPr>
          <w:rFonts w:ascii="Verdana" w:hAnsi="Verdana" w:cs="Times New Roman"/>
          <w:b w:val="0"/>
          <w:bCs w:val="0"/>
          <w:szCs w:val="20"/>
        </w:rPr>
        <w:t xml:space="preserve"> overview, setting out the </w:t>
      </w:r>
      <w:r w:rsidR="00543CC9">
        <w:rPr>
          <w:rFonts w:ascii="Verdana" w:hAnsi="Verdana" w:cs="Times New Roman"/>
          <w:b w:val="0"/>
          <w:bCs w:val="0"/>
          <w:szCs w:val="20"/>
        </w:rPr>
        <w:t>organisation</w:t>
      </w:r>
      <w:r w:rsidRPr="00C91014">
        <w:rPr>
          <w:rFonts w:ascii="Verdana" w:hAnsi="Verdana" w:cs="Times New Roman"/>
          <w:b w:val="0"/>
          <w:bCs w:val="0"/>
          <w:szCs w:val="20"/>
        </w:rPr>
        <w:t>’s</w:t>
      </w:r>
      <w:r w:rsidRPr="005E283B">
        <w:rPr>
          <w:rFonts w:ascii="Verdana" w:hAnsi="Verdana" w:cs="Times New Roman"/>
          <w:b w:val="0"/>
          <w:bCs w:val="0"/>
          <w:szCs w:val="20"/>
        </w:rPr>
        <w:t xml:space="preserve"> </w:t>
      </w:r>
      <w:r>
        <w:rPr>
          <w:rFonts w:ascii="Verdana" w:hAnsi="Verdana" w:cs="Times New Roman"/>
          <w:b w:val="0"/>
          <w:bCs w:val="0"/>
          <w:szCs w:val="20"/>
        </w:rPr>
        <w:t xml:space="preserve">major risks and what is being done to manage them.  </w:t>
      </w:r>
    </w:p>
    <w:p w:rsidR="00355FFC" w:rsidP="00543CC9" w:rsidRDefault="00355FFC" w14:paraId="3B3BA83D" w14:textId="77777777">
      <w:pPr>
        <w:pStyle w:val="BodyTextIndent3"/>
        <w:tabs>
          <w:tab w:val="clear" w:pos="567"/>
          <w:tab w:val="left" w:pos="720"/>
        </w:tabs>
        <w:suppressAutoHyphens w:val="0"/>
        <w:spacing w:before="60" w:after="60" w:line="240" w:lineRule="auto"/>
        <w:ind w:left="720"/>
        <w:rPr>
          <w:rFonts w:ascii="Verdana" w:hAnsi="Verdana" w:cs="Times New Roman"/>
          <w:b w:val="0"/>
          <w:bCs w:val="0"/>
          <w:szCs w:val="20"/>
        </w:rPr>
      </w:pPr>
      <w:r>
        <w:rPr>
          <w:rFonts w:ascii="Verdana" w:hAnsi="Verdana" w:cs="Times New Roman"/>
          <w:b w:val="0"/>
          <w:bCs w:val="0"/>
          <w:szCs w:val="20"/>
        </w:rPr>
        <w:t xml:space="preserve">The quarterly report will be </w:t>
      </w:r>
      <w:r w:rsidR="004D7FA6">
        <w:rPr>
          <w:rFonts w:ascii="Verdana" w:hAnsi="Verdana" w:cs="Times New Roman"/>
          <w:b w:val="0"/>
          <w:bCs w:val="0"/>
          <w:szCs w:val="20"/>
        </w:rPr>
        <w:t xml:space="preserve">reviewed </w:t>
      </w:r>
      <w:r>
        <w:rPr>
          <w:rFonts w:ascii="Verdana" w:hAnsi="Verdana" w:cs="Times New Roman"/>
          <w:b w:val="0"/>
          <w:bCs w:val="0"/>
          <w:szCs w:val="20"/>
        </w:rPr>
        <w:t>by the Chief Executive Officer</w:t>
      </w:r>
      <w:r w:rsidR="00543CC9">
        <w:rPr>
          <w:rFonts w:ascii="Verdana" w:hAnsi="Verdana" w:cs="Times New Roman"/>
          <w:b w:val="0"/>
          <w:bCs w:val="0"/>
          <w:szCs w:val="20"/>
        </w:rPr>
        <w:t xml:space="preserve"> </w:t>
      </w:r>
      <w:r>
        <w:rPr>
          <w:rFonts w:ascii="Verdana" w:hAnsi="Verdana" w:cs="Times New Roman"/>
          <w:b w:val="0"/>
          <w:bCs w:val="0"/>
          <w:szCs w:val="20"/>
        </w:rPr>
        <w:t>in terms of endorsing the actions undertaken or proposed, and by the Board in terms of the appropriateness of actions and compliance with the Risk Management Policy.</w:t>
      </w:r>
    </w:p>
    <w:p w:rsidR="00355FFC" w:rsidRDefault="00355FFC" w14:paraId="3B3BA83E" w14:textId="77777777">
      <w:pPr>
        <w:pStyle w:val="BodyTextIndent3"/>
        <w:tabs>
          <w:tab w:val="clear" w:pos="567"/>
          <w:tab w:val="left" w:pos="720"/>
        </w:tabs>
        <w:suppressAutoHyphens w:val="0"/>
        <w:spacing w:before="60" w:after="60" w:line="240" w:lineRule="auto"/>
        <w:ind w:left="720"/>
        <w:rPr>
          <w:rFonts w:ascii="Verdana" w:hAnsi="Verdana" w:cs="Times New Roman"/>
          <w:b w:val="0"/>
          <w:bCs w:val="0"/>
        </w:rPr>
      </w:pPr>
      <w:r>
        <w:rPr>
          <w:rFonts w:ascii="Verdana" w:hAnsi="Verdana" w:cs="Times New Roman"/>
          <w:b w:val="0"/>
          <w:bCs w:val="0"/>
        </w:rPr>
        <w:t xml:space="preserve">As part of their compliance activities, all </w:t>
      </w:r>
      <w:r w:rsidR="00372F96">
        <w:rPr>
          <w:rFonts w:ascii="Verdana" w:hAnsi="Verdana" w:cs="Times New Roman"/>
          <w:b w:val="0"/>
          <w:bCs w:val="0"/>
        </w:rPr>
        <w:t xml:space="preserve">relevant </w:t>
      </w:r>
      <w:r w:rsidR="00610E8B">
        <w:rPr>
          <w:rFonts w:ascii="Verdana" w:hAnsi="Verdana" w:cs="Times New Roman"/>
          <w:b w:val="0"/>
          <w:bCs w:val="0"/>
        </w:rPr>
        <w:t>departments</w:t>
      </w:r>
      <w:r>
        <w:rPr>
          <w:rFonts w:ascii="Verdana" w:hAnsi="Verdana" w:cs="Times New Roman"/>
          <w:b w:val="0"/>
          <w:bCs w:val="0"/>
        </w:rPr>
        <w:t xml:space="preserve"> will also be required to maintain a risk register that provides details of all identified risks together with their assessment of likelihood and consequence, who owns them and what can be</w:t>
      </w:r>
      <w:r w:rsidR="00B040C2">
        <w:rPr>
          <w:rFonts w:ascii="Verdana" w:hAnsi="Verdana" w:cs="Times New Roman"/>
          <w:b w:val="0"/>
          <w:bCs w:val="0"/>
        </w:rPr>
        <w:t xml:space="preserve"> / is being</w:t>
      </w:r>
      <w:r>
        <w:rPr>
          <w:rFonts w:ascii="Verdana" w:hAnsi="Verdana" w:cs="Times New Roman"/>
          <w:b w:val="0"/>
          <w:bCs w:val="0"/>
        </w:rPr>
        <w:t xml:space="preserve"> done to manage them</w:t>
      </w:r>
      <w:r w:rsidR="00B040C2">
        <w:rPr>
          <w:rFonts w:ascii="Verdana" w:hAnsi="Verdana" w:cs="Times New Roman"/>
          <w:b w:val="0"/>
          <w:bCs w:val="0"/>
        </w:rPr>
        <w:t>.</w:t>
      </w:r>
      <w:r>
        <w:rPr>
          <w:rFonts w:ascii="Verdana" w:hAnsi="Verdana" w:cs="Times New Roman"/>
          <w:b w:val="0"/>
          <w:bCs w:val="0"/>
        </w:rPr>
        <w:t xml:space="preserve"> </w:t>
      </w:r>
    </w:p>
    <w:p w:rsidR="00355FFC" w:rsidRDefault="00355FFC" w14:paraId="3B3BA83F" w14:textId="77777777">
      <w:pPr>
        <w:pStyle w:val="BodyTextIndent"/>
        <w:rPr>
          <w:rFonts w:ascii="Verdana" w:hAnsi="Verdana"/>
          <w:sz w:val="22"/>
        </w:rPr>
      </w:pPr>
    </w:p>
    <w:p w:rsidR="00496ED8" w:rsidRDefault="00496ED8" w14:paraId="3B3BA840" w14:textId="77777777">
      <w:pPr>
        <w:pStyle w:val="BodyTextIndent"/>
        <w:rPr>
          <w:rFonts w:ascii="Verdana" w:hAnsi="Verdana"/>
          <w:sz w:val="22"/>
        </w:rPr>
      </w:pPr>
    </w:p>
    <w:p w:rsidR="00355FFC" w:rsidRDefault="00355FFC" w14:paraId="3B3BA841" w14:textId="77777777">
      <w:pPr>
        <w:numPr>
          <w:ilvl w:val="0"/>
          <w:numId w:val="1"/>
        </w:numPr>
        <w:rPr>
          <w:rFonts w:ascii="Verdana" w:hAnsi="Verdana"/>
          <w:b/>
          <w:sz w:val="22"/>
        </w:rPr>
      </w:pPr>
      <w:r>
        <w:rPr>
          <w:rFonts w:ascii="Verdana" w:hAnsi="Verdana"/>
          <w:b/>
          <w:sz w:val="22"/>
        </w:rPr>
        <w:t>Education and Training</w:t>
      </w:r>
    </w:p>
    <w:p w:rsidR="00355FFC" w:rsidRDefault="00355FFC" w14:paraId="3B3BA842" w14:textId="77777777">
      <w:pPr>
        <w:rPr>
          <w:rFonts w:ascii="Verdana" w:hAnsi="Verdana"/>
          <w:sz w:val="22"/>
        </w:rPr>
      </w:pPr>
    </w:p>
    <w:p w:rsidR="00355FFC" w:rsidP="00543CC9" w:rsidRDefault="00355FFC" w14:paraId="3B3BA843" w14:textId="77777777">
      <w:pPr>
        <w:ind w:left="720"/>
        <w:rPr>
          <w:rFonts w:ascii="Verdana" w:hAnsi="Verdana"/>
          <w:sz w:val="22"/>
        </w:rPr>
      </w:pPr>
      <w:r>
        <w:rPr>
          <w:rFonts w:ascii="Verdana" w:hAnsi="Verdana"/>
          <w:sz w:val="22"/>
        </w:rPr>
        <w:t xml:space="preserve">The </w:t>
      </w:r>
      <w:r w:rsidR="00B040C2">
        <w:rPr>
          <w:rFonts w:ascii="Verdana" w:hAnsi="Verdana"/>
          <w:sz w:val="22"/>
        </w:rPr>
        <w:t xml:space="preserve">Chief </w:t>
      </w:r>
      <w:r w:rsidR="00446297">
        <w:rPr>
          <w:rFonts w:ascii="Verdana" w:hAnsi="Verdana"/>
          <w:sz w:val="22"/>
        </w:rPr>
        <w:t>Risk Officer</w:t>
      </w:r>
      <w:r>
        <w:rPr>
          <w:rFonts w:ascii="Verdana" w:hAnsi="Verdana"/>
          <w:sz w:val="22"/>
        </w:rPr>
        <w:t xml:space="preserve"> is responsible for the development and provision of risk management awareness training as well as specific training and education programmes throughout </w:t>
      </w:r>
      <w:r w:rsidR="00543CC9">
        <w:rPr>
          <w:rFonts w:ascii="Verdana" w:hAnsi="Verdana"/>
          <w:sz w:val="22"/>
          <w:highlight w:val="yellow"/>
        </w:rPr>
        <w:t>Organisation</w:t>
      </w:r>
      <w:r w:rsidRPr="00610E8B">
        <w:rPr>
          <w:rFonts w:ascii="Verdana" w:hAnsi="Verdana"/>
          <w:sz w:val="22"/>
        </w:rPr>
        <w:t>.</w:t>
      </w:r>
      <w:r>
        <w:rPr>
          <w:rFonts w:ascii="Verdana" w:hAnsi="Verdana"/>
          <w:sz w:val="22"/>
        </w:rPr>
        <w:t xml:space="preserve"> This training and education is to address the needs of all directors</w:t>
      </w:r>
      <w:r w:rsidR="00446297">
        <w:rPr>
          <w:rFonts w:ascii="Verdana" w:hAnsi="Verdana"/>
          <w:sz w:val="22"/>
        </w:rPr>
        <w:t>,</w:t>
      </w:r>
      <w:r>
        <w:rPr>
          <w:rFonts w:ascii="Verdana" w:hAnsi="Verdana"/>
          <w:sz w:val="22"/>
        </w:rPr>
        <w:t xml:space="preserve"> employees</w:t>
      </w:r>
      <w:r w:rsidR="00446297">
        <w:rPr>
          <w:rFonts w:ascii="Verdana" w:hAnsi="Verdana"/>
          <w:sz w:val="22"/>
        </w:rPr>
        <w:t xml:space="preserve"> and </w:t>
      </w:r>
      <w:r w:rsidR="00543CC9">
        <w:rPr>
          <w:rFonts w:ascii="Verdana" w:hAnsi="Verdana"/>
          <w:sz w:val="22"/>
        </w:rPr>
        <w:t>contractors</w:t>
      </w:r>
      <w:r>
        <w:rPr>
          <w:rFonts w:ascii="Verdana" w:hAnsi="Verdana"/>
          <w:sz w:val="22"/>
        </w:rPr>
        <w:t xml:space="preserve"> including senior management.</w:t>
      </w:r>
    </w:p>
    <w:p w:rsidR="00355FFC" w:rsidRDefault="00355FFC" w14:paraId="3B3BA844" w14:textId="77777777">
      <w:pPr>
        <w:jc w:val="center"/>
        <w:rPr>
          <w:rFonts w:ascii="Verdana" w:hAnsi="Verdana"/>
          <w:sz w:val="22"/>
        </w:rPr>
      </w:pPr>
    </w:p>
    <w:p w:rsidR="00610E8B" w:rsidRDefault="00610E8B" w14:paraId="3B3BA845" w14:textId="77777777">
      <w:pPr>
        <w:jc w:val="center"/>
        <w:rPr>
          <w:rFonts w:ascii="Verdana" w:hAnsi="Verdana"/>
          <w:sz w:val="22"/>
        </w:rPr>
      </w:pPr>
    </w:p>
    <w:p w:rsidR="00355FFC" w:rsidP="00543CC9" w:rsidRDefault="00355FFC" w14:paraId="3B3BA846" w14:textId="77777777">
      <w:pPr>
        <w:pStyle w:val="BodyTextIndent3"/>
        <w:suppressAutoHyphens w:val="0"/>
        <w:spacing w:before="60" w:after="60" w:line="240" w:lineRule="auto"/>
        <w:ind w:left="0"/>
        <w:jc w:val="both"/>
        <w:rPr>
          <w:rFonts w:ascii="Verdana" w:hAnsi="Verdana"/>
        </w:rPr>
      </w:pPr>
      <w:r>
        <w:rPr>
          <w:rFonts w:ascii="Verdana" w:hAnsi="Verdana"/>
        </w:rPr>
        <w:t>Policy Date of effect:</w:t>
      </w:r>
      <w:r w:rsidR="00F743C7">
        <w:rPr>
          <w:rFonts w:ascii="Verdana" w:hAnsi="Verdana"/>
        </w:rPr>
        <w:t xml:space="preserve">  </w:t>
      </w:r>
      <w:r w:rsidR="00610E8B">
        <w:rPr>
          <w:rFonts w:ascii="Verdana" w:hAnsi="Verdana"/>
        </w:rPr>
        <w:t xml:space="preserve">  </w:t>
      </w:r>
      <w:proofErr w:type="spellStart"/>
      <w:r w:rsidR="00F743C7">
        <w:rPr>
          <w:rFonts w:ascii="Verdana" w:hAnsi="Verdana"/>
        </w:rPr>
        <w:t>xxxx</w:t>
      </w:r>
      <w:proofErr w:type="spellEnd"/>
      <w:r w:rsidR="00496ED8">
        <w:rPr>
          <w:rFonts w:ascii="Verdana" w:hAnsi="Verdana"/>
        </w:rPr>
        <w:tab/>
      </w:r>
      <w:r w:rsidR="00496ED8">
        <w:rPr>
          <w:rFonts w:ascii="Verdana" w:hAnsi="Verdana"/>
        </w:rPr>
        <w:tab/>
      </w:r>
      <w:r w:rsidR="00496ED8">
        <w:rPr>
          <w:rFonts w:ascii="Verdana" w:hAnsi="Verdana"/>
        </w:rPr>
        <w:tab/>
      </w:r>
      <w:r w:rsidR="00496ED8">
        <w:rPr>
          <w:rFonts w:ascii="Verdana" w:hAnsi="Verdana"/>
        </w:rPr>
        <w:tab/>
      </w:r>
      <w:r w:rsidR="00496ED8">
        <w:rPr>
          <w:rFonts w:ascii="Verdana" w:hAnsi="Verdana"/>
        </w:rPr>
        <w:tab/>
      </w:r>
      <w:r w:rsidR="00496ED8">
        <w:rPr>
          <w:rFonts w:ascii="Verdana" w:hAnsi="Verdana"/>
        </w:rPr>
        <w:tab/>
      </w:r>
      <w:r w:rsidR="00496ED8">
        <w:rPr>
          <w:rFonts w:ascii="Verdana" w:hAnsi="Verdana"/>
        </w:rPr>
        <w:tab/>
      </w:r>
      <w:r w:rsidR="00496ED8">
        <w:rPr>
          <w:rFonts w:ascii="Verdana" w:hAnsi="Verdana"/>
        </w:rPr>
        <w:tab/>
      </w:r>
      <w:r w:rsidRPr="00496ED8" w:rsidR="00496ED8">
        <w:rPr>
          <w:rFonts w:ascii="Verdana" w:hAnsi="Verdana"/>
          <w:b w:val="0"/>
          <w:bCs w:val="0"/>
          <w:sz w:val="16"/>
          <w:szCs w:val="16"/>
        </w:rPr>
        <w:t>Rel:2.</w:t>
      </w:r>
      <w:r w:rsidR="00245FFE">
        <w:rPr>
          <w:rFonts w:ascii="Verdana" w:hAnsi="Verdana"/>
          <w:b w:val="0"/>
          <w:bCs w:val="0"/>
          <w:sz w:val="16"/>
          <w:szCs w:val="16"/>
        </w:rPr>
        <w:t>7</w:t>
      </w:r>
    </w:p>
    <w:p w:rsidR="00355FFC" w:rsidRDefault="00355FFC" w14:paraId="3B3BA847" w14:textId="77777777">
      <w:pPr>
        <w:pStyle w:val="Heading1"/>
        <w:rPr>
          <w:rFonts w:ascii="Verdana" w:hAnsi="Verdana"/>
          <w:bCs/>
          <w:sz w:val="22"/>
        </w:rPr>
      </w:pPr>
    </w:p>
    <w:sectPr w:rsidR="00355FFC" w:rsidSect="00496ED8">
      <w:headerReference w:type="default" r:id="rId7"/>
      <w:footerReference w:type="default" r:id="rId8"/>
      <w:type w:val="continuous"/>
      <w:pgSz w:w="11907" w:h="16840" w:orient="portrait" w:code="9"/>
      <w:pgMar w:top="850" w:right="1134" w:bottom="79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68FA" w:rsidRDefault="009168FA" w14:paraId="3B3BA84A" w14:textId="77777777">
      <w:r>
        <w:separator/>
      </w:r>
    </w:p>
  </w:endnote>
  <w:endnote w:type="continuationSeparator" w:id="0">
    <w:p w:rsidR="009168FA" w:rsidRDefault="009168FA" w14:paraId="3B3BA8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558F" w:rsidR="00355FFC" w:rsidRDefault="001166FE" w14:paraId="3B3BA84D" w14:textId="51FFA803">
    <w:pPr>
      <w:pStyle w:val="Footer"/>
      <w:jc w:val="center"/>
      <w:rPr>
        <w:lang w:val="en-US"/>
      </w:rPr>
    </w:pPr>
    <w:hyperlink w:history="1" r:id="rId1">
      <w:r w:rsidRPr="00770172">
        <w:rPr>
          <w:rStyle w:val="Hyperlink"/>
          <w:lang w:val="en-US"/>
        </w:rPr>
        <w:t>www.calqrisk.com</w:t>
      </w:r>
    </w:hyperlink>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68FA" w:rsidRDefault="009168FA" w14:paraId="3B3BA848" w14:textId="77777777">
      <w:r>
        <w:separator/>
      </w:r>
    </w:p>
  </w:footnote>
  <w:footnote w:type="continuationSeparator" w:id="0">
    <w:p w:rsidR="009168FA" w:rsidRDefault="009168FA" w14:paraId="3B3BA84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55FFC" w:rsidP="00DB1546" w:rsidRDefault="00266B5C" w14:paraId="3B3BA84C" w14:textId="6AC7219C">
    <w:pPr>
      <w:pStyle w:val="Header"/>
      <w:jc w:val="right"/>
      <w:rPr>
        <w:rFonts w:ascii="Arial Black" w:hAnsi="Arial Black"/>
      </w:rPr>
    </w:pPr>
    <w:r>
      <w:rPr>
        <w:rFonts w:ascii="Arial Black" w:hAnsi="Arial Black"/>
        <w:noProof/>
      </w:rPr>
      <w:drawing>
        <wp:inline distT="0" distB="0" distL="0" distR="0" wp14:anchorId="7461588D" wp14:editId="4A1AEAEE">
          <wp:extent cx="1704909" cy="385445"/>
          <wp:effectExtent l="0" t="0" r="0" b="0"/>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38094" cy="3929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132B"/>
    <w:multiLevelType w:val="hybridMultilevel"/>
    <w:tmpl w:val="2E6413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B0242A"/>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27D250D5"/>
    <w:multiLevelType w:val="hybridMultilevel"/>
    <w:tmpl w:val="9ADC6EC4"/>
    <w:lvl w:ilvl="0" w:tplc="331AB350">
      <w:start w:val="1"/>
      <w:numFmt w:val="bullet"/>
      <w:lvlText w:val=""/>
      <w:lvlJc w:val="left"/>
      <w:pPr>
        <w:tabs>
          <w:tab w:val="num" w:pos="1440"/>
        </w:tabs>
        <w:ind w:left="1440" w:hanging="360"/>
      </w:pPr>
      <w:rPr>
        <w:rFonts w:hint="default" w:ascii="Symbol" w:hAnsi="Symbol"/>
        <w:sz w:val="24"/>
        <w:szCs w:val="24"/>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 w15:restartNumberingAfterBreak="0">
    <w:nsid w:val="2E1B7202"/>
    <w:multiLevelType w:val="hybridMultilevel"/>
    <w:tmpl w:val="FC6A13DE"/>
    <w:lvl w:ilvl="0" w:tplc="331AB350">
      <w:start w:val="1"/>
      <w:numFmt w:val="bullet"/>
      <w:lvlText w:val=""/>
      <w:lvlJc w:val="left"/>
      <w:pPr>
        <w:tabs>
          <w:tab w:val="num" w:pos="1440"/>
        </w:tabs>
        <w:ind w:left="1440" w:hanging="360"/>
      </w:pPr>
      <w:rPr>
        <w:rFonts w:hint="default" w:ascii="Symbol" w:hAnsi="Symbol"/>
        <w:sz w:val="24"/>
        <w:szCs w:val="24"/>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4" w15:restartNumberingAfterBreak="0">
    <w:nsid w:val="72C77A32"/>
    <w:multiLevelType w:val="multilevel"/>
    <w:tmpl w:val="4B52FA9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7F9305EB"/>
    <w:multiLevelType w:val="hybridMultilevel"/>
    <w:tmpl w:val="59745454"/>
    <w:lvl w:ilvl="0" w:tplc="331AB350">
      <w:start w:val="1"/>
      <w:numFmt w:val="bullet"/>
      <w:lvlText w:val=""/>
      <w:lvlJc w:val="left"/>
      <w:pPr>
        <w:tabs>
          <w:tab w:val="num" w:pos="1080"/>
        </w:tabs>
        <w:ind w:left="1080" w:hanging="360"/>
      </w:pPr>
      <w:rPr>
        <w:rFonts w:hint="default" w:ascii="Symbol" w:hAnsi="Symbol"/>
        <w:sz w:val="24"/>
        <w:szCs w:val="24"/>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abstractNumId w:val="4"/>
  </w:num>
  <w:num w:numId="2">
    <w:abstractNumId w:val="1"/>
  </w:num>
  <w:num w:numId="3">
    <w:abstractNumId w:val="5"/>
  </w:num>
  <w:num w:numId="4">
    <w:abstractNumId w:val="3"/>
  </w:num>
  <w:num w:numId="5">
    <w:abstractNumId w:val="0"/>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BC2"/>
    <w:rsid w:val="000153CC"/>
    <w:rsid w:val="00020203"/>
    <w:rsid w:val="00072DDB"/>
    <w:rsid w:val="001166FE"/>
    <w:rsid w:val="001A1D47"/>
    <w:rsid w:val="001B195B"/>
    <w:rsid w:val="001B5BC2"/>
    <w:rsid w:val="001D616F"/>
    <w:rsid w:val="001F10CD"/>
    <w:rsid w:val="00227A87"/>
    <w:rsid w:val="002309E5"/>
    <w:rsid w:val="00245FFE"/>
    <w:rsid w:val="00253026"/>
    <w:rsid w:val="00266B5C"/>
    <w:rsid w:val="002A2C38"/>
    <w:rsid w:val="00320EB9"/>
    <w:rsid w:val="00355FFC"/>
    <w:rsid w:val="00372F96"/>
    <w:rsid w:val="003E18A3"/>
    <w:rsid w:val="00404309"/>
    <w:rsid w:val="004121F5"/>
    <w:rsid w:val="00413B04"/>
    <w:rsid w:val="00446297"/>
    <w:rsid w:val="00484020"/>
    <w:rsid w:val="00496ED8"/>
    <w:rsid w:val="004B0F19"/>
    <w:rsid w:val="004D7FA6"/>
    <w:rsid w:val="004E0691"/>
    <w:rsid w:val="004F2AE8"/>
    <w:rsid w:val="0050199C"/>
    <w:rsid w:val="00533E6C"/>
    <w:rsid w:val="00543CC9"/>
    <w:rsid w:val="005E283B"/>
    <w:rsid w:val="00610E8B"/>
    <w:rsid w:val="00633586"/>
    <w:rsid w:val="0063539A"/>
    <w:rsid w:val="00662AD9"/>
    <w:rsid w:val="0069666D"/>
    <w:rsid w:val="006A0EFD"/>
    <w:rsid w:val="006C02E8"/>
    <w:rsid w:val="006E1F46"/>
    <w:rsid w:val="006E736B"/>
    <w:rsid w:val="0077661F"/>
    <w:rsid w:val="007C153C"/>
    <w:rsid w:val="007F234D"/>
    <w:rsid w:val="00827F02"/>
    <w:rsid w:val="00872090"/>
    <w:rsid w:val="008A758F"/>
    <w:rsid w:val="009168FA"/>
    <w:rsid w:val="00922828"/>
    <w:rsid w:val="00947CB4"/>
    <w:rsid w:val="009D4E68"/>
    <w:rsid w:val="00A91095"/>
    <w:rsid w:val="00AA686E"/>
    <w:rsid w:val="00AC6C5B"/>
    <w:rsid w:val="00AD76CD"/>
    <w:rsid w:val="00AE2F48"/>
    <w:rsid w:val="00B040C2"/>
    <w:rsid w:val="00B73362"/>
    <w:rsid w:val="00B81CA3"/>
    <w:rsid w:val="00BB5EEE"/>
    <w:rsid w:val="00BE51CC"/>
    <w:rsid w:val="00C91014"/>
    <w:rsid w:val="00CC558F"/>
    <w:rsid w:val="00D2565F"/>
    <w:rsid w:val="00D63A28"/>
    <w:rsid w:val="00DB1546"/>
    <w:rsid w:val="00DB3FF7"/>
    <w:rsid w:val="00DB4F05"/>
    <w:rsid w:val="00DC327C"/>
    <w:rsid w:val="00E47AB8"/>
    <w:rsid w:val="00E633CF"/>
    <w:rsid w:val="00E6620F"/>
    <w:rsid w:val="00E80B87"/>
    <w:rsid w:val="00EA7589"/>
    <w:rsid w:val="00EB66A1"/>
    <w:rsid w:val="00EC3503"/>
    <w:rsid w:val="00F11DA9"/>
    <w:rsid w:val="00F14401"/>
    <w:rsid w:val="00F743C7"/>
    <w:rsid w:val="00FA3E50"/>
    <w:rsid w:val="00FC0473"/>
    <w:rsid w:val="00FF772F"/>
    <w:rsid w:val="5F895A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BA7E5"/>
  <w15:chartTrackingRefBased/>
  <w15:docId w15:val="{D6B090A0-37B8-4F45-ADF1-3400189F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val="en-AU"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28"/>
    </w:rPr>
  </w:style>
  <w:style w:type="paragraph" w:styleId="Heading4">
    <w:name w:val="heading 4"/>
    <w:aliases w:val="Map Title"/>
    <w:basedOn w:val="Normal"/>
    <w:next w:val="Normal"/>
    <w:qFormat/>
    <w:pPr>
      <w:keepNext/>
      <w:jc w:val="right"/>
      <w:outlineLvl w:val="3"/>
    </w:pPr>
    <w:rPr>
      <w:b/>
      <w:sz w:val="28"/>
    </w:rPr>
  </w:style>
  <w:style w:type="paragraph" w:styleId="Heading5">
    <w:name w:val="heading 5"/>
    <w:aliases w:val="Block Label"/>
    <w:basedOn w:val="Normal"/>
    <w:next w:val="Normal"/>
    <w:qFormat/>
    <w:pPr>
      <w:keepNext/>
      <w:ind w:left="-1134" w:firstLine="1134"/>
      <w:jc w:val="center"/>
      <w:outlineLvl w:val="4"/>
    </w:pPr>
    <w:rPr>
      <w:b/>
    </w:rPr>
  </w:style>
  <w:style w:type="paragraph" w:styleId="Heading6">
    <w:name w:val="heading 6"/>
    <w:basedOn w:val="Normal"/>
    <w:next w:val="Normal"/>
    <w:qFormat/>
    <w:pPr>
      <w:keepNext/>
      <w:outlineLvl w:val="5"/>
    </w:pPr>
    <w:rPr>
      <w:b/>
      <w:i/>
      <w:sz w:val="2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sz w:val="28"/>
    </w:rPr>
  </w:style>
  <w:style w:type="paragraph" w:styleId="BodyText">
    <w:name w:val="Body Text"/>
    <w:basedOn w:val="Normal"/>
    <w:rPr>
      <w:b/>
    </w:rPr>
  </w:style>
  <w:style w:type="paragraph" w:styleId="BodyTextIndent">
    <w:name w:val="Body Text Indent"/>
    <w:basedOn w:val="Normal"/>
    <w:pPr>
      <w:ind w:left="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overflowPunct w:val="0"/>
      <w:autoSpaceDE w:val="0"/>
      <w:autoSpaceDN w:val="0"/>
      <w:adjustRightInd w:val="0"/>
      <w:textAlignment w:val="baseline"/>
    </w:pPr>
    <w:rPr>
      <w:rFonts w:ascii="Arial" w:hAnsi="Arial"/>
      <w:sz w:val="22"/>
    </w:rPr>
  </w:style>
  <w:style w:type="paragraph" w:styleId="BodyTextIndent3">
    <w:name w:val="Body Text Indent 3"/>
    <w:basedOn w:val="Normal"/>
    <w:pPr>
      <w:tabs>
        <w:tab w:val="left" w:pos="567"/>
      </w:tabs>
      <w:suppressAutoHyphens/>
      <w:overflowPunct w:val="0"/>
      <w:autoSpaceDE w:val="0"/>
      <w:autoSpaceDN w:val="0"/>
      <w:adjustRightInd w:val="0"/>
      <w:spacing w:line="240" w:lineRule="atLeast"/>
      <w:ind w:left="567"/>
      <w:textAlignment w:val="baseline"/>
    </w:pPr>
    <w:rPr>
      <w:rFonts w:ascii="Arial" w:hAnsi="Arial" w:cs="Arial"/>
      <w:b/>
      <w:bCs/>
      <w:sz w:val="22"/>
      <w:szCs w:val="24"/>
    </w:rPr>
  </w:style>
  <w:style w:type="paragraph" w:styleId="address" w:customStyle="1">
    <w:name w:val="address"/>
    <w:basedOn w:val="Normal"/>
    <w:rPr>
      <w:sz w:val="20"/>
    </w:rPr>
  </w:style>
  <w:style w:type="paragraph" w:styleId="Footer">
    <w:name w:val="footer"/>
    <w:basedOn w:val="Normal"/>
    <w:pPr>
      <w:tabs>
        <w:tab w:val="center" w:pos="4153"/>
        <w:tab w:val="right" w:pos="8306"/>
      </w:tabs>
    </w:pPr>
    <w:rPr>
      <w:sz w:val="20"/>
    </w:rPr>
  </w:style>
  <w:style w:type="paragraph" w:styleId="BalloonText">
    <w:name w:val="Balloon Text"/>
    <w:basedOn w:val="Normal"/>
    <w:semiHidden/>
    <w:rsid w:val="004D7FA6"/>
    <w:rPr>
      <w:rFonts w:ascii="Tahoma" w:hAnsi="Tahoma" w:cs="Tahoma"/>
      <w:sz w:val="16"/>
      <w:szCs w:val="16"/>
    </w:rPr>
  </w:style>
  <w:style w:type="paragraph" w:styleId="FootnoteText">
    <w:name w:val="footnote text"/>
    <w:basedOn w:val="Normal"/>
    <w:semiHidden/>
    <w:rsid w:val="00496ED8"/>
    <w:rPr>
      <w:sz w:val="20"/>
    </w:rPr>
  </w:style>
  <w:style w:type="character" w:styleId="FootnoteReference">
    <w:name w:val="footnote reference"/>
    <w:semiHidden/>
    <w:rsid w:val="00496ED8"/>
    <w:rPr>
      <w:vertAlign w:val="superscript"/>
    </w:rPr>
  </w:style>
  <w:style w:type="character" w:styleId="Hyperlink">
    <w:name w:val="Hyperlink"/>
    <w:basedOn w:val="DefaultParagraphFont"/>
    <w:rsid w:val="001166FE"/>
    <w:rPr>
      <w:color w:val="0563C1" w:themeColor="hyperlink"/>
      <w:u w:val="single"/>
    </w:rPr>
  </w:style>
  <w:style w:type="character" w:styleId="UnresolvedMention">
    <w:name w:val="Unresolved Mention"/>
    <w:basedOn w:val="DefaultParagraphFont"/>
    <w:uiPriority w:val="99"/>
    <w:semiHidden/>
    <w:unhideWhenUsed/>
    <w:rsid w:val="0011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lqris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3679D9AC6134A805868E8D1957370" ma:contentTypeVersion="18" ma:contentTypeDescription="Create a new document." ma:contentTypeScope="" ma:versionID="672e452117c2196f9e46a85b342bc763">
  <xsd:schema xmlns:xsd="http://www.w3.org/2001/XMLSchema" xmlns:xs="http://www.w3.org/2001/XMLSchema" xmlns:p="http://schemas.microsoft.com/office/2006/metadata/properties" xmlns:ns2="0cd4a1ea-b965-4aa0-a863-a72c21437e44" xmlns:ns3="834cec18-1056-49e9-a91d-a2155df62917" targetNamespace="http://schemas.microsoft.com/office/2006/metadata/properties" ma:root="true" ma:fieldsID="da4f635b919b18eb19a28e6833f91dcf" ns2:_="" ns3:_="">
    <xsd:import namespace="0cd4a1ea-b965-4aa0-a863-a72c21437e44"/>
    <xsd:import namespace="834cec18-1056-49e9-a91d-a2155df629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4a1ea-b965-4aa0-a863-a72c21437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207bee-f012-430b-bcb7-5ea366d995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cec18-1056-49e9-a91d-a2155df629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51e1e7-496b-47bc-85c1-bc75aa23d121}" ma:internalName="TaxCatchAll" ma:showField="CatchAllData" ma:web="834cec18-1056-49e9-a91d-a2155df629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4cec18-1056-49e9-a91d-a2155df62917" xsi:nil="true"/>
    <lcf76f155ced4ddcb4097134ff3c332f xmlns="0cd4a1ea-b965-4aa0-a863-a72c21437e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3F551A-2F7B-4AF5-8870-9FB0F3D06225}"/>
</file>

<file path=customXml/itemProps2.xml><?xml version="1.0" encoding="utf-8"?>
<ds:datastoreItem xmlns:ds="http://schemas.openxmlformats.org/officeDocument/2006/customXml" ds:itemID="{F59BD853-3452-4709-8BC2-AF91CB96F3BF}"/>
</file>

<file path=customXml/itemProps3.xml><?xml version="1.0" encoding="utf-8"?>
<ds:datastoreItem xmlns:ds="http://schemas.openxmlformats.org/officeDocument/2006/customXml" ds:itemID="{D2337465-4FAA-4299-A9C4-85DF17C12D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Public Body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Policy</dc:title>
  <dc:subject/>
  <dc:creator>Gerard Joyce</dc:creator>
  <cp:keywords>Risk Management</cp:keywords>
  <dc:description/>
  <cp:lastModifiedBy>Mairead Scahill</cp:lastModifiedBy>
  <cp:revision>7</cp:revision>
  <cp:lastPrinted>2013-10-16T17:02:00Z</cp:lastPrinted>
  <dcterms:created xsi:type="dcterms:W3CDTF">2016-09-01T15:17:00Z</dcterms:created>
  <dcterms:modified xsi:type="dcterms:W3CDTF">2022-03-16T16:16:26Z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0x0101005AB3679D9AC6134A805868E8D1957370</vt:lpwstr>
  </property>
</Properties>
</file>