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134" w:top="1134" w:left="1417" w:right="1417" w:header="709" w:footer="709"/>
          <w:pgNumType w:start="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72785" cy="5096510"/>
            <wp:effectExtent b="0" l="0" r="0" 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772785" cy="50965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bookmarkStart w:colFirst="0" w:colLast="0" w:name="_heading=h.essh8rcnsqre"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ANNEX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STANDARD CONTRACTUAL CLAUSES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I</w:t>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1</w:t>
      </w:r>
    </w:p>
    <w:p w:rsidR="00000000" w:rsidDel="00000000" w:rsidP="00000000" w:rsidRDefault="00000000" w:rsidRPr="00000000" w14:paraId="00000008">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Purpose and scope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purpose of these Standard Contractual Clauses (the Clauses) is to ensure compliance with [choose relevant option: OPTION 1: Article 28(3) and (4) of Regulation (EU) 2016/679 of the European Parliament and of the Council of 27 April 2016 on the protection of natural persons with regard to the processing of personal data and on the free movement of such data] /  [OPTION 2: Article 29(3) and (4) of Regulation (EU) 2018/1725 of the European Parliament and of the Council of 23 October 2018 on the protection of natural persons with regard to the processing of personal data by the Union institutions, bodies, offices and agencies and on the free movement of such data].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controllers and processors listed in Annex I have agreed to these Clauses in order to ensure compliance with Article 28(3) and (4) of Regulation (EU) 2016/679 and/or Article 29 (3) and (4) Regulation (EU) 2018/1725.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These Clauses apply to the processing of personal data as specified in Annex II.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Annexes I to IV are an integral part of the Clauses.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These Clauses are without prejudice to obligations to which the controller is subject by virtue of Regulation (EU) 2016/679 and/or Regulation (EU) 2018/1725.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tab/>
        <w:t xml:space="preserve">These Clauses do not by themselves ensure compliance with obligations related to international transfers in accordance with Chapter V of Regulation (EU) 2016/679 and/or Regulation (EU) 2018/1725.</w:t>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2 </w:t>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Invariability of the Clauses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Parties undertake not to modify the Clauses, except for adding information to the Annexes or updating information in them.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3</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Where these Clauses use the terms defined in Regulation (EU) 2016/679 or Regulation (EU) 2018/1725 respectively, those terms shall have the same meaning as in that Regulation.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These Clauses shall be read and interpreted in the light of the provisions of Regulation (EU) 2016/679 or Regulation (EU) 2018/1725 respectively.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These Clauses shall not be interpreted in a way that runs counter to the rights and obligations provided for in Regulation (EU) 2016/679 / Regulation (EU) 2018/1725 or in a way that prejudices the fundamental rights or freedoms of the data subjects.</w:t>
      </w:r>
    </w:p>
    <w:p w:rsidR="00000000" w:rsidDel="00000000" w:rsidP="00000000" w:rsidRDefault="00000000" w:rsidRPr="00000000" w14:paraId="0000001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4</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Hierarchy</w:t>
      </w:r>
    </w:p>
    <w:p w:rsidR="00000000" w:rsidDel="00000000" w:rsidP="00000000" w:rsidRDefault="00000000" w:rsidRPr="00000000" w14:paraId="0000001A">
      <w:pPr>
        <w:rPr/>
      </w:pPr>
      <w:r w:rsidDel="00000000" w:rsidR="00000000" w:rsidRPr="00000000">
        <w:rPr>
          <w:rtl w:val="0"/>
        </w:rPr>
        <w:t xml:space="preserve">In the event of a contradiction between these Clauses and the provisions of related agreements between the Parties existing at the time when these Clauses are agreed or entered into thereafter, these Clauses shall prevail. </w:t>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5 - Optional</w:t>
      </w:r>
    </w:p>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Docking clause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Any entity that is not a Party to these Clauses may, with the agreement of all the Parties, accede to these Clauses at any time as a controller or a processor by completing the Annexes and signing Annex 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Once the Annexes in (a) are completed and signed, the acceding entity shall be treated as a Party to these Clauses and have the rights and obligations of a controller or a processor, in accordance with its designation in Annex 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The acceding entity shall have no rights or obligations resulting from these Clauses from the period prior to becoming a Party.</w:t>
      </w:r>
    </w:p>
    <w:p w:rsidR="00000000" w:rsidDel="00000000" w:rsidP="00000000" w:rsidRDefault="00000000" w:rsidRPr="00000000" w14:paraId="00000020">
      <w:pPr>
        <w:spacing w:after="200" w:before="0" w:line="276"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II – OBLIGATIONS OF THE PARTIES</w:t>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6 </w:t>
      </w:r>
    </w:p>
    <w:p w:rsidR="00000000" w:rsidDel="00000000" w:rsidP="00000000" w:rsidRDefault="00000000" w:rsidRPr="00000000" w14:paraId="0000002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Description of processing(s)</w:t>
      </w:r>
    </w:p>
    <w:p w:rsidR="00000000" w:rsidDel="00000000" w:rsidP="00000000" w:rsidRDefault="00000000" w:rsidRPr="00000000" w14:paraId="00000024">
      <w:pPr>
        <w:rPr/>
      </w:pPr>
      <w:r w:rsidDel="00000000" w:rsidR="00000000" w:rsidRPr="00000000">
        <w:rPr>
          <w:rtl w:val="0"/>
        </w:rPr>
        <w:t xml:space="preserve">The details of the processing operations, in particular the categories of personal data and the purposes of processing for which the personal data is processed on behalf of the controller, are specified in Annex II.</w:t>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Clause7 </w:t>
      </w:r>
    </w:p>
    <w:p w:rsidR="00000000" w:rsidDel="00000000" w:rsidP="00000000" w:rsidRDefault="00000000" w:rsidRPr="00000000" w14:paraId="0000002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Obligations of the Parties </w:t>
      </w:r>
    </w:p>
    <w:p w:rsidR="00000000" w:rsidDel="00000000" w:rsidP="00000000" w:rsidRDefault="00000000" w:rsidRPr="00000000" w14:paraId="00000027">
      <w:pPr>
        <w:rPr>
          <w:b w:val="1"/>
          <w:bCs w:val="1"/>
        </w:rPr>
      </w:pPr>
      <w:r w:rsidDel="00000000" w:rsidR="00000000" w:rsidRPr="00000000">
        <w:rPr>
          <w:b w:val="1"/>
          <w:bCs w:val="1"/>
          <w:rtl w:val="0"/>
        </w:rPr>
        <w:t xml:space="preserve">7.1. Instructions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processor shall immediately inform the controller if, in the processor’s opinion, instructions given by the controller infringe Regulation (EU) 2016/679 / Regulation (EU) 2018/1725 or the applicable Union or Member State data protection provisions.</w:t>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7.2. Purpose limitation</w:t>
      </w:r>
    </w:p>
    <w:p w:rsidR="00000000" w:rsidDel="00000000" w:rsidP="00000000" w:rsidRDefault="00000000" w:rsidRPr="00000000" w14:paraId="0000002C">
      <w:pPr>
        <w:rPr/>
      </w:pPr>
      <w:r w:rsidDel="00000000" w:rsidR="00000000" w:rsidRPr="00000000">
        <w:rPr>
          <w:rtl w:val="0"/>
        </w:rPr>
        <w:t xml:space="preserve">The processor shall process the personal data only for the specific purpose(s) of the processing, as set out in Annex II, unless it receives further instructions from the controller.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7.3. Duration of the processing of personal data</w:t>
      </w:r>
    </w:p>
    <w:p w:rsidR="00000000" w:rsidDel="00000000" w:rsidP="00000000" w:rsidRDefault="00000000" w:rsidRPr="00000000" w14:paraId="0000002F">
      <w:pPr>
        <w:rPr/>
      </w:pPr>
      <w:r w:rsidDel="00000000" w:rsidR="00000000" w:rsidRPr="00000000">
        <w:rPr>
          <w:rtl w:val="0"/>
        </w:rPr>
        <w:t xml:space="preserve">Processing by the processor shall only take place for the duration specified in Annex II.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b w:val="1"/>
          <w:bCs w:val="1"/>
          <w:rtl w:val="0"/>
        </w:rPr>
        <w:t xml:space="preserve">7.4. Security of processing</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7.5. Sensitive data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7.6 Documentation and compliance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Parties shall be able to demonstrate compliance with these Clauses.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processor shall deal promptly and adequately with inquiries from the controller about the processing of data in accordance with these Clauses.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The processor shall make available to the controller all information necessary to demonstrate compliance with the obligations that are set out in these Clauses and stem directly from Regulation (EU) 2016/679 and/or Regulation (EU) 2018/1725.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The controller may choose to conduct the audit by itself or mandate an independent auditor. Audits may also include inspections at the premises or physical facilities of the processor and shall, where appropriate, be carried out with reasonable notice.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The Parties shall make the information referred to in this Clause, including the results of any audits, available to the competent supervisory authority/ies on request.</w:t>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7.7. Use of sub-processors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OPTION 1: PRIOR SPECIFIC AUTHORISATION: 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[SPECIFY TIME PERIOD]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59" w:lineRule="auto"/>
        <w:ind w:left="85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OPTION 2: GENERAL WRITTEN AUTHORISATION: The processor has the controller’s general authorisation for the engagement of sub-processors from an agreed list. The processor shall specifically inform in writing the controller of any intended changes of that list through the addition or replacement of sub-processors at least [SPECIFY TIME PERIOD] in advance, thereby giving the controller sufficient time to be able to object to such changes prior to the engagement of the concerned sub-processor(s). The processor shall provide the controller with the information necessary to enable the controller to exercise the right to object.</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 and/or Regulation (EU) 2018/1725.</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The processor shall agree a third 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7.8. International transfers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Any transfer of data to a third country or an international organisation by the processor shall be done only on the basis of documented instructions from the controller or in order to fulfil a specific requirement under Union or Member State law to which the processor is subject</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shall take place in compliance with Chapter V of Regulation (EU) 2016/679 or Regulation (EU) 2018/1725.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r w:rsidDel="00000000" w:rsidR="00000000" w:rsidRPr="00000000">
        <w:rPr>
          <w:rFonts w:ascii="Times New Roman" w:cs="Times New Roman" w:eastAsia="Times New Roman" w:hAnsi="Times New Roman"/>
          <w:b w:val="0"/>
          <w:bCs w:val="0"/>
          <w:i w:val="0"/>
          <w:iCs w:val="0"/>
          <w:smallCaps w:val="0"/>
          <w:strike w:val="0"/>
          <w:color w:val="7030a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A">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8</w:t>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Assistance to the controller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The processor shall promptly notify the controller of any request it has received from the data subject. It shall not respond to the request itself, unless authorised to do so by the controller.</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processor shall assist the controller in fulfilling its obligations to respond to data subjects’ requests to exercise their rights, taking into account the nature of the processing. In fulfilling its obligations in accordance with (a) and (b), the processor shall comply with the controller’s instructions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the obligation to consult the competent supervisory authority/ies prior to processing where a data protection impact assessment indicates that the processing would result in a high risk in the absence of measures taken by the controller to mitigate the risk;</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t xml:space="preserve">the obligation to ensure that personal data is accurate and up to date, by informing the controller without delay if the processor becomes aware that the personal data it is processing is inaccurate or has become outdated;</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tab/>
        <w:t xml:space="preserve">the obligations in [OPTION 1] Article 32 Regulation (EU) 2016/679/ [OPTION 2] Articles 33, 36 to 38 Regulation (EU) 2018/1725.</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The Parties shall set out in Annex III the appropriate technical and organisational measures by which the processor is required to assist the controller in the application of this Clause as well as the scope and the extent of the assistance required. </w:t>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9</w:t>
      </w:r>
      <w:r w:rsidDel="00000000" w:rsidR="00000000" w:rsidRPr="00000000">
        <w:rPr>
          <w:rtl w:val="0"/>
        </w:rPr>
      </w:r>
    </w:p>
    <w:p w:rsidR="00000000" w:rsidDel="00000000" w:rsidP="00000000" w:rsidRDefault="00000000" w:rsidRPr="00000000" w14:paraId="0000005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Notification of personal data breach</w:t>
      </w:r>
    </w:p>
    <w:p w:rsidR="00000000" w:rsidDel="00000000" w:rsidP="00000000" w:rsidRDefault="00000000" w:rsidRPr="00000000" w14:paraId="00000056">
      <w:pPr>
        <w:spacing w:after="0" w:lineRule="auto"/>
        <w:rPr/>
      </w:pPr>
      <w:r w:rsidDel="00000000" w:rsidR="00000000" w:rsidRPr="00000000">
        <w:rPr>
          <w:rtl w:val="0"/>
        </w:rPr>
        <w:t xml:space="preserve">In the event of a personal data breach, the processor shall cooperate with and assist the controller for the controller to comply with its obligations under Articles 33 and 34 Regulation (EU) 2016/679 or under Articles 34 and 35 Regulation (EU) 2018/1725, where applicable, taking into account the nature of processing and the information available to the processor.</w:t>
      </w:r>
    </w:p>
    <w:p w:rsidR="00000000" w:rsidDel="00000000" w:rsidP="00000000" w:rsidRDefault="00000000" w:rsidRPr="00000000" w14:paraId="00000057">
      <w:pPr>
        <w:spacing w:after="0" w:lineRule="auto"/>
        <w:rPr>
          <w:b w:val="1"/>
          <w:bCs w:val="1"/>
        </w:rPr>
      </w:pPr>
      <w:r w:rsidDel="00000000" w:rsidR="00000000" w:rsidRPr="00000000">
        <w:rPr>
          <w:rtl w:val="0"/>
        </w:rPr>
      </w:r>
    </w:p>
    <w:p w:rsidR="00000000" w:rsidDel="00000000" w:rsidP="00000000" w:rsidRDefault="00000000" w:rsidRPr="00000000" w14:paraId="00000058">
      <w:pPr>
        <w:spacing w:after="0" w:lineRule="auto"/>
        <w:rPr>
          <w:b w:val="1"/>
          <w:bCs w:val="1"/>
        </w:rPr>
      </w:pPr>
      <w:r w:rsidDel="00000000" w:rsidR="00000000" w:rsidRPr="00000000">
        <w:rPr>
          <w:b w:val="1"/>
          <w:bCs w:val="1"/>
          <w:rtl w:val="0"/>
        </w:rPr>
        <w:t xml:space="preserve">9.1 Data breach concerning data processed by the controller</w:t>
      </w:r>
    </w:p>
    <w:p w:rsidR="00000000" w:rsidDel="00000000" w:rsidP="00000000" w:rsidRDefault="00000000" w:rsidRPr="00000000" w14:paraId="00000059">
      <w:pPr>
        <w:rPr/>
      </w:pPr>
      <w:r w:rsidDel="00000000" w:rsidR="00000000" w:rsidRPr="00000000">
        <w:rPr>
          <w:rtl w:val="0"/>
        </w:rPr>
        <w:t xml:space="preserve">In the event of a personal data breach concerning data processed by the controller, the processor shall assist the controller:</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in obtaining the following information which, pursuant to [OPTION 1] Article 33(3) Regulation (EU) 2016/679/ [OPTION 2] Article 34(3) Regulation (EU) 2018/1725, shall be stated in the controller’s notification, and must at least include: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the nature of the personal data including where possible, the categories and approximate number of data subjects concerned and the categories and approximate number of personal data records concerned;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the likely consequences of the personal data breach;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t xml:space="preserve">the measures taken or proposed to be taken by the controller to address the personal data breach, including, where appropriate, measures to mitigate its possible adverse effects. </w:t>
      </w:r>
    </w:p>
    <w:p w:rsidR="00000000" w:rsidDel="00000000" w:rsidP="00000000" w:rsidRDefault="00000000" w:rsidRPr="00000000" w14:paraId="0000005F">
      <w:pPr>
        <w:spacing w:after="0" w:lineRule="auto"/>
        <w:rPr/>
      </w:pPr>
      <w:r w:rsidDel="00000000" w:rsidR="00000000" w:rsidRPr="00000000">
        <w:rPr>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in complying, pursuant to [OPTION 1] Article 34 Regulation (EU) 2016/679 / [OPTION 2] Article 35 Regulation (EU) 2018/1725, with the obligation to communicate without undue delay the personal data breach to the data subject, when the personal data breach is likely to result in a high risk to the rights and freedoms of natural persons.</w:t>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9.2 Data breach concerning data processed by the processor</w:t>
      </w:r>
    </w:p>
    <w:p w:rsidR="00000000" w:rsidDel="00000000" w:rsidP="00000000" w:rsidRDefault="00000000" w:rsidRPr="00000000" w14:paraId="00000063">
      <w:pPr>
        <w:spacing w:after="0" w:lineRule="auto"/>
        <w:rPr/>
      </w:pPr>
      <w:r w:rsidDel="00000000" w:rsidR="00000000" w:rsidRPr="00000000">
        <w:rPr>
          <w:rtl w:val="0"/>
        </w:rPr>
        <w:t xml:space="preserve">In the event of a personal data breach concerning data processed by the processor, the processor shall notify the controller without undue delay after the processor having become aware of the breach. Such notification shall contain, at least:</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a description of the nature of the breach (including, where possible, the categories and approximate number of data subjects and data records concerned);</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details of a contact point where more information concerning the personal data breach can be obtained;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its likely consequences and the measures taken or proposed to be taken to address the breach, including to mitigate its possible adverse effects.</w:t>
      </w:r>
    </w:p>
    <w:p w:rsidR="00000000" w:rsidDel="00000000" w:rsidP="00000000" w:rsidRDefault="00000000" w:rsidRPr="00000000" w14:paraId="00000067">
      <w:pPr>
        <w:spacing w:after="0" w:lineRule="auto"/>
        <w:rPr/>
      </w:pPr>
      <w:r w:rsidDel="00000000" w:rsidR="00000000" w:rsidRPr="00000000">
        <w:rPr>
          <w:rtl w:val="0"/>
        </w:rPr>
        <w:t xml:space="preserve">Where, and insofar as, it is not possible to provide all this information at the same time, the initial notification shall contain the information then available and further information shall, as it becomes available, subsequently be provided without undue delay.</w:t>
      </w:r>
    </w:p>
    <w:p w:rsidR="00000000" w:rsidDel="00000000" w:rsidP="00000000" w:rsidRDefault="00000000" w:rsidRPr="00000000" w14:paraId="00000068">
      <w:pPr>
        <w:spacing w:after="0" w:lineRule="auto"/>
        <w:rPr/>
      </w:pPr>
      <w:r w:rsidDel="00000000" w:rsidR="00000000" w:rsidRPr="00000000">
        <w:rPr>
          <w:rtl w:val="0"/>
        </w:rPr>
        <w:t xml:space="preserve">The Parties shall set out in Annex III all other elements to be provided by the processor when assisting the controller in the compliance with the controller’s obligations under [OPTION 1] Articles 33 and 34 of Regulation (EU) 2016/679 / [OPTION 2] Articles 34 and 35 of Regulation (EU) 2018/1725. </w:t>
      </w:r>
    </w:p>
    <w:p w:rsidR="00000000" w:rsidDel="00000000" w:rsidP="00000000" w:rsidRDefault="00000000" w:rsidRPr="00000000" w14:paraId="00000069">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III – FINAL PROVISIONS</w:t>
      </w:r>
    </w:p>
    <w:p w:rsidR="00000000" w:rsidDel="00000000" w:rsidP="00000000" w:rsidRDefault="00000000" w:rsidRPr="00000000" w14:paraId="0000006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Clause 10 </w:t>
      </w:r>
    </w:p>
    <w:p w:rsidR="00000000" w:rsidDel="00000000" w:rsidP="00000000" w:rsidRDefault="00000000" w:rsidRPr="00000000" w14:paraId="0000006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Non-compliance with the Clauses and termination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tab/>
        <w:t xml:space="preserve">Without prejudice to any provisions of Regulation (EU) 2016/679 and/or Regulation (EU) 2018/1725,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tab/>
        <w:t xml:space="preserve">The controller shall be entitled to terminate the contract insofar as it concerns processing of personal data in accordance with these Clauses if:</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the processing of personal data by the processor has been  suspended by the controller pursuant to point (a) and if compliance with these Clauses is not restored within a reasonable time and in any event within one month following suspension;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the processor is in substantial or persistent breach of these Clauses or its obligations under Regulation (EU) 2016/679 and/or Regulation (EU) 2018/1725;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17"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t xml:space="preserve">the processor fails to comply with a binding decision of a competent court or the competent supervisory authority/ies regarding its obligations pursuant to these Clauses or to Regulation (EU) 2016/679 and/or Regulation (EU) 2018/1725.</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850" w:right="0" w:hanging="85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77">
      <w:pPr>
        <w:rPr>
          <w:b w:val="1"/>
          <w:bCs w:val="1"/>
          <w:u w:val="single"/>
        </w:rPr>
      </w:pPr>
      <w:r w:rsidDel="00000000" w:rsidR="00000000" w:rsidRPr="00000000">
        <w:rPr>
          <w:b w:val="1"/>
          <w:bCs w:val="1"/>
          <w:u w:val="single"/>
          <w:rtl w:val="0"/>
        </w:rPr>
        <w:t xml:space="preserve">ANNEX I LIST OF PARTIES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i w:val="1"/>
          <w:iCs w:val="1"/>
        </w:rPr>
      </w:pPr>
      <w:r w:rsidDel="00000000" w:rsidR="00000000" w:rsidRPr="00000000">
        <w:rPr>
          <w:b w:val="1"/>
          <w:bCs w:val="1"/>
          <w:rtl w:val="0"/>
        </w:rPr>
        <w:t xml:space="preserve">Controller(s): </w:t>
      </w:r>
      <w:r w:rsidDel="00000000" w:rsidR="00000000" w:rsidRPr="00000000">
        <w:rPr>
          <w:rtl w:val="0"/>
        </w:rPr>
        <w:t xml:space="preserve">[</w:t>
      </w:r>
      <w:r w:rsidDel="00000000" w:rsidR="00000000" w:rsidRPr="00000000">
        <w:rPr>
          <w:i w:val="1"/>
          <w:iCs w:val="1"/>
          <w:rtl w:val="0"/>
        </w:rPr>
        <w:t xml:space="preserve">Identity and contact details of the controller(s), and, where applicable, of the controller’s data protection officer]</w:t>
      </w:r>
    </w:p>
    <w:p w:rsidR="00000000" w:rsidDel="00000000" w:rsidP="00000000" w:rsidRDefault="00000000" w:rsidRPr="00000000" w14:paraId="0000007A">
      <w:pPr>
        <w:rPr>
          <w:b w:val="1"/>
          <w:bCs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1. Name: …</w:t>
      </w:r>
    </w:p>
    <w:p w:rsidR="00000000" w:rsidDel="00000000" w:rsidP="00000000" w:rsidRDefault="00000000" w:rsidRPr="00000000" w14:paraId="0000007C">
      <w:pPr>
        <w:rPr/>
      </w:pPr>
      <w:r w:rsidDel="00000000" w:rsidR="00000000" w:rsidRPr="00000000">
        <w:rPr>
          <w:rtl w:val="0"/>
        </w:rPr>
        <w:t xml:space="preserve">Address: …</w:t>
      </w:r>
    </w:p>
    <w:p w:rsidR="00000000" w:rsidDel="00000000" w:rsidP="00000000" w:rsidRDefault="00000000" w:rsidRPr="00000000" w14:paraId="0000007D">
      <w:pPr>
        <w:rPr/>
      </w:pPr>
      <w:r w:rsidDel="00000000" w:rsidR="00000000" w:rsidRPr="00000000">
        <w:rPr>
          <w:rtl w:val="0"/>
        </w:rPr>
        <w:t xml:space="preserve">Contact person’s name, position and contact details: …</w:t>
      </w:r>
    </w:p>
    <w:p w:rsidR="00000000" w:rsidDel="00000000" w:rsidP="00000000" w:rsidRDefault="00000000" w:rsidRPr="00000000" w14:paraId="0000007E">
      <w:pPr>
        <w:rPr/>
      </w:pPr>
      <w:r w:rsidDel="00000000" w:rsidR="00000000" w:rsidRPr="00000000">
        <w:rPr>
          <w:rtl w:val="0"/>
        </w:rPr>
        <w:t xml:space="preserve">Signature and accession date: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2.</w:t>
      </w:r>
    </w:p>
    <w:p w:rsidR="00000000" w:rsidDel="00000000" w:rsidP="00000000" w:rsidRDefault="00000000" w:rsidRPr="00000000" w14:paraId="00000081">
      <w:pPr>
        <w:rPr/>
      </w:pPr>
      <w:r w:rsidDel="00000000" w:rsidR="00000000" w:rsidRPr="00000000">
        <w:rPr>
          <w:rtl w:val="0"/>
        </w:rPr>
        <w:t xml:space="preserv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i w:val="1"/>
          <w:iCs w:val="1"/>
        </w:rPr>
      </w:pPr>
      <w:r w:rsidDel="00000000" w:rsidR="00000000" w:rsidRPr="00000000">
        <w:rPr>
          <w:b w:val="1"/>
          <w:bCs w:val="1"/>
          <w:rtl w:val="0"/>
        </w:rPr>
        <w:t xml:space="preserve">Processor(s): </w:t>
      </w:r>
      <w:r w:rsidDel="00000000" w:rsidR="00000000" w:rsidRPr="00000000">
        <w:rPr>
          <w:rtl w:val="0"/>
        </w:rPr>
        <w:t xml:space="preserve">[</w:t>
      </w:r>
      <w:r w:rsidDel="00000000" w:rsidR="00000000" w:rsidRPr="00000000">
        <w:rPr>
          <w:i w:val="1"/>
          <w:iCs w:val="1"/>
          <w:rtl w:val="0"/>
        </w:rPr>
        <w:t xml:space="preserve">Identity and contact details of the processor(s) and, where applicable, of the processor’s data protection officer]</w:t>
      </w:r>
    </w:p>
    <w:p w:rsidR="00000000" w:rsidDel="00000000" w:rsidP="00000000" w:rsidRDefault="00000000" w:rsidRPr="00000000" w14:paraId="00000084">
      <w:pPr>
        <w:rPr/>
      </w:pPr>
      <w:r w:rsidDel="00000000" w:rsidR="00000000" w:rsidRPr="00000000">
        <w:rPr>
          <w:rtl w:val="0"/>
        </w:rPr>
        <w:t xml:space="preserve">1. Name: Atomic Jolt Inc.</w:t>
      </w:r>
    </w:p>
    <w:p w:rsidR="00000000" w:rsidDel="00000000" w:rsidP="00000000" w:rsidRDefault="00000000" w:rsidRPr="00000000" w14:paraId="00000085">
      <w:pPr>
        <w:rPr/>
      </w:pPr>
      <w:r w:rsidDel="00000000" w:rsidR="00000000" w:rsidRPr="00000000">
        <w:rPr>
          <w:rtl w:val="0"/>
        </w:rPr>
        <w:t xml:space="preserve">Address: PO Box 4383, Logan, UT 84323</w:t>
      </w:r>
    </w:p>
    <w:p w:rsidR="00000000" w:rsidDel="00000000" w:rsidP="00000000" w:rsidRDefault="00000000" w:rsidRPr="00000000" w14:paraId="00000086">
      <w:pPr>
        <w:rPr/>
      </w:pPr>
      <w:r w:rsidDel="00000000" w:rsidR="00000000" w:rsidRPr="00000000">
        <w:rPr>
          <w:rtl w:val="0"/>
        </w:rPr>
        <w:t xml:space="preserve">Contact person’s name, position and contact details: James Carbine, Security Officer, james.carbine@atomicjolt.com</w:t>
      </w:r>
    </w:p>
    <w:p w:rsidR="00000000" w:rsidDel="00000000" w:rsidP="00000000" w:rsidRDefault="00000000" w:rsidRPr="00000000" w14:paraId="00000087">
      <w:pPr>
        <w:rPr>
          <w:b w:val="1"/>
          <w:bCs w:val="1"/>
          <w:u w:val="single"/>
        </w:rPr>
      </w:pPr>
      <w:r w:rsidDel="00000000" w:rsidR="00000000" w:rsidRPr="00000000">
        <w:rPr>
          <w:rtl w:val="0"/>
        </w:rPr>
        <w:t xml:space="preserve">Signature and accession date: </w:t>
      </w:r>
      <w:r w:rsidDel="00000000" w:rsidR="00000000" w:rsidRPr="00000000">
        <w:rPr>
          <w:highlight w:val="yellow"/>
          <w:rtl w:val="0"/>
        </w:rPr>
        <w:t xml:space="preserve">[To be signed]</w:t>
      </w:r>
      <w:r w:rsidDel="00000000" w:rsidR="00000000" w:rsidRPr="00000000">
        <w:rPr>
          <w:rtl w:val="0"/>
        </w:rPr>
      </w:r>
    </w:p>
    <w:p w:rsidR="00000000" w:rsidDel="00000000" w:rsidP="00000000" w:rsidRDefault="00000000" w:rsidRPr="00000000" w14:paraId="00000088">
      <w:pPr>
        <w:rPr>
          <w:b w:val="1"/>
          <w:bCs w:val="1"/>
          <w:u w:val="single"/>
        </w:rPr>
      </w:pPr>
      <w:r w:rsidDel="00000000" w:rsidR="00000000" w:rsidRPr="00000000">
        <w:rPr>
          <w:rtl w:val="0"/>
        </w:rPr>
      </w:r>
    </w:p>
    <w:p w:rsidR="00000000" w:rsidDel="00000000" w:rsidP="00000000" w:rsidRDefault="00000000" w:rsidRPr="00000000" w14:paraId="00000089">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8A">
      <w:pPr>
        <w:rPr>
          <w:b w:val="1"/>
          <w:bCs w:val="1"/>
          <w:u w:val="single"/>
        </w:rPr>
      </w:pPr>
      <w:r w:rsidDel="00000000" w:rsidR="00000000" w:rsidRPr="00000000">
        <w:rPr>
          <w:b w:val="1"/>
          <w:bCs w:val="1"/>
          <w:u w:val="single"/>
          <w:rtl w:val="0"/>
        </w:rPr>
        <w:t xml:space="preserve">ANNEX II: DESCRIPTION OF THE PROCESSING</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C">
      <w:pPr>
        <w:rPr>
          <w:i w:val="1"/>
          <w:iCs w:val="1"/>
        </w:rPr>
      </w:pPr>
      <w:r w:rsidDel="00000000" w:rsidR="00000000" w:rsidRPr="00000000">
        <w:rPr>
          <w:i w:val="1"/>
          <w:iCs w:val="1"/>
          <w:rtl w:val="0"/>
        </w:rPr>
        <w:t xml:space="preserve">Categories of data subjects whose personal data is processed</w:t>
      </w:r>
    </w:p>
    <w:p w:rsidR="00000000" w:rsidDel="00000000" w:rsidP="00000000" w:rsidRDefault="00000000" w:rsidRPr="00000000" w14:paraId="0000008D">
      <w:pPr>
        <w:numPr>
          <w:ilvl w:val="0"/>
          <w:numId w:val="1"/>
        </w:numPr>
        <w:spacing w:after="0" w:line="259" w:lineRule="auto"/>
        <w:ind w:left="720" w:hanging="360"/>
        <w:rPr>
          <w:b w:val="1"/>
          <w:bCs w:val="1"/>
          <w:u w:val="none"/>
        </w:rPr>
      </w:pPr>
      <w:r w:rsidDel="00000000" w:rsidR="00000000" w:rsidRPr="00000000">
        <w:rPr>
          <w:b w:val="1"/>
          <w:bCs w:val="1"/>
          <w:rtl w:val="0"/>
        </w:rPr>
        <w:t xml:space="preserve">Students</w:t>
      </w:r>
    </w:p>
    <w:p w:rsidR="00000000" w:rsidDel="00000000" w:rsidP="00000000" w:rsidRDefault="00000000" w:rsidRPr="00000000" w14:paraId="0000008E">
      <w:pPr>
        <w:numPr>
          <w:ilvl w:val="0"/>
          <w:numId w:val="1"/>
        </w:numPr>
        <w:spacing w:after="0" w:before="0" w:line="259" w:lineRule="auto"/>
        <w:ind w:left="720" w:hanging="360"/>
        <w:rPr>
          <w:b w:val="1"/>
          <w:bCs w:val="1"/>
          <w:u w:val="none"/>
        </w:rPr>
      </w:pPr>
      <w:r w:rsidDel="00000000" w:rsidR="00000000" w:rsidRPr="00000000">
        <w:rPr>
          <w:b w:val="1"/>
          <w:bCs w:val="1"/>
          <w:rtl w:val="0"/>
        </w:rPr>
        <w:t xml:space="preserve">Instructors/Teachers</w:t>
      </w:r>
      <w:r w:rsidDel="00000000" w:rsidR="00000000" w:rsidRPr="00000000">
        <w:rPr>
          <w:rtl w:val="0"/>
        </w:rPr>
      </w:r>
    </w:p>
    <w:p w:rsidR="00000000" w:rsidDel="00000000" w:rsidP="00000000" w:rsidRDefault="00000000" w:rsidRPr="00000000" w14:paraId="0000008F">
      <w:pPr>
        <w:rPr>
          <w:i w:val="1"/>
          <w:iCs w:val="1"/>
        </w:rPr>
      </w:pPr>
      <w:r w:rsidDel="00000000" w:rsidR="00000000" w:rsidRPr="00000000">
        <w:rPr>
          <w:rtl w:val="0"/>
        </w:rPr>
      </w:r>
    </w:p>
    <w:p w:rsidR="00000000" w:rsidDel="00000000" w:rsidP="00000000" w:rsidRDefault="00000000" w:rsidRPr="00000000" w14:paraId="00000090">
      <w:pPr>
        <w:rPr>
          <w:i w:val="1"/>
          <w:iCs w:val="1"/>
        </w:rPr>
      </w:pPr>
      <w:r w:rsidDel="00000000" w:rsidR="00000000" w:rsidRPr="00000000">
        <w:rPr>
          <w:i w:val="1"/>
          <w:iCs w:val="1"/>
          <w:rtl w:val="0"/>
        </w:rPr>
        <w:t xml:space="preserve">Categories of personal data processed</w:t>
      </w:r>
    </w:p>
    <w:p w:rsidR="00000000" w:rsidDel="00000000" w:rsidP="00000000" w:rsidRDefault="00000000" w:rsidRPr="00000000" w14:paraId="00000091">
      <w:pPr>
        <w:numPr>
          <w:ilvl w:val="0"/>
          <w:numId w:val="2"/>
        </w:numPr>
        <w:spacing w:after="0" w:line="259" w:lineRule="auto"/>
        <w:ind w:left="720" w:hanging="360"/>
        <w:rPr>
          <w:b w:val="1"/>
          <w:bCs w:val="1"/>
          <w:u w:val="none"/>
        </w:rPr>
      </w:pPr>
      <w:r w:rsidDel="00000000" w:rsidR="00000000" w:rsidRPr="00000000">
        <w:rPr>
          <w:b w:val="1"/>
          <w:bCs w:val="1"/>
          <w:rtl w:val="0"/>
        </w:rPr>
        <w:t xml:space="preserve">Students/Instructors</w:t>
      </w:r>
    </w:p>
    <w:p w:rsidR="00000000" w:rsidDel="00000000" w:rsidP="00000000" w:rsidRDefault="00000000" w:rsidRPr="00000000" w14:paraId="00000092">
      <w:pPr>
        <w:numPr>
          <w:ilvl w:val="1"/>
          <w:numId w:val="3"/>
        </w:numPr>
        <w:spacing w:after="0" w:afterAutospacing="0" w:before="0" w:line="259" w:lineRule="auto"/>
        <w:ind w:left="1440" w:hanging="360"/>
        <w:rPr>
          <w:b w:val="1"/>
          <w:bCs w:val="1"/>
        </w:rPr>
      </w:pPr>
      <w:r w:rsidDel="00000000" w:rsidR="00000000" w:rsidRPr="00000000">
        <w:rPr>
          <w:b w:val="1"/>
          <w:bCs w:val="1"/>
          <w:rtl w:val="0"/>
        </w:rPr>
        <w:t xml:space="preserve">Contact Information:</w:t>
      </w:r>
      <w:r w:rsidDel="00000000" w:rsidR="00000000" w:rsidRPr="00000000">
        <w:rPr>
          <w:b w:val="1"/>
          <w:bCs w:val="1"/>
          <w:highlight w:val="yellow"/>
          <w:rtl w:val="0"/>
        </w:rPr>
        <w:t xml:space="preserve"> </w:t>
      </w:r>
    </w:p>
    <w:p w:rsidR="00000000" w:rsidDel="00000000" w:rsidP="00000000" w:rsidRDefault="00000000" w:rsidRPr="00000000" w14:paraId="00000093">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Search</w:t>
      </w:r>
    </w:p>
    <w:p w:rsidR="00000000" w:rsidDel="00000000" w:rsidP="00000000" w:rsidRDefault="00000000" w:rsidRPr="00000000" w14:paraId="00000094">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95">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Assessments</w:t>
      </w:r>
    </w:p>
    <w:p w:rsidR="00000000" w:rsidDel="00000000" w:rsidP="00000000" w:rsidRDefault="00000000" w:rsidRPr="00000000" w14:paraId="00000096">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97">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Full name</w:t>
      </w:r>
    </w:p>
    <w:p w:rsidR="00000000" w:rsidDel="00000000" w:rsidP="00000000" w:rsidRDefault="00000000" w:rsidRPr="00000000" w14:paraId="00000098">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Scores</w:t>
      </w:r>
    </w:p>
    <w:p w:rsidR="00000000" w:rsidDel="00000000" w:rsidP="00000000" w:rsidRDefault="00000000" w:rsidRPr="00000000" w14:paraId="00000099">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Polls</w:t>
      </w:r>
    </w:p>
    <w:p w:rsidR="00000000" w:rsidDel="00000000" w:rsidP="00000000" w:rsidRDefault="00000000" w:rsidRPr="00000000" w14:paraId="0000009A">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9B">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Full name</w:t>
      </w:r>
    </w:p>
    <w:p w:rsidR="00000000" w:rsidDel="00000000" w:rsidP="00000000" w:rsidRDefault="00000000" w:rsidRPr="00000000" w14:paraId="0000009C">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Journals</w:t>
      </w:r>
    </w:p>
    <w:p w:rsidR="00000000" w:rsidDel="00000000" w:rsidP="00000000" w:rsidRDefault="00000000" w:rsidRPr="00000000" w14:paraId="0000009D">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9E">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Full name</w:t>
      </w:r>
    </w:p>
    <w:p w:rsidR="00000000" w:rsidDel="00000000" w:rsidP="00000000" w:rsidRDefault="00000000" w:rsidRPr="00000000" w14:paraId="0000009F">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Discussions</w:t>
      </w:r>
    </w:p>
    <w:p w:rsidR="00000000" w:rsidDel="00000000" w:rsidP="00000000" w:rsidRDefault="00000000" w:rsidRPr="00000000" w14:paraId="000000A0">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A1">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Full name</w:t>
      </w:r>
    </w:p>
    <w:p w:rsidR="00000000" w:rsidDel="00000000" w:rsidP="00000000" w:rsidRDefault="00000000" w:rsidRPr="00000000" w14:paraId="000000A2">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Curriculum Analysis Tool</w:t>
      </w:r>
    </w:p>
    <w:p w:rsidR="00000000" w:rsidDel="00000000" w:rsidP="00000000" w:rsidRDefault="00000000" w:rsidRPr="00000000" w14:paraId="000000A3">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A4">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Reactor</w:t>
      </w:r>
    </w:p>
    <w:p w:rsidR="00000000" w:rsidDel="00000000" w:rsidP="00000000" w:rsidRDefault="00000000" w:rsidRPr="00000000" w14:paraId="000000A5">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A6">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Full Name</w:t>
      </w:r>
    </w:p>
    <w:p w:rsidR="00000000" w:rsidDel="00000000" w:rsidP="00000000" w:rsidRDefault="00000000" w:rsidRPr="00000000" w14:paraId="000000A7">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Author</w:t>
      </w:r>
    </w:p>
    <w:p w:rsidR="00000000" w:rsidDel="00000000" w:rsidP="00000000" w:rsidRDefault="00000000" w:rsidRPr="00000000" w14:paraId="000000A8">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A9">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Atomic Registrar</w:t>
      </w:r>
    </w:p>
    <w:p w:rsidR="00000000" w:rsidDel="00000000" w:rsidP="00000000" w:rsidRDefault="00000000" w:rsidRPr="00000000" w14:paraId="000000AA">
      <w:pPr>
        <w:numPr>
          <w:ilvl w:val="3"/>
          <w:numId w:val="3"/>
        </w:numPr>
        <w:spacing w:after="0" w:afterAutospacing="0" w:before="0" w:beforeAutospacing="0" w:line="259" w:lineRule="auto"/>
        <w:ind w:left="2880" w:hanging="360"/>
        <w:rPr>
          <w:b w:val="1"/>
          <w:bCs w:val="1"/>
        </w:rPr>
      </w:pPr>
      <w:r w:rsidDel="00000000" w:rsidR="00000000" w:rsidRPr="00000000">
        <w:rPr>
          <w:b w:val="1"/>
          <w:bCs w:val="1"/>
          <w:rtl w:val="0"/>
        </w:rPr>
        <w:t xml:space="preserve">LTI/LMS user ID</w:t>
      </w:r>
    </w:p>
    <w:p w:rsidR="00000000" w:rsidDel="00000000" w:rsidP="00000000" w:rsidRDefault="00000000" w:rsidRPr="00000000" w14:paraId="000000AB">
      <w:pPr>
        <w:numPr>
          <w:ilvl w:val="2"/>
          <w:numId w:val="3"/>
        </w:numPr>
        <w:spacing w:after="0" w:afterAutospacing="0" w:before="0" w:beforeAutospacing="0" w:line="259" w:lineRule="auto"/>
        <w:ind w:left="2160" w:hanging="360"/>
        <w:rPr>
          <w:b w:val="1"/>
          <w:bCs w:val="1"/>
        </w:rPr>
      </w:pPr>
      <w:r w:rsidDel="00000000" w:rsidR="00000000" w:rsidRPr="00000000">
        <w:rPr>
          <w:b w:val="1"/>
          <w:bCs w:val="1"/>
          <w:rtl w:val="0"/>
        </w:rPr>
        <w:t xml:space="preserve">Canvas LMS</w:t>
      </w:r>
    </w:p>
    <w:p w:rsidR="00000000" w:rsidDel="00000000" w:rsidP="00000000" w:rsidRDefault="00000000" w:rsidRPr="00000000" w14:paraId="000000AC">
      <w:pPr>
        <w:numPr>
          <w:ilvl w:val="3"/>
          <w:numId w:val="3"/>
        </w:numPr>
        <w:spacing w:after="0" w:before="0" w:line="259" w:lineRule="auto"/>
        <w:ind w:left="2880" w:hanging="360"/>
        <w:rPr>
          <w:b w:val="1"/>
          <w:bCs w:val="1"/>
        </w:rPr>
      </w:pPr>
      <w:r w:rsidDel="00000000" w:rsidR="00000000" w:rsidRPr="00000000">
        <w:rPr>
          <w:b w:val="1"/>
          <w:bCs w:val="1"/>
          <w:rtl w:val="0"/>
        </w:rPr>
        <w:t xml:space="preserve">Name, email address, phone number, address</w:t>
      </w:r>
      <w:r w:rsidDel="00000000" w:rsidR="00000000" w:rsidRPr="00000000">
        <w:rPr>
          <w:rtl w:val="0"/>
        </w:rPr>
      </w:r>
    </w:p>
    <w:p w:rsidR="00000000" w:rsidDel="00000000" w:rsidP="00000000" w:rsidRDefault="00000000" w:rsidRPr="00000000" w14:paraId="000000AD">
      <w:pPr>
        <w:rPr>
          <w:i w:val="1"/>
          <w:iCs w:val="1"/>
        </w:rPr>
      </w:pPr>
      <w:r w:rsidDel="00000000" w:rsidR="00000000" w:rsidRPr="00000000">
        <w:rPr>
          <w:rtl w:val="0"/>
        </w:rPr>
      </w:r>
    </w:p>
    <w:p w:rsidR="00000000" w:rsidDel="00000000" w:rsidP="00000000" w:rsidRDefault="00000000" w:rsidRPr="00000000" w14:paraId="000000AE">
      <w:pPr>
        <w:rPr>
          <w:i w:val="1"/>
          <w:iCs w:val="1"/>
        </w:rPr>
      </w:pPr>
      <w:r w:rsidDel="00000000" w:rsidR="00000000" w:rsidRPr="00000000">
        <w:rPr>
          <w:i w:val="1"/>
          <w:iCs w:val="1"/>
          <w:rtl w:val="0"/>
        </w:rPr>
        <w:t xml:space="preserve">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rsidR="00000000" w:rsidDel="00000000" w:rsidP="00000000" w:rsidRDefault="00000000" w:rsidRPr="00000000" w14:paraId="000000AF">
      <w:pPr>
        <w:rPr>
          <w:b w:val="1"/>
          <w:bCs w:val="1"/>
        </w:rPr>
      </w:pPr>
      <w:r w:rsidDel="00000000" w:rsidR="00000000" w:rsidRPr="00000000">
        <w:rPr>
          <w:b w:val="1"/>
          <w:bCs w:val="1"/>
          <w:rtl w:val="0"/>
        </w:rPr>
        <w:t xml:space="preserve">None</w:t>
      </w:r>
    </w:p>
    <w:p w:rsidR="00000000" w:rsidDel="00000000" w:rsidP="00000000" w:rsidRDefault="00000000" w:rsidRPr="00000000" w14:paraId="000000B0">
      <w:pPr>
        <w:spacing w:after="0" w:line="259" w:lineRule="auto"/>
        <w:rPr>
          <w:i w:val="1"/>
          <w:iCs w:val="1"/>
        </w:rPr>
      </w:pPr>
      <w:r w:rsidDel="00000000" w:rsidR="00000000" w:rsidRPr="00000000">
        <w:rPr>
          <w:rtl w:val="0"/>
        </w:rPr>
      </w:r>
    </w:p>
    <w:p w:rsidR="00000000" w:rsidDel="00000000" w:rsidP="00000000" w:rsidRDefault="00000000" w:rsidRPr="00000000" w14:paraId="000000B1">
      <w:pPr>
        <w:spacing w:after="0" w:line="259" w:lineRule="auto"/>
        <w:rPr>
          <w:i w:val="1"/>
          <w:iCs w:val="1"/>
        </w:rPr>
      </w:pPr>
      <w:r w:rsidDel="00000000" w:rsidR="00000000" w:rsidRPr="00000000">
        <w:rPr>
          <w:i w:val="1"/>
          <w:iCs w:val="1"/>
          <w:rtl w:val="0"/>
        </w:rPr>
        <w:t xml:space="preserve">The frequency of the transfer (e.g. whether the data is transferred on a one-off or continuous basis).</w:t>
      </w:r>
    </w:p>
    <w:p w:rsidR="00000000" w:rsidDel="00000000" w:rsidP="00000000" w:rsidRDefault="00000000" w:rsidRPr="00000000" w14:paraId="000000B2">
      <w:pPr>
        <w:spacing w:after="0" w:line="259" w:lineRule="auto"/>
        <w:rPr>
          <w:b w:val="1"/>
          <w:bCs w:val="1"/>
        </w:rPr>
      </w:pPr>
      <w:r w:rsidDel="00000000" w:rsidR="00000000" w:rsidRPr="00000000">
        <w:rPr>
          <w:b w:val="1"/>
          <w:bCs w:val="1"/>
          <w:rtl w:val="0"/>
        </w:rPr>
        <w:t xml:space="preserve">Data is continuously synced to servers within the same geographic region.</w:t>
      </w:r>
    </w:p>
    <w:p w:rsidR="00000000" w:rsidDel="00000000" w:rsidP="00000000" w:rsidRDefault="00000000" w:rsidRPr="00000000" w14:paraId="000000B3">
      <w:pPr>
        <w:spacing w:after="0" w:line="259" w:lineRule="auto"/>
        <w:rPr>
          <w:b w:val="1"/>
          <w:bCs w:val="1"/>
        </w:rPr>
      </w:pPr>
      <w:r w:rsidDel="00000000" w:rsidR="00000000" w:rsidRPr="00000000">
        <w:rPr>
          <w:rtl w:val="0"/>
        </w:rPr>
      </w:r>
    </w:p>
    <w:p w:rsidR="00000000" w:rsidDel="00000000" w:rsidP="00000000" w:rsidRDefault="00000000" w:rsidRPr="00000000" w14:paraId="000000B4">
      <w:pPr>
        <w:spacing w:after="0" w:line="259" w:lineRule="auto"/>
        <w:rPr/>
      </w:pPr>
      <w:r w:rsidDel="00000000" w:rsidR="00000000" w:rsidRPr="00000000">
        <w:rPr>
          <w:i w:val="1"/>
          <w:iCs w:val="1"/>
          <w:rtl w:val="0"/>
        </w:rPr>
        <w:t xml:space="preserve">Nature of the processing</w:t>
      </w:r>
      <w:r w:rsidDel="00000000" w:rsidR="00000000" w:rsidRPr="00000000">
        <w:rPr>
          <w:rtl w:val="0"/>
        </w:rPr>
      </w:r>
    </w:p>
    <w:p w:rsidR="00000000" w:rsidDel="00000000" w:rsidP="00000000" w:rsidRDefault="00000000" w:rsidRPr="00000000" w14:paraId="000000B5">
      <w:pPr>
        <w:spacing w:after="0" w:line="259" w:lineRule="auto"/>
        <w:rPr>
          <w:b w:val="1"/>
          <w:bCs w:val="1"/>
        </w:rPr>
      </w:pPr>
      <w:r w:rsidDel="00000000" w:rsidR="00000000" w:rsidRPr="00000000">
        <w:rPr>
          <w:b w:val="1"/>
          <w:bCs w:val="1"/>
          <w:rtl w:val="0"/>
        </w:rPr>
        <w:t xml:space="preserve">EU data is collected in the EU, and stored on Atomic Jolt servers with the physical geography of the EU. The data may also be accessed by individuals outside of the EU.</w:t>
      </w:r>
    </w:p>
    <w:p w:rsidR="00000000" w:rsidDel="00000000" w:rsidP="00000000" w:rsidRDefault="00000000" w:rsidRPr="00000000" w14:paraId="000000B6">
      <w:pPr>
        <w:spacing w:after="0" w:line="259" w:lineRule="auto"/>
        <w:rPr>
          <w:b w:val="1"/>
          <w:bCs w:val="1"/>
        </w:rPr>
      </w:pPr>
      <w:r w:rsidDel="00000000" w:rsidR="00000000" w:rsidRPr="00000000">
        <w:rPr>
          <w:b w:val="1"/>
          <w:bCs w:val="1"/>
          <w:rtl w:val="0"/>
        </w:rPr>
        <w:t xml:space="preserve">Australia data is collected in Australia, and stored on Atomic Jolt servers with the physical geography of Australia. The data may also be accessed by individuals outside of Australia.</w:t>
      </w:r>
    </w:p>
    <w:p w:rsidR="00000000" w:rsidDel="00000000" w:rsidP="00000000" w:rsidRDefault="00000000" w:rsidRPr="00000000" w14:paraId="000000B7">
      <w:pPr>
        <w:spacing w:after="0" w:line="259" w:lineRule="auto"/>
        <w:rPr>
          <w:b w:val="1"/>
          <w:bCs w:val="1"/>
        </w:rPr>
      </w:pPr>
      <w:r w:rsidDel="00000000" w:rsidR="00000000" w:rsidRPr="00000000">
        <w:rPr>
          <w:b w:val="1"/>
          <w:bCs w:val="1"/>
          <w:rtl w:val="0"/>
        </w:rPr>
        <w:t xml:space="preserve">US data is collected in the US, and stored on Atomic Jolt servers with the physical geography of the US.</w:t>
      </w:r>
    </w:p>
    <w:p w:rsidR="00000000" w:rsidDel="00000000" w:rsidP="00000000" w:rsidRDefault="00000000" w:rsidRPr="00000000" w14:paraId="000000B8">
      <w:pPr>
        <w:spacing w:after="0" w:line="259" w:lineRule="auto"/>
        <w:rPr>
          <w:b w:val="1"/>
          <w:bCs w:val="1"/>
        </w:rPr>
      </w:pPr>
      <w:r w:rsidDel="00000000" w:rsidR="00000000" w:rsidRPr="00000000">
        <w:rPr>
          <w:b w:val="1"/>
          <w:bCs w:val="1"/>
          <w:rtl w:val="0"/>
        </w:rPr>
        <w:t xml:space="preserve">Canada data is collected in Canada, and stored on Atomic Jolt servers with the physical geography of Canada. The data may also be accessed by individuals outside of Canada.</w:t>
      </w:r>
      <w:r w:rsidDel="00000000" w:rsidR="00000000" w:rsidRPr="00000000">
        <w:rPr>
          <w:b w:val="1"/>
          <w:bCs w:val="1"/>
          <w:highlight w:val="yellow"/>
          <w:rtl w:val="0"/>
        </w:rPr>
        <w:t xml:space="preserve">  </w:t>
      </w:r>
      <w:r w:rsidDel="00000000" w:rsidR="00000000" w:rsidRPr="00000000">
        <w:rPr>
          <w:rtl w:val="0"/>
        </w:rPr>
      </w:r>
    </w:p>
    <w:p w:rsidR="00000000" w:rsidDel="00000000" w:rsidP="00000000" w:rsidRDefault="00000000" w:rsidRPr="00000000" w14:paraId="000000B9">
      <w:pPr>
        <w:spacing w:after="0" w:line="259" w:lineRule="auto"/>
        <w:rPr>
          <w:i w:val="1"/>
          <w:iCs w:val="1"/>
        </w:rPr>
      </w:pPr>
      <w:r w:rsidDel="00000000" w:rsidR="00000000" w:rsidRPr="00000000">
        <w:rPr>
          <w:rtl w:val="0"/>
        </w:rPr>
      </w:r>
    </w:p>
    <w:p w:rsidR="00000000" w:rsidDel="00000000" w:rsidP="00000000" w:rsidRDefault="00000000" w:rsidRPr="00000000" w14:paraId="000000BA">
      <w:pPr>
        <w:spacing w:after="0" w:line="259" w:lineRule="auto"/>
        <w:rPr>
          <w:i w:val="1"/>
          <w:iCs w:val="1"/>
        </w:rPr>
      </w:pPr>
      <w:r w:rsidDel="00000000" w:rsidR="00000000" w:rsidRPr="00000000">
        <w:rPr>
          <w:i w:val="1"/>
          <w:iCs w:val="1"/>
          <w:rtl w:val="0"/>
        </w:rPr>
        <w:t xml:space="preserve">Purpose(s) of the data transfer and further processing</w:t>
      </w:r>
    </w:p>
    <w:p w:rsidR="00000000" w:rsidDel="00000000" w:rsidP="00000000" w:rsidRDefault="00000000" w:rsidRPr="00000000" w14:paraId="000000BB">
      <w:pPr>
        <w:spacing w:after="0" w:line="259" w:lineRule="auto"/>
        <w:rPr>
          <w:b w:val="1"/>
          <w:bCs w:val="1"/>
        </w:rPr>
      </w:pPr>
      <w:r w:rsidDel="00000000" w:rsidR="00000000" w:rsidRPr="00000000">
        <w:rPr>
          <w:b w:val="1"/>
          <w:bCs w:val="1"/>
          <w:rtl w:val="0"/>
        </w:rPr>
        <w:t xml:space="preserve">As an American company, Atomic Jolt’s principle operations are in the United States of America including customer support, development, and data hosting.</w:t>
      </w:r>
    </w:p>
    <w:p w:rsidR="00000000" w:rsidDel="00000000" w:rsidP="00000000" w:rsidRDefault="00000000" w:rsidRPr="00000000" w14:paraId="000000BC">
      <w:pPr>
        <w:spacing w:after="0" w:line="259" w:lineRule="auto"/>
        <w:rPr>
          <w:i w:val="1"/>
          <w:iCs w:val="1"/>
        </w:rPr>
      </w:pPr>
      <w:r w:rsidDel="00000000" w:rsidR="00000000" w:rsidRPr="00000000">
        <w:rPr>
          <w:rtl w:val="0"/>
        </w:rPr>
      </w:r>
    </w:p>
    <w:p w:rsidR="00000000" w:rsidDel="00000000" w:rsidP="00000000" w:rsidRDefault="00000000" w:rsidRPr="00000000" w14:paraId="000000BD">
      <w:pPr>
        <w:spacing w:after="0" w:line="259" w:lineRule="auto"/>
        <w:rPr/>
      </w:pPr>
      <w:r w:rsidDel="00000000" w:rsidR="00000000" w:rsidRPr="00000000">
        <w:rPr>
          <w:i w:val="1"/>
          <w:iCs w:val="1"/>
          <w:rtl w:val="0"/>
        </w:rPr>
        <w:t xml:space="preserve">The period for which the personal data will be retained, or, if that is not possible, the criteria used to determine that period</w:t>
      </w:r>
      <w:r w:rsidDel="00000000" w:rsidR="00000000" w:rsidRPr="00000000">
        <w:rPr>
          <w:rtl w:val="0"/>
        </w:rPr>
      </w:r>
    </w:p>
    <w:p w:rsidR="00000000" w:rsidDel="00000000" w:rsidP="00000000" w:rsidRDefault="00000000" w:rsidRPr="00000000" w14:paraId="000000BE">
      <w:pPr>
        <w:spacing w:after="0" w:line="259" w:lineRule="auto"/>
        <w:rPr>
          <w:b w:val="1"/>
          <w:bCs w:val="1"/>
        </w:rPr>
      </w:pPr>
      <w:r w:rsidDel="00000000" w:rsidR="00000000" w:rsidRPr="00000000">
        <w:rPr>
          <w:b w:val="1"/>
          <w:bCs w:val="1"/>
          <w:rtl w:val="0"/>
        </w:rPr>
        <w:t xml:space="preserve">The personal data is stored according to Atomic Jolt’s Retention Policy and Schedule. Data may also be removed on request by an individual in the European Union.</w:t>
      </w:r>
    </w:p>
    <w:p w:rsidR="00000000" w:rsidDel="00000000" w:rsidP="00000000" w:rsidRDefault="00000000" w:rsidRPr="00000000" w14:paraId="000000BF">
      <w:pPr>
        <w:spacing w:after="0" w:line="259" w:lineRule="auto"/>
        <w:rPr>
          <w:i w:val="1"/>
          <w:iCs w:val="1"/>
        </w:rPr>
      </w:pPr>
      <w:r w:rsidDel="00000000" w:rsidR="00000000" w:rsidRPr="00000000">
        <w:rPr>
          <w:rtl w:val="0"/>
        </w:rPr>
      </w:r>
    </w:p>
    <w:p w:rsidR="00000000" w:rsidDel="00000000" w:rsidP="00000000" w:rsidRDefault="00000000" w:rsidRPr="00000000" w14:paraId="000000C0">
      <w:pPr>
        <w:spacing w:after="0" w:line="259" w:lineRule="auto"/>
        <w:rPr/>
      </w:pPr>
      <w:r w:rsidDel="00000000" w:rsidR="00000000" w:rsidRPr="00000000">
        <w:rPr>
          <w:i w:val="1"/>
          <w:iCs w:val="1"/>
          <w:rtl w:val="0"/>
        </w:rPr>
        <w:t xml:space="preserve">For transfers to (sub-) processors, also specify subject matter, nature and duration of the processing</w:t>
      </w:r>
      <w:r w:rsidDel="00000000" w:rsidR="00000000" w:rsidRPr="00000000">
        <w:rPr>
          <w:rtl w:val="0"/>
        </w:rPr>
      </w:r>
    </w:p>
    <w:p w:rsidR="00000000" w:rsidDel="00000000" w:rsidP="00000000" w:rsidRDefault="00000000" w:rsidRPr="00000000" w14:paraId="000000C1">
      <w:pPr>
        <w:spacing w:after="0" w:line="259" w:lineRule="auto"/>
        <w:rPr>
          <w:i w:val="1"/>
          <w:iCs w:val="1"/>
        </w:rPr>
      </w:pPr>
      <w:r w:rsidDel="00000000" w:rsidR="00000000" w:rsidRPr="00000000">
        <w:rPr>
          <w:b w:val="1"/>
          <w:bCs w:val="1"/>
          <w:rtl w:val="0"/>
        </w:rPr>
        <w:t xml:space="preserve">The subprocessors used by Atomic Jolt extend to payment processing and cloud storage. These subprocessors retain only required data to perform the services needed.</w:t>
      </w:r>
      <w:r w:rsidDel="00000000" w:rsidR="00000000" w:rsidRPr="00000000">
        <w:rPr>
          <w:rtl w:val="0"/>
        </w:rPr>
      </w:r>
    </w:p>
    <w:p w:rsidR="00000000" w:rsidDel="00000000" w:rsidP="00000000" w:rsidRDefault="00000000" w:rsidRPr="00000000" w14:paraId="000000C2">
      <w:pPr>
        <w:spacing w:after="0" w:line="259" w:lineRule="auto"/>
        <w:rPr/>
      </w:pPr>
      <w:r w:rsidDel="00000000" w:rsidR="00000000" w:rsidRPr="00000000">
        <w:rPr>
          <w:rtl w:val="0"/>
        </w:rPr>
      </w:r>
    </w:p>
    <w:p w:rsidR="00000000" w:rsidDel="00000000" w:rsidP="00000000" w:rsidRDefault="00000000" w:rsidRPr="00000000" w14:paraId="000000C3">
      <w:pPr>
        <w:spacing w:after="160" w:line="259" w:lineRule="auto"/>
        <w:rPr>
          <w:i w:val="1"/>
          <w:iCs w:val="1"/>
        </w:rPr>
      </w:pPr>
      <w:r w:rsidDel="00000000" w:rsidR="00000000" w:rsidRPr="00000000">
        <w:rPr>
          <w:i w:val="1"/>
          <w:iCs w:val="1"/>
          <w:rtl w:val="0"/>
        </w:rPr>
        <w:t xml:space="preserve">Activities relevant to the data transferred under these Clauses:</w:t>
      </w:r>
    </w:p>
    <w:p w:rsidR="00000000" w:rsidDel="00000000" w:rsidP="00000000" w:rsidRDefault="00000000" w:rsidRPr="00000000" w14:paraId="000000C4">
      <w:pPr>
        <w:spacing w:after="160" w:line="259" w:lineRule="auto"/>
        <w:rPr>
          <w:b w:val="1"/>
          <w:bCs w:val="1"/>
        </w:rPr>
      </w:pPr>
      <w:r w:rsidDel="00000000" w:rsidR="00000000" w:rsidRPr="00000000">
        <w:rPr>
          <w:b w:val="1"/>
          <w:bCs w:val="1"/>
          <w:rtl w:val="0"/>
        </w:rPr>
        <w:t xml:space="preserve">Atomic Jolt provides </w:t>
      </w:r>
    </w:p>
    <w:p w:rsidR="00000000" w:rsidDel="00000000" w:rsidP="00000000" w:rsidRDefault="00000000" w:rsidRPr="00000000" w14:paraId="000000C5">
      <w:pPr>
        <w:numPr>
          <w:ilvl w:val="0"/>
          <w:numId w:val="11"/>
        </w:numPr>
        <w:spacing w:after="0" w:afterAutospacing="0" w:line="259" w:lineRule="auto"/>
        <w:ind w:left="720" w:hanging="360"/>
        <w:rPr>
          <w:b w:val="1"/>
          <w:bCs w:val="1"/>
        </w:rPr>
      </w:pPr>
      <w:r w:rsidDel="00000000" w:rsidR="00000000" w:rsidRPr="00000000">
        <w:rPr>
          <w:b w:val="1"/>
          <w:bCs w:val="1"/>
          <w:rtl w:val="0"/>
        </w:rPr>
        <w:t xml:space="preserve">Atomic Search</w:t>
      </w:r>
    </w:p>
    <w:p w:rsidR="00000000" w:rsidDel="00000000" w:rsidP="00000000" w:rsidRDefault="00000000" w:rsidRPr="00000000" w14:paraId="000000C6">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Allows easy keyword searches across content in an accessible way. Atomic Search is the first and only integrated LMS application with comprehensive search functionality. Search across all of your courses at once. Student search parameters can be configured to limit or expand search capabilities.</w:t>
      </w:r>
    </w:p>
    <w:p w:rsidR="00000000" w:rsidDel="00000000" w:rsidP="00000000" w:rsidRDefault="00000000" w:rsidRPr="00000000" w14:paraId="000000C7">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Assessments</w:t>
      </w:r>
    </w:p>
    <w:p w:rsidR="00000000" w:rsidDel="00000000" w:rsidP="00000000" w:rsidRDefault="00000000" w:rsidRPr="00000000" w14:paraId="000000C8">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Measure learning better using Atomic Assessments over 40 interactive question types. Increase student engagement by embedding interactive activities in LMS pages. Generate assignments from item banks. Student accommodations can be created by overriding settings for specific students. Atomic Assessments is a full featured product that can be customized for publishers and schools by Atomic Jolt.</w:t>
      </w:r>
    </w:p>
    <w:p w:rsidR="00000000" w:rsidDel="00000000" w:rsidP="00000000" w:rsidRDefault="00000000" w:rsidRPr="00000000" w14:paraId="000000C9">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Polls</w:t>
      </w:r>
    </w:p>
    <w:p w:rsidR="00000000" w:rsidDel="00000000" w:rsidP="00000000" w:rsidRDefault="00000000" w:rsidRPr="00000000" w14:paraId="000000CA">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Easily insert a poll in a discussion, page, assignment, syllabus, or even an announcement — anywhere that uses the Rich Content Editor. Polls allow teachers to select from a variety of advanced settings to facilitate flexible, dynamic class interactions.</w:t>
      </w:r>
    </w:p>
    <w:p w:rsidR="00000000" w:rsidDel="00000000" w:rsidP="00000000" w:rsidRDefault="00000000" w:rsidRPr="00000000" w14:paraId="000000CB">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Journals</w:t>
      </w:r>
    </w:p>
    <w:p w:rsidR="00000000" w:rsidDel="00000000" w:rsidP="00000000" w:rsidRDefault="00000000" w:rsidRPr="00000000" w14:paraId="000000CC">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Atomic Journals allows teachers to effectively incorporate reflection into online learning by inserting writing prompts into course content where students can record their responses.</w:t>
      </w:r>
    </w:p>
    <w:p w:rsidR="00000000" w:rsidDel="00000000" w:rsidP="00000000" w:rsidRDefault="00000000" w:rsidRPr="00000000" w14:paraId="000000CD">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Discussions</w:t>
      </w:r>
    </w:p>
    <w:p w:rsidR="00000000" w:rsidDel="00000000" w:rsidP="00000000" w:rsidRDefault="00000000" w:rsidRPr="00000000" w14:paraId="000000CE">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Increase student interaction around course content by inserting discussions into Canvas pages. Discussions help students connect with other students. Inserting discussions in pages allows students to interact with others around content similar to how they do on blogs and news websites.</w:t>
      </w:r>
    </w:p>
    <w:p w:rsidR="00000000" w:rsidDel="00000000" w:rsidP="00000000" w:rsidRDefault="00000000" w:rsidRPr="00000000" w14:paraId="000000CF">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Curriculum Analysis Tool</w:t>
      </w:r>
    </w:p>
    <w:p w:rsidR="00000000" w:rsidDel="00000000" w:rsidP="00000000" w:rsidRDefault="00000000" w:rsidRPr="00000000" w14:paraId="000000D0">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Efficient and comprehensive searches across your Canvas, Brightspace, and Blackboard content.</w:t>
      </w:r>
    </w:p>
    <w:p w:rsidR="00000000" w:rsidDel="00000000" w:rsidP="00000000" w:rsidRDefault="00000000" w:rsidRPr="00000000" w14:paraId="000000D1">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Reactor</w:t>
      </w:r>
    </w:p>
    <w:p w:rsidR="00000000" w:rsidDel="00000000" w:rsidP="00000000" w:rsidRDefault="00000000" w:rsidRPr="00000000" w14:paraId="000000D2">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Atomic Reactor is an AI-powered Learning Management System that transforms traditional education into engaging, TikTok-style content delivery with enterprise-grade features like LTI 1.3  integration and multi-tenant architecture.</w:t>
      </w:r>
    </w:p>
    <w:p w:rsidR="00000000" w:rsidDel="00000000" w:rsidP="00000000" w:rsidRDefault="00000000" w:rsidRPr="00000000" w14:paraId="000000D3">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Author</w:t>
      </w:r>
    </w:p>
    <w:p w:rsidR="00000000" w:rsidDel="00000000" w:rsidP="00000000" w:rsidRDefault="00000000" w:rsidRPr="00000000" w14:paraId="000000D4">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Atomic Author helps you find and insert course content from multiple sources (Canvas Commons, Canvas Studio, your own Canvas courses) from a single search interface</w:t>
      </w:r>
    </w:p>
    <w:p w:rsidR="00000000" w:rsidDel="00000000" w:rsidP="00000000" w:rsidRDefault="00000000" w:rsidRPr="00000000" w14:paraId="000000D5">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Atomic Registrar</w:t>
      </w:r>
    </w:p>
    <w:p w:rsidR="00000000" w:rsidDel="00000000" w:rsidP="00000000" w:rsidRDefault="00000000" w:rsidRPr="00000000" w14:paraId="000000D6">
      <w:pPr>
        <w:numPr>
          <w:ilvl w:val="1"/>
          <w:numId w:val="11"/>
        </w:numPr>
        <w:spacing w:after="0" w:afterAutospacing="0" w:before="0" w:beforeAutospacing="0" w:line="259" w:lineRule="auto"/>
        <w:ind w:left="1440" w:hanging="360"/>
        <w:rPr>
          <w:b w:val="1"/>
          <w:bCs w:val="1"/>
        </w:rPr>
      </w:pPr>
      <w:r w:rsidDel="00000000" w:rsidR="00000000" w:rsidRPr="00000000">
        <w:rPr>
          <w:b w:val="1"/>
          <w:bCs w:val="1"/>
          <w:rtl w:val="0"/>
        </w:rPr>
        <w:t xml:space="preserve">Atomic Registrar is a tool for enabling public enrollment to Canvas courses, the capturing of demographic data, and the generation of custom reports for those courses</w:t>
      </w:r>
    </w:p>
    <w:p w:rsidR="00000000" w:rsidDel="00000000" w:rsidP="00000000" w:rsidRDefault="00000000" w:rsidRPr="00000000" w14:paraId="000000D7">
      <w:pPr>
        <w:numPr>
          <w:ilvl w:val="0"/>
          <w:numId w:val="11"/>
        </w:numPr>
        <w:spacing w:after="0" w:afterAutospacing="0" w:before="0" w:beforeAutospacing="0" w:line="259" w:lineRule="auto"/>
        <w:ind w:left="720" w:hanging="360"/>
        <w:rPr>
          <w:b w:val="1"/>
          <w:bCs w:val="1"/>
        </w:rPr>
      </w:pPr>
      <w:r w:rsidDel="00000000" w:rsidR="00000000" w:rsidRPr="00000000">
        <w:rPr>
          <w:b w:val="1"/>
          <w:bCs w:val="1"/>
          <w:rtl w:val="0"/>
        </w:rPr>
        <w:t xml:space="preserve">Canvas LMS</w:t>
      </w:r>
    </w:p>
    <w:p w:rsidR="00000000" w:rsidDel="00000000" w:rsidP="00000000" w:rsidRDefault="00000000" w:rsidRPr="00000000" w14:paraId="000000D8">
      <w:pPr>
        <w:numPr>
          <w:ilvl w:val="1"/>
          <w:numId w:val="11"/>
        </w:numPr>
        <w:spacing w:after="160" w:before="0" w:beforeAutospacing="0" w:line="259" w:lineRule="auto"/>
        <w:ind w:left="1440" w:hanging="360"/>
        <w:rPr>
          <w:b w:val="1"/>
          <w:bCs w:val="1"/>
        </w:rPr>
      </w:pPr>
      <w:r w:rsidDel="00000000" w:rsidR="00000000" w:rsidRPr="00000000">
        <w:rPr>
          <w:b w:val="1"/>
          <w:bCs w:val="1"/>
          <w:rtl w:val="0"/>
        </w:rPr>
        <w:t xml:space="preserve">Canvas is a modern, open-source</w:t>
      </w:r>
      <w:hyperlink r:id="rId14">
        <w:r w:rsidDel="00000000" w:rsidR="00000000" w:rsidRPr="00000000">
          <w:rPr>
            <w:b w:val="1"/>
            <w:bCs w:val="1"/>
            <w:rtl w:val="0"/>
          </w:rPr>
          <w:t xml:space="preserve"> </w:t>
        </w:r>
      </w:hyperlink>
      <w:hyperlink r:id="rId15">
        <w:r w:rsidDel="00000000" w:rsidR="00000000" w:rsidRPr="00000000">
          <w:rPr>
            <w:b w:val="1"/>
            <w:bCs w:val="1"/>
            <w:color w:val="1155cc"/>
            <w:u w:val="single"/>
            <w:rtl w:val="0"/>
          </w:rPr>
          <w:t xml:space="preserve">Learning Management System (LMS)</w:t>
        </w:r>
      </w:hyperlink>
      <w:r w:rsidDel="00000000" w:rsidR="00000000" w:rsidRPr="00000000">
        <w:rPr>
          <w:b w:val="1"/>
          <w:bCs w:val="1"/>
          <w:rtl w:val="0"/>
        </w:rPr>
        <w:t xml:space="preserve"> developed and maintained by</w:t>
      </w:r>
      <w:hyperlink r:id="rId16">
        <w:r w:rsidDel="00000000" w:rsidR="00000000" w:rsidRPr="00000000">
          <w:rPr>
            <w:b w:val="1"/>
            <w:bCs w:val="1"/>
            <w:rtl w:val="0"/>
          </w:rPr>
          <w:t xml:space="preserve"> </w:t>
        </w:r>
      </w:hyperlink>
      <w:hyperlink r:id="rId17">
        <w:r w:rsidDel="00000000" w:rsidR="00000000" w:rsidRPr="00000000">
          <w:rPr>
            <w:b w:val="1"/>
            <w:bCs w:val="1"/>
            <w:color w:val="1155cc"/>
            <w:u w:val="single"/>
            <w:rtl w:val="0"/>
          </w:rPr>
          <w:t xml:space="preserve">Instructure Inc</w:t>
        </w:r>
      </w:hyperlink>
      <w:r w:rsidDel="00000000" w:rsidR="00000000" w:rsidRPr="00000000">
        <w:rPr>
          <w:b w:val="1"/>
          <w:bCs w:val="1"/>
          <w:rtl w:val="0"/>
        </w:rPr>
        <w:t xml:space="preserve">. It was established in 2010 and is used in many colleges, universities, and K-12 schools. It is released under the</w:t>
      </w:r>
      <w:hyperlink r:id="rId18">
        <w:r w:rsidDel="00000000" w:rsidR="00000000" w:rsidRPr="00000000">
          <w:rPr>
            <w:b w:val="1"/>
            <w:bCs w:val="1"/>
            <w:rtl w:val="0"/>
          </w:rPr>
          <w:t xml:space="preserve"> </w:t>
        </w:r>
      </w:hyperlink>
      <w:hyperlink r:id="rId19">
        <w:r w:rsidDel="00000000" w:rsidR="00000000" w:rsidRPr="00000000">
          <w:rPr>
            <w:b w:val="1"/>
            <w:bCs w:val="1"/>
            <w:color w:val="1155cc"/>
            <w:u w:val="single"/>
            <w:rtl w:val="0"/>
          </w:rPr>
          <w:t xml:space="preserve">AGPLv3</w:t>
        </w:r>
      </w:hyperlink>
      <w:r w:rsidDel="00000000" w:rsidR="00000000" w:rsidRPr="00000000">
        <w:rPr>
          <w:b w:val="1"/>
          <w:bCs w:val="1"/>
          <w:rtl w:val="0"/>
        </w:rPr>
        <w:t xml:space="preserve"> license for use by anyone interested in learning more about or using learning management systems.</w:t>
      </w:r>
      <w:r w:rsidDel="00000000" w:rsidR="00000000" w:rsidRPr="00000000">
        <w:rPr>
          <w:rtl w:val="0"/>
        </w:rPr>
      </w:r>
    </w:p>
    <w:p w:rsidR="00000000" w:rsidDel="00000000" w:rsidP="00000000" w:rsidRDefault="00000000" w:rsidRPr="00000000" w14:paraId="000000D9">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DA">
      <w:pPr>
        <w:rPr>
          <w:b w:val="1"/>
          <w:bCs w:val="1"/>
          <w:u w:val="single"/>
        </w:rPr>
      </w:pPr>
      <w:r w:rsidDel="00000000" w:rsidR="00000000" w:rsidRPr="00000000">
        <w:rPr>
          <w:b w:val="1"/>
          <w:bCs w:val="1"/>
          <w:u w:val="single"/>
          <w:rtl w:val="0"/>
        </w:rPr>
        <w:t xml:space="preserve">ANNEX III TECHNICAL AND ORGANISATIONAL MEASURES INCLUDING TECHNICAL AND ORGANISATIONAL MEASURES TO ENSURE THE SECURITY OF THE DATA</w:t>
      </w:r>
    </w:p>
    <w:p w:rsidR="00000000" w:rsidDel="00000000" w:rsidP="00000000" w:rsidRDefault="00000000" w:rsidRPr="00000000" w14:paraId="000000DB">
      <w:pPr>
        <w:rPr/>
      </w:pPr>
      <w:r w:rsidDel="00000000" w:rsidR="00000000" w:rsidRPr="00000000">
        <w:rPr>
          <w:rtl w:val="0"/>
        </w:rPr>
        <w:t xml:space="preserve">EXPLANATORY NOTE: </w:t>
      </w:r>
    </w:p>
    <w:p w:rsidR="00000000" w:rsidDel="00000000" w:rsidP="00000000" w:rsidRDefault="00000000" w:rsidRPr="00000000" w14:paraId="000000DC">
      <w:pPr>
        <w:rPr>
          <w:b w:val="1"/>
          <w:bCs w:val="1"/>
          <w:u w:val="single"/>
        </w:rPr>
      </w:pPr>
      <w:r w:rsidDel="00000000" w:rsidR="00000000" w:rsidRPr="00000000">
        <w:rPr>
          <w:rtl w:val="0"/>
        </w:rPr>
        <w:t xml:space="preserve">The technical and organisational measures need to be described concretely and not in a generic manner.</w:t>
      </w:r>
      <w:r w:rsidDel="00000000" w:rsidR="00000000" w:rsidRPr="00000000">
        <w:rPr>
          <w:rtl w:val="0"/>
        </w:rPr>
      </w:r>
    </w:p>
    <w:p w:rsidR="00000000" w:rsidDel="00000000" w:rsidP="00000000" w:rsidRDefault="00000000" w:rsidRPr="00000000" w14:paraId="000000DD">
      <w:pPr>
        <w:rPr>
          <w:i w:val="1"/>
          <w:iCs w:val="1"/>
        </w:rPr>
      </w:pPr>
      <w:r w:rsidDel="00000000" w:rsidR="00000000" w:rsidRPr="00000000">
        <w:rPr>
          <w:rtl w:val="0"/>
        </w:rPr>
      </w:r>
    </w:p>
    <w:p w:rsidR="00000000" w:rsidDel="00000000" w:rsidP="00000000" w:rsidRDefault="00000000" w:rsidRPr="00000000" w14:paraId="000000DE">
      <w:pPr>
        <w:rPr/>
      </w:pPr>
      <w:r w:rsidDel="00000000" w:rsidR="00000000" w:rsidRPr="00000000">
        <w:rPr>
          <w:i w:val="1"/>
          <w:iCs w:val="1"/>
          <w:rtl w:val="0"/>
        </w:rPr>
        <w:t xml:space="preserve">Description of the technical and organisational security measures implemented by the processor(s):</w:t>
      </w:r>
      <w:r w:rsidDel="00000000" w:rsidR="00000000" w:rsidRPr="00000000">
        <w:rPr>
          <w:rtl w:val="0"/>
        </w:rPr>
      </w:r>
    </w:p>
    <w:p w:rsidR="00000000" w:rsidDel="00000000" w:rsidP="00000000" w:rsidRDefault="00000000" w:rsidRPr="00000000" w14:paraId="000000DF">
      <w:pPr>
        <w:pStyle w:val="Heading2"/>
        <w:keepLines w:val="1"/>
        <w:spacing w:after="0" w:before="40" w:line="259" w:lineRule="auto"/>
        <w:ind w:left="0"/>
        <w:jc w:val="left"/>
        <w:rPr/>
      </w:pPr>
      <w:r w:rsidDel="00000000" w:rsidR="00000000" w:rsidRPr="00000000">
        <w:rPr>
          <w:rtl w:val="0"/>
        </w:rPr>
        <w:t xml:space="preserve">Security Standards</w:t>
      </w:r>
    </w:p>
    <w:p w:rsidR="00000000" w:rsidDel="00000000" w:rsidP="00000000" w:rsidRDefault="00000000" w:rsidRPr="00000000" w14:paraId="000000E0">
      <w:pPr>
        <w:pStyle w:val="Heading2"/>
        <w:keepLines w:val="1"/>
        <w:spacing w:after="0" w:before="40" w:line="259" w:lineRule="auto"/>
        <w:ind w:left="0"/>
        <w:jc w:val="left"/>
        <w:rPr>
          <w:b w:val="0"/>
          <w:bCs w:val="0"/>
          <w:highlight w:val="yellow"/>
        </w:rPr>
      </w:pPr>
      <w:r w:rsidDel="00000000" w:rsidR="00000000" w:rsidRPr="00000000">
        <w:rPr>
          <w:b w:val="0"/>
          <w:bCs w:val="0"/>
          <w:rtl w:val="0"/>
        </w:rPr>
        <w:t xml:space="preserve">Atomic Jolt relies on guidance (and, as applicable, certification) from the technical security standards and frameworks below:</w:t>
      </w:r>
      <w:r w:rsidDel="00000000" w:rsidR="00000000" w:rsidRPr="00000000">
        <w:rPr>
          <w:rtl w:val="0"/>
        </w:rPr>
      </w:r>
    </w:p>
    <w:p w:rsidR="00000000" w:rsidDel="00000000" w:rsidP="00000000" w:rsidRDefault="00000000" w:rsidRPr="00000000" w14:paraId="000000E1">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CIS Benchmarks (Centre for Internet Security)</w:t>
      </w:r>
    </w:p>
    <w:p w:rsidR="00000000" w:rsidDel="00000000" w:rsidP="00000000" w:rsidRDefault="00000000" w:rsidRPr="00000000" w14:paraId="000000E2">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NIST</w:t>
      </w:r>
    </w:p>
    <w:p w:rsidR="00000000" w:rsidDel="00000000" w:rsidP="00000000" w:rsidRDefault="00000000" w:rsidRPr="00000000" w14:paraId="000000E3">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ISO</w:t>
      </w:r>
    </w:p>
    <w:p w:rsidR="00000000" w:rsidDel="00000000" w:rsidP="00000000" w:rsidRDefault="00000000" w:rsidRPr="00000000" w14:paraId="000000E4">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SOC2</w:t>
      </w:r>
    </w:p>
    <w:p w:rsidR="00000000" w:rsidDel="00000000" w:rsidP="00000000" w:rsidRDefault="00000000" w:rsidRPr="00000000" w14:paraId="000000E5">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EDPB (European Data protection Board)</w:t>
      </w:r>
    </w:p>
    <w:p w:rsidR="00000000" w:rsidDel="00000000" w:rsidP="00000000" w:rsidRDefault="00000000" w:rsidRPr="00000000" w14:paraId="000000E6">
      <w:pPr>
        <w:pStyle w:val="Heading2"/>
        <w:keepLines w:val="1"/>
        <w:numPr>
          <w:ilvl w:val="0"/>
          <w:numId w:val="8"/>
        </w:numPr>
        <w:spacing w:after="0" w:before="40" w:line="259" w:lineRule="auto"/>
        <w:ind w:left="720" w:hanging="360"/>
        <w:jc w:val="left"/>
      </w:pPr>
      <w:r w:rsidDel="00000000" w:rsidR="00000000" w:rsidRPr="00000000">
        <w:rPr>
          <w:b w:val="0"/>
          <w:bCs w:val="0"/>
          <w:rtl w:val="0"/>
        </w:rPr>
        <w:t xml:space="preserve">CSA CCM (Cloud Security Alliance Cloud Controls Matrix)</w:t>
      </w:r>
    </w:p>
    <w:p w:rsidR="00000000" w:rsidDel="00000000" w:rsidP="00000000" w:rsidRDefault="00000000" w:rsidRPr="00000000" w14:paraId="000000E7">
      <w:pPr>
        <w:pStyle w:val="Heading2"/>
        <w:keepLines w:val="1"/>
        <w:spacing w:after="0" w:before="40" w:line="259" w:lineRule="auto"/>
        <w:ind w:left="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0E8">
      <w:pPr>
        <w:pStyle w:val="Heading2"/>
        <w:keepLines w:val="1"/>
        <w:spacing w:after="0" w:before="40" w:line="259" w:lineRule="auto"/>
        <w:ind w:left="0"/>
        <w:jc w:val="left"/>
        <w:rPr/>
      </w:pPr>
      <w:r w:rsidDel="00000000" w:rsidR="00000000" w:rsidRPr="00000000">
        <w:rPr>
          <w:rtl w:val="0"/>
        </w:rPr>
        <w:t xml:space="preserve">Data Management</w:t>
      </w:r>
    </w:p>
    <w:p w:rsidR="00000000" w:rsidDel="00000000" w:rsidP="00000000" w:rsidRDefault="00000000" w:rsidRPr="00000000" w14:paraId="000000E9">
      <w:pPr>
        <w:pStyle w:val="Heading2"/>
        <w:keepLines w:val="1"/>
        <w:spacing w:after="0" w:before="40" w:line="259" w:lineRule="auto"/>
        <w:ind w:left="0"/>
        <w:jc w:val="left"/>
        <w:rPr>
          <w:b w:val="0"/>
          <w:bCs w:val="0"/>
        </w:rPr>
      </w:pPr>
      <w:r w:rsidDel="00000000" w:rsidR="00000000" w:rsidRPr="00000000">
        <w:rPr>
          <w:b w:val="0"/>
          <w:bCs w:val="0"/>
          <w:rtl w:val="0"/>
        </w:rPr>
        <w:t xml:space="preserve">Data is handled securely through the entire lifecycle including collection, access, transfer, analytics, retention and deletion. </w:t>
      </w:r>
    </w:p>
    <w:p w:rsidR="00000000" w:rsidDel="00000000" w:rsidP="00000000" w:rsidRDefault="00000000" w:rsidRPr="00000000" w14:paraId="000000EA">
      <w:pPr>
        <w:pStyle w:val="Heading2"/>
        <w:keepLines w:val="1"/>
        <w:numPr>
          <w:ilvl w:val="0"/>
          <w:numId w:val="9"/>
        </w:numPr>
        <w:spacing w:after="0" w:before="40" w:line="259" w:lineRule="auto"/>
        <w:ind w:left="720" w:hanging="360"/>
        <w:jc w:val="left"/>
      </w:pPr>
      <w:r w:rsidDel="00000000" w:rsidR="00000000" w:rsidRPr="00000000">
        <w:rPr>
          <w:b w:val="0"/>
          <w:bCs w:val="0"/>
          <w:rtl w:val="0"/>
        </w:rPr>
        <w:t xml:space="preserve">Encryption standards – RSA 2048 or better for asymmetric key encryption and AES-256 or better for symmetric key encryption are followed.</w:t>
      </w:r>
    </w:p>
    <w:p w:rsidR="00000000" w:rsidDel="00000000" w:rsidP="00000000" w:rsidRDefault="00000000" w:rsidRPr="00000000" w14:paraId="000000EB">
      <w:pPr>
        <w:pStyle w:val="Heading2"/>
        <w:keepLines w:val="1"/>
        <w:numPr>
          <w:ilvl w:val="0"/>
          <w:numId w:val="9"/>
        </w:numPr>
        <w:spacing w:after="0" w:before="40" w:line="259" w:lineRule="auto"/>
        <w:ind w:left="720" w:hanging="360"/>
        <w:jc w:val="left"/>
      </w:pPr>
      <w:r w:rsidDel="00000000" w:rsidR="00000000" w:rsidRPr="00000000">
        <w:rPr>
          <w:b w:val="0"/>
          <w:bCs w:val="0"/>
          <w:rtl w:val="0"/>
        </w:rPr>
        <w:t xml:space="preserve">All data is encrypted at rest (AES-256) and in transit (TLS 1.2 or 1.3).</w:t>
      </w:r>
    </w:p>
    <w:p w:rsidR="00000000" w:rsidDel="00000000" w:rsidP="00000000" w:rsidRDefault="00000000" w:rsidRPr="00000000" w14:paraId="000000EC">
      <w:pPr>
        <w:numPr>
          <w:ilvl w:val="0"/>
          <w:numId w:val="9"/>
        </w:numPr>
        <w:spacing w:after="0" w:before="0" w:line="259" w:lineRule="auto"/>
        <w:ind w:left="720" w:hanging="360"/>
        <w:jc w:val="left"/>
      </w:pPr>
      <w:r w:rsidDel="00000000" w:rsidR="00000000" w:rsidRPr="00000000">
        <w:rPr>
          <w:rtl w:val="0"/>
        </w:rPr>
        <w:t xml:space="preserve">Data in transmission is protected via encryption when it leaves the private network (between the app server and the client browser).  </w:t>
      </w:r>
    </w:p>
    <w:p w:rsidR="00000000" w:rsidDel="00000000" w:rsidP="00000000" w:rsidRDefault="00000000" w:rsidRPr="00000000" w14:paraId="000000ED">
      <w:pPr>
        <w:numPr>
          <w:ilvl w:val="0"/>
          <w:numId w:val="9"/>
        </w:numPr>
        <w:spacing w:after="0" w:before="0" w:line="259" w:lineRule="auto"/>
        <w:ind w:left="720" w:hanging="360"/>
        <w:jc w:val="left"/>
      </w:pPr>
      <w:r w:rsidDel="00000000" w:rsidR="00000000" w:rsidRPr="00000000">
        <w:rPr>
          <w:rtl w:val="0"/>
        </w:rPr>
        <w:t xml:space="preserve">The data has been mapped and categorized. All data was reviewed as part of a PIA to ensure that only the minimum quantity of data is being collected. Additionally, sensitive data was reduced where possible.</w:t>
      </w:r>
    </w:p>
    <w:p w:rsidR="00000000" w:rsidDel="00000000" w:rsidP="00000000" w:rsidRDefault="00000000" w:rsidRPr="00000000" w14:paraId="000000EE">
      <w:pPr>
        <w:numPr>
          <w:ilvl w:val="0"/>
          <w:numId w:val="9"/>
        </w:numPr>
        <w:spacing w:after="160" w:before="0" w:line="259" w:lineRule="auto"/>
        <w:ind w:left="720" w:hanging="360"/>
        <w:jc w:val="left"/>
      </w:pPr>
      <w:r w:rsidDel="00000000" w:rsidR="00000000" w:rsidRPr="00000000">
        <w:rPr>
          <w:rtl w:val="0"/>
        </w:rPr>
        <w:t xml:space="preserve">Data Retention is dictated by the Atomic Jolt Retention Policy and schedule.</w:t>
      </w:r>
    </w:p>
    <w:p w:rsidR="00000000" w:rsidDel="00000000" w:rsidP="00000000" w:rsidRDefault="00000000" w:rsidRPr="00000000" w14:paraId="000000EF">
      <w:pPr>
        <w:pStyle w:val="Heading2"/>
        <w:keepLines w:val="1"/>
        <w:spacing w:after="0" w:before="40" w:line="259" w:lineRule="auto"/>
        <w:ind w:left="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0F0">
      <w:pPr>
        <w:spacing w:after="160" w:before="0" w:line="259" w:lineRule="auto"/>
        <w:jc w:val="left"/>
        <w:rPr>
          <w:b w:val="1"/>
          <w:bCs w:val="1"/>
        </w:rPr>
      </w:pPr>
      <w:r w:rsidDel="00000000" w:rsidR="00000000" w:rsidRPr="00000000">
        <w:rPr>
          <w:b w:val="1"/>
          <w:bCs w:val="1"/>
          <w:rtl w:val="0"/>
        </w:rPr>
        <w:t xml:space="preserve">Availability</w:t>
      </w:r>
    </w:p>
    <w:p w:rsidR="00000000" w:rsidDel="00000000" w:rsidP="00000000" w:rsidRDefault="00000000" w:rsidRPr="00000000" w14:paraId="000000F1">
      <w:pPr>
        <w:numPr>
          <w:ilvl w:val="0"/>
          <w:numId w:val="10"/>
        </w:numPr>
        <w:spacing w:after="0" w:before="0" w:line="259" w:lineRule="auto"/>
        <w:ind w:left="720" w:hanging="360"/>
        <w:jc w:val="left"/>
      </w:pPr>
      <w:r w:rsidDel="00000000" w:rsidR="00000000" w:rsidRPr="00000000">
        <w:rPr>
          <w:rtl w:val="0"/>
        </w:rPr>
        <w:t xml:space="preserve">Disaster Recovery &amp; Business Continuity are documented in the Atomic Jolt Contingency plan</w:t>
      </w:r>
    </w:p>
    <w:p w:rsidR="00000000" w:rsidDel="00000000" w:rsidP="00000000" w:rsidRDefault="00000000" w:rsidRPr="00000000" w14:paraId="000000F2">
      <w:pPr>
        <w:numPr>
          <w:ilvl w:val="0"/>
          <w:numId w:val="10"/>
        </w:numPr>
        <w:spacing w:after="160" w:before="0" w:line="259" w:lineRule="auto"/>
        <w:ind w:left="720" w:hanging="360"/>
        <w:jc w:val="left"/>
      </w:pPr>
      <w:r w:rsidDel="00000000" w:rsidR="00000000" w:rsidRPr="00000000">
        <w:rPr>
          <w:rtl w:val="0"/>
        </w:rPr>
        <w:t xml:space="preserve">Back-ups - Account data is mirrored and regularly backed up off site.</w:t>
      </w:r>
    </w:p>
    <w:p w:rsidR="00000000" w:rsidDel="00000000" w:rsidP="00000000" w:rsidRDefault="00000000" w:rsidRPr="00000000" w14:paraId="000000F3">
      <w:pPr>
        <w:pStyle w:val="Heading2"/>
        <w:keepLines w:val="1"/>
        <w:spacing w:after="0" w:before="40" w:line="259" w:lineRule="auto"/>
        <w:ind w:left="720" w:firstLine="0"/>
        <w:jc w:val="left"/>
        <w:rPr>
          <w:color w:val="2f5496"/>
        </w:rPr>
      </w:pPr>
      <w:r w:rsidDel="00000000" w:rsidR="00000000" w:rsidRPr="00000000">
        <w:rPr>
          <w:rtl w:val="0"/>
        </w:rPr>
      </w:r>
    </w:p>
    <w:p w:rsidR="00000000" w:rsidDel="00000000" w:rsidP="00000000" w:rsidRDefault="00000000" w:rsidRPr="00000000" w14:paraId="000000F4">
      <w:pPr>
        <w:pStyle w:val="Heading2"/>
        <w:keepLines w:val="1"/>
        <w:spacing w:after="0" w:before="40" w:line="259" w:lineRule="auto"/>
        <w:ind w:left="0"/>
        <w:jc w:val="left"/>
        <w:rPr>
          <w:color w:val="2f5496"/>
        </w:rPr>
      </w:pPr>
      <w:r w:rsidDel="00000000" w:rsidR="00000000" w:rsidRPr="00000000">
        <w:rPr>
          <w:rtl w:val="0"/>
        </w:rPr>
      </w:r>
    </w:p>
    <w:p w:rsidR="00000000" w:rsidDel="00000000" w:rsidP="00000000" w:rsidRDefault="00000000" w:rsidRPr="00000000" w14:paraId="000000F5">
      <w:pPr>
        <w:pStyle w:val="Heading2"/>
        <w:keepLines w:val="1"/>
        <w:spacing w:after="0" w:before="40" w:line="259" w:lineRule="auto"/>
        <w:ind w:left="0"/>
        <w:jc w:val="left"/>
        <w:rPr>
          <w:color w:val="2f5496"/>
        </w:rPr>
      </w:pPr>
      <w:r w:rsidDel="00000000" w:rsidR="00000000" w:rsidRPr="00000000">
        <w:rPr>
          <w:rtl w:val="0"/>
        </w:rPr>
      </w:r>
    </w:p>
    <w:p w:rsidR="00000000" w:rsidDel="00000000" w:rsidP="00000000" w:rsidRDefault="00000000" w:rsidRPr="00000000" w14:paraId="000000F6">
      <w:pPr>
        <w:pStyle w:val="Heading2"/>
        <w:keepLines w:val="1"/>
        <w:spacing w:after="0" w:before="40" w:line="259" w:lineRule="auto"/>
        <w:ind w:left="0"/>
        <w:jc w:val="left"/>
        <w:rPr/>
      </w:pPr>
      <w:r w:rsidDel="00000000" w:rsidR="00000000" w:rsidRPr="00000000">
        <w:rPr>
          <w:rtl w:val="0"/>
        </w:rPr>
        <w:t xml:space="preserve">Access Control</w:t>
      </w:r>
    </w:p>
    <w:p w:rsidR="00000000" w:rsidDel="00000000" w:rsidP="00000000" w:rsidRDefault="00000000" w:rsidRPr="00000000" w14:paraId="000000F7">
      <w:pPr>
        <w:numPr>
          <w:ilvl w:val="0"/>
          <w:numId w:val="4"/>
        </w:numPr>
        <w:spacing w:after="160" w:before="0" w:line="259" w:lineRule="auto"/>
        <w:ind w:left="720" w:hanging="360"/>
        <w:jc w:val="left"/>
      </w:pPr>
      <w:r w:rsidDel="00000000" w:rsidR="00000000" w:rsidRPr="00000000">
        <w:rPr>
          <w:rtl w:val="0"/>
        </w:rPr>
        <w:t xml:space="preserve">User Identification and Authentication - With the exception of Canvas LMS, authentication is usually done using LTI. Canvas LMS can be configured to utilize SSO or password authentication. There is a logout based on inactivity.</w:t>
      </w:r>
    </w:p>
    <w:p w:rsidR="00000000" w:rsidDel="00000000" w:rsidP="00000000" w:rsidRDefault="00000000" w:rsidRPr="00000000" w14:paraId="000000F8">
      <w:pPr>
        <w:pStyle w:val="Heading2"/>
        <w:keepLines w:val="1"/>
        <w:numPr>
          <w:ilvl w:val="0"/>
          <w:numId w:val="4"/>
        </w:numPr>
        <w:spacing w:after="0" w:before="40" w:line="259" w:lineRule="auto"/>
        <w:ind w:left="720" w:hanging="360"/>
        <w:jc w:val="left"/>
      </w:pPr>
      <w:r w:rsidDel="00000000" w:rsidR="00000000" w:rsidRPr="00000000">
        <w:rPr>
          <w:b w:val="0"/>
          <w:bCs w:val="0"/>
          <w:rtl w:val="0"/>
        </w:rPr>
        <w:t xml:space="preserve">Atomic Jolt’s corporate infrastructure relies on Google SSO to handle authentication  management. </w:t>
      </w:r>
    </w:p>
    <w:p w:rsidR="00000000" w:rsidDel="00000000" w:rsidP="00000000" w:rsidRDefault="00000000" w:rsidRPr="00000000" w14:paraId="000000F9">
      <w:pPr>
        <w:spacing w:after="160" w:before="0" w:line="259"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A">
      <w:pPr>
        <w:pStyle w:val="Heading2"/>
        <w:keepLines w:val="1"/>
        <w:spacing w:after="0" w:before="40" w:line="259" w:lineRule="auto"/>
        <w:ind w:left="0"/>
        <w:jc w:val="left"/>
        <w:rPr/>
      </w:pPr>
      <w:r w:rsidDel="00000000" w:rsidR="00000000" w:rsidRPr="00000000">
        <w:rPr>
          <w:rtl w:val="0"/>
        </w:rPr>
        <w:t xml:space="preserve">Application Security</w:t>
      </w:r>
    </w:p>
    <w:p w:rsidR="00000000" w:rsidDel="00000000" w:rsidP="00000000" w:rsidRDefault="00000000" w:rsidRPr="00000000" w14:paraId="000000FB">
      <w:pPr>
        <w:numPr>
          <w:ilvl w:val="0"/>
          <w:numId w:val="5"/>
        </w:numPr>
        <w:spacing w:after="0" w:before="280" w:lineRule="auto"/>
        <w:ind w:left="720" w:hanging="360"/>
        <w:jc w:val="left"/>
        <w:rPr>
          <w:rFonts w:ascii="Times New Roman" w:cs="Times New Roman" w:eastAsia="Times New Roman" w:hAnsi="Times New Roman"/>
        </w:rPr>
      </w:pPr>
      <w:r w:rsidDel="00000000" w:rsidR="00000000" w:rsidRPr="00000000">
        <w:rPr>
          <w:rtl w:val="0"/>
        </w:rPr>
        <w:t xml:space="preserve">Atomic Jolt account passwords are hashed and salted. </w:t>
      </w:r>
    </w:p>
    <w:p w:rsidR="00000000" w:rsidDel="00000000" w:rsidP="00000000" w:rsidRDefault="00000000" w:rsidRPr="00000000" w14:paraId="000000FC">
      <w:pPr>
        <w:numPr>
          <w:ilvl w:val="0"/>
          <w:numId w:val="5"/>
        </w:numPr>
        <w:spacing w:after="0" w:before="0" w:lineRule="auto"/>
        <w:ind w:left="720" w:hanging="360"/>
        <w:jc w:val="left"/>
        <w:rPr>
          <w:rFonts w:ascii="Times New Roman" w:cs="Times New Roman" w:eastAsia="Times New Roman" w:hAnsi="Times New Roman"/>
        </w:rPr>
      </w:pPr>
      <w:r w:rsidDel="00000000" w:rsidR="00000000" w:rsidRPr="00000000">
        <w:rPr>
          <w:rtl w:val="0"/>
        </w:rPr>
        <w:t xml:space="preserve">All login pages (from the website and mobile website) pass data via TLS.</w:t>
      </w:r>
    </w:p>
    <w:p w:rsidR="00000000" w:rsidDel="00000000" w:rsidP="00000000" w:rsidRDefault="00000000" w:rsidRPr="00000000" w14:paraId="000000FD">
      <w:pPr>
        <w:numPr>
          <w:ilvl w:val="0"/>
          <w:numId w:val="5"/>
        </w:numPr>
        <w:spacing w:after="0" w:before="0" w:lineRule="auto"/>
        <w:ind w:left="720" w:hanging="360"/>
        <w:jc w:val="left"/>
        <w:rPr>
          <w:rFonts w:ascii="Times New Roman" w:cs="Times New Roman" w:eastAsia="Times New Roman" w:hAnsi="Times New Roman"/>
        </w:rPr>
      </w:pPr>
      <w:r w:rsidDel="00000000" w:rsidR="00000000" w:rsidRPr="00000000">
        <w:rPr>
          <w:rtl w:val="0"/>
        </w:rPr>
        <w:t xml:space="preserve">Atomic Jolt applications are encrypted with TLS.</w:t>
      </w:r>
    </w:p>
    <w:p w:rsidR="00000000" w:rsidDel="00000000" w:rsidP="00000000" w:rsidRDefault="00000000" w:rsidRPr="00000000" w14:paraId="000000FE">
      <w:pPr>
        <w:numPr>
          <w:ilvl w:val="0"/>
          <w:numId w:val="5"/>
        </w:numPr>
        <w:spacing w:after="0" w:before="0" w:lineRule="auto"/>
        <w:ind w:left="720" w:hanging="360"/>
        <w:jc w:val="left"/>
        <w:rPr>
          <w:rFonts w:ascii="Times New Roman" w:cs="Times New Roman" w:eastAsia="Times New Roman" w:hAnsi="Times New Roman"/>
        </w:rPr>
      </w:pPr>
      <w:r w:rsidDel="00000000" w:rsidR="00000000" w:rsidRPr="00000000">
        <w:rPr>
          <w:rtl w:val="0"/>
        </w:rPr>
        <w:t xml:space="preserve">Login pages and logins via the Atomic Jolt API have brute force protection.</w:t>
      </w:r>
    </w:p>
    <w:p w:rsidR="00000000" w:rsidDel="00000000" w:rsidP="00000000" w:rsidRDefault="00000000" w:rsidRPr="00000000" w14:paraId="000000FF">
      <w:pPr>
        <w:numPr>
          <w:ilvl w:val="0"/>
          <w:numId w:val="5"/>
        </w:numPr>
        <w:spacing w:after="280" w:before="0" w:lineRule="auto"/>
        <w:ind w:left="720" w:hanging="360"/>
        <w:jc w:val="left"/>
        <w:rPr>
          <w:rFonts w:ascii="Times New Roman" w:cs="Times New Roman" w:eastAsia="Times New Roman" w:hAnsi="Times New Roman"/>
        </w:rPr>
      </w:pPr>
      <w:r w:rsidDel="00000000" w:rsidR="00000000" w:rsidRPr="00000000">
        <w:rPr>
          <w:rtl w:val="0"/>
        </w:rPr>
        <w:t xml:space="preserve">Regular external penetration tests are performed throughout the year using different vendors. The tests include high-level server penetration tests, in-depth testing for vulnerabilities inside the application, and social engineering drills. Monthly external vulnerability scans. Continual image vulnerability scans. Continual code security scans.</w:t>
      </w:r>
    </w:p>
    <w:p w:rsidR="00000000" w:rsidDel="00000000" w:rsidP="00000000" w:rsidRDefault="00000000" w:rsidRPr="00000000" w14:paraId="00000100">
      <w:pPr>
        <w:pStyle w:val="Heading2"/>
        <w:keepLines w:val="1"/>
        <w:spacing w:after="0" w:before="40" w:line="259" w:lineRule="auto"/>
        <w:ind w:left="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101">
      <w:pPr>
        <w:pStyle w:val="Heading2"/>
        <w:keepLines w:val="1"/>
        <w:spacing w:after="0" w:before="40" w:line="259" w:lineRule="auto"/>
        <w:ind w:left="0"/>
        <w:jc w:val="left"/>
        <w:rPr/>
      </w:pPr>
      <w:r w:rsidDel="00000000" w:rsidR="00000000" w:rsidRPr="00000000">
        <w:rPr>
          <w:rtl w:val="0"/>
        </w:rPr>
        <w:t xml:space="preserve">Information Security</w:t>
      </w:r>
    </w:p>
    <w:p w:rsidR="00000000" w:rsidDel="00000000" w:rsidP="00000000" w:rsidRDefault="00000000" w:rsidRPr="00000000" w14:paraId="00000102">
      <w:pPr>
        <w:pStyle w:val="Heading2"/>
        <w:keepLines w:val="1"/>
        <w:numPr>
          <w:ilvl w:val="0"/>
          <w:numId w:val="6"/>
        </w:numPr>
        <w:spacing w:after="0" w:before="40" w:line="259" w:lineRule="auto"/>
        <w:ind w:left="720" w:hanging="360"/>
        <w:jc w:val="left"/>
        <w:rPr>
          <w:rFonts w:ascii="Times New Roman" w:cs="Times New Roman" w:eastAsia="Times New Roman" w:hAnsi="Times New Roman"/>
        </w:rPr>
      </w:pPr>
      <w:r w:rsidDel="00000000" w:rsidR="00000000" w:rsidRPr="00000000">
        <w:rPr>
          <w:b w:val="0"/>
          <w:bCs w:val="0"/>
          <w:rtl w:val="0"/>
        </w:rPr>
        <w:t xml:space="preserve">Atomic Jolt has Endpoint Detection and Response (EDR) solution for laptops.</w:t>
      </w:r>
    </w:p>
    <w:p w:rsidR="00000000" w:rsidDel="00000000" w:rsidP="00000000" w:rsidRDefault="00000000" w:rsidRPr="00000000" w14:paraId="00000103">
      <w:pPr>
        <w:numPr>
          <w:ilvl w:val="0"/>
          <w:numId w:val="6"/>
        </w:numPr>
        <w:spacing w:after="160" w:before="0" w:line="259" w:lineRule="auto"/>
        <w:ind w:left="720" w:hanging="360"/>
        <w:jc w:val="left"/>
        <w:rPr>
          <w:rFonts w:ascii="Times New Roman" w:cs="Times New Roman" w:eastAsia="Times New Roman" w:hAnsi="Times New Roman"/>
        </w:rPr>
      </w:pPr>
      <w:r w:rsidDel="00000000" w:rsidR="00000000" w:rsidRPr="00000000">
        <w:rPr>
          <w:rtl w:val="0"/>
        </w:rPr>
        <w:t xml:space="preserve">The Infrastructure team controls the provisioning of the servers using templates that have a default configuration based on the expected usage.</w:t>
      </w:r>
    </w:p>
    <w:p w:rsidR="00000000" w:rsidDel="00000000" w:rsidP="00000000" w:rsidRDefault="00000000" w:rsidRPr="00000000" w14:paraId="00000104">
      <w:pPr>
        <w:pStyle w:val="Heading2"/>
        <w:keepLines w:val="1"/>
        <w:numPr>
          <w:ilvl w:val="0"/>
          <w:numId w:val="6"/>
        </w:numPr>
        <w:spacing w:after="0" w:before="40" w:line="259" w:lineRule="auto"/>
        <w:ind w:left="720" w:hanging="360"/>
        <w:jc w:val="left"/>
        <w:rPr>
          <w:rFonts w:ascii="Times New Roman" w:cs="Times New Roman" w:eastAsia="Times New Roman" w:hAnsi="Times New Roman"/>
        </w:rPr>
      </w:pPr>
      <w:r w:rsidDel="00000000" w:rsidR="00000000" w:rsidRPr="00000000">
        <w:rPr>
          <w:b w:val="0"/>
          <w:bCs w:val="0"/>
          <w:rtl w:val="0"/>
        </w:rPr>
        <w:t xml:space="preserve">Atomic Jolt regularly patches its servers and performs vulnerability scanning on code during development as well as dynamic web scanning on the resulting applications.</w:t>
      </w:r>
    </w:p>
    <w:p w:rsidR="00000000" w:rsidDel="00000000" w:rsidP="00000000" w:rsidRDefault="00000000" w:rsidRPr="00000000" w14:paraId="00000105">
      <w:pPr>
        <w:pStyle w:val="Heading2"/>
        <w:keepLines w:val="1"/>
        <w:numPr>
          <w:ilvl w:val="0"/>
          <w:numId w:val="6"/>
        </w:numPr>
        <w:spacing w:after="0" w:before="40" w:line="259" w:lineRule="auto"/>
        <w:ind w:left="720" w:hanging="360"/>
        <w:jc w:val="left"/>
        <w:rPr>
          <w:rFonts w:ascii="Times New Roman" w:cs="Times New Roman" w:eastAsia="Times New Roman" w:hAnsi="Times New Roman"/>
        </w:rPr>
      </w:pPr>
      <w:r w:rsidDel="00000000" w:rsidR="00000000" w:rsidRPr="00000000">
        <w:rPr>
          <w:b w:val="0"/>
          <w:bCs w:val="0"/>
          <w:rtl w:val="0"/>
        </w:rPr>
        <w:t xml:space="preserve">Logging - Events are logged using AWS and other tools including Cloudtrail, Prometheus, Loki and Fluentbit. </w:t>
      </w:r>
    </w:p>
    <w:p w:rsidR="00000000" w:rsidDel="00000000" w:rsidP="00000000" w:rsidRDefault="00000000" w:rsidRPr="00000000" w14:paraId="00000106">
      <w:pPr>
        <w:numPr>
          <w:ilvl w:val="0"/>
          <w:numId w:val="6"/>
        </w:numPr>
        <w:spacing w:after="0" w:before="0" w:lineRule="auto"/>
        <w:ind w:left="720" w:hanging="360"/>
        <w:jc w:val="left"/>
        <w:rPr>
          <w:rFonts w:ascii="Times New Roman" w:cs="Times New Roman" w:eastAsia="Times New Roman" w:hAnsi="Times New Roman"/>
        </w:rPr>
      </w:pPr>
      <w:r w:rsidDel="00000000" w:rsidR="00000000" w:rsidRPr="00000000">
        <w:rPr>
          <w:rtl w:val="0"/>
        </w:rPr>
        <w:t xml:space="preserve">Our production network environment is segmented and centrally monitored.</w:t>
      </w:r>
    </w:p>
    <w:p w:rsidR="00000000" w:rsidDel="00000000" w:rsidP="00000000" w:rsidRDefault="00000000" w:rsidRPr="00000000" w14:paraId="00000107">
      <w:pPr>
        <w:numPr>
          <w:ilvl w:val="0"/>
          <w:numId w:val="6"/>
        </w:numPr>
        <w:spacing w:after="280" w:before="0" w:lineRule="auto"/>
        <w:ind w:left="720" w:hanging="360"/>
        <w:jc w:val="left"/>
        <w:rPr>
          <w:rFonts w:ascii="Times New Roman" w:cs="Times New Roman" w:eastAsia="Times New Roman" w:hAnsi="Times New Roman"/>
        </w:rPr>
      </w:pPr>
      <w:r w:rsidDel="00000000" w:rsidR="00000000" w:rsidRPr="00000000">
        <w:rPr>
          <w:rtl w:val="0"/>
        </w:rPr>
        <w:t xml:space="preserve">We have a dedicated internal security team that constantly monitors our environment for vulnerabilities. We engage with an independent third party to perform annual penetration testing exercises on our environment. Our security team includes OSCP and CISSP certified members.</w:t>
      </w:r>
    </w:p>
    <w:p w:rsidR="00000000" w:rsidDel="00000000" w:rsidP="00000000" w:rsidRDefault="00000000" w:rsidRPr="00000000" w14:paraId="00000108">
      <w:pPr>
        <w:pStyle w:val="Heading2"/>
        <w:keepLines w:val="1"/>
        <w:spacing w:after="0" w:before="40" w:line="259" w:lineRule="auto"/>
        <w:ind w:left="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109">
      <w:pPr>
        <w:pStyle w:val="Heading2"/>
        <w:keepLines w:val="1"/>
        <w:spacing w:after="0" w:before="40" w:line="259" w:lineRule="auto"/>
        <w:ind w:left="0"/>
        <w:jc w:val="left"/>
        <w:rPr/>
      </w:pPr>
      <w:r w:rsidDel="00000000" w:rsidR="00000000" w:rsidRPr="00000000">
        <w:rPr>
          <w:rtl w:val="0"/>
        </w:rPr>
        <w:t xml:space="preserve">Incident Response</w:t>
      </w:r>
    </w:p>
    <w:p w:rsidR="00000000" w:rsidDel="00000000" w:rsidP="00000000" w:rsidRDefault="00000000" w:rsidRPr="00000000" w14:paraId="0000010A">
      <w:pPr>
        <w:pStyle w:val="Heading2"/>
        <w:keepLines w:val="1"/>
        <w:spacing w:after="0" w:before="40" w:line="259" w:lineRule="auto"/>
        <w:ind w:left="0"/>
        <w:jc w:val="left"/>
        <w:rPr>
          <w:b w:val="0"/>
          <w:bCs w:val="0"/>
        </w:rPr>
      </w:pPr>
      <w:r w:rsidDel="00000000" w:rsidR="00000000" w:rsidRPr="00000000">
        <w:rPr>
          <w:b w:val="0"/>
          <w:bCs w:val="0"/>
          <w:rtl w:val="0"/>
        </w:rPr>
        <w:t xml:space="preserve">Atomic Jolt has a robust Incident Response Plan and playbook that consists of a breadth of possible losses of integrity, confidentiality and availability. The plan is tested at least annually. In the event of a privacy breach, Atomic Jolt has a notification plan to ensure all parties receive the appropriate communication. </w:t>
      </w:r>
    </w:p>
    <w:p w:rsidR="00000000" w:rsidDel="00000000" w:rsidP="00000000" w:rsidRDefault="00000000" w:rsidRPr="00000000" w14:paraId="0000010B">
      <w:pPr>
        <w:pStyle w:val="Heading2"/>
        <w:keepLines w:val="1"/>
        <w:spacing w:after="0" w:before="40" w:line="259" w:lineRule="auto"/>
        <w:ind w:left="0"/>
        <w:jc w:val="left"/>
        <w:rPr>
          <w:rFonts w:ascii="Calibri" w:cs="Calibri" w:eastAsia="Calibri" w:hAnsi="Calibri"/>
          <w:b w:val="0"/>
          <w:bCs w:val="0"/>
          <w:color w:val="2f5496"/>
        </w:rPr>
      </w:pPr>
      <w:r w:rsidDel="00000000" w:rsidR="00000000" w:rsidRPr="00000000">
        <w:rPr>
          <w:rtl w:val="0"/>
        </w:rPr>
      </w:r>
    </w:p>
    <w:p w:rsidR="00000000" w:rsidDel="00000000" w:rsidP="00000000" w:rsidRDefault="00000000" w:rsidRPr="00000000" w14:paraId="0000010C">
      <w:pPr>
        <w:pStyle w:val="Heading2"/>
        <w:keepLines w:val="1"/>
        <w:spacing w:after="0" w:before="40" w:line="259" w:lineRule="auto"/>
        <w:ind w:left="0"/>
        <w:jc w:val="left"/>
        <w:rPr/>
      </w:pPr>
      <w:r w:rsidDel="00000000" w:rsidR="00000000" w:rsidRPr="00000000">
        <w:rPr>
          <w:rtl w:val="0"/>
        </w:rPr>
        <w:t xml:space="preserve">Governance</w:t>
      </w:r>
    </w:p>
    <w:p w:rsidR="00000000" w:rsidDel="00000000" w:rsidP="00000000" w:rsidRDefault="00000000" w:rsidRPr="00000000" w14:paraId="0000010D">
      <w:pPr>
        <w:spacing w:after="160" w:before="0" w:line="259" w:lineRule="auto"/>
        <w:jc w:val="left"/>
        <w:rPr/>
      </w:pPr>
      <w:r w:rsidDel="00000000" w:rsidR="00000000" w:rsidRPr="00000000">
        <w:rPr>
          <w:rtl w:val="0"/>
        </w:rPr>
        <w:t xml:space="preserve">Information Security is governed by multiple policies and procedures including an overarching Information Security Policy. </w:t>
      </w:r>
    </w:p>
    <w:p w:rsidR="00000000" w:rsidDel="00000000" w:rsidP="00000000" w:rsidRDefault="00000000" w:rsidRPr="00000000" w14:paraId="0000010E">
      <w:pPr>
        <w:pStyle w:val="Heading2"/>
        <w:keepLines w:val="1"/>
        <w:numPr>
          <w:ilvl w:val="0"/>
          <w:numId w:val="7"/>
        </w:numPr>
        <w:spacing w:after="0" w:before="40" w:line="259" w:lineRule="auto"/>
        <w:ind w:left="720" w:hanging="360"/>
        <w:jc w:val="left"/>
        <w:rPr>
          <w:b w:val="1"/>
          <w:bCs w:val="1"/>
        </w:rPr>
      </w:pPr>
      <w:r w:rsidDel="00000000" w:rsidR="00000000" w:rsidRPr="00000000">
        <w:rPr>
          <w:b w:val="0"/>
          <w:bCs w:val="0"/>
          <w:rtl w:val="0"/>
        </w:rPr>
        <w:t xml:space="preserve">Atomic Jolt continuously trains employees on best security practices, including how to identify social engineering, phishing scams, and hackers.</w:t>
      </w:r>
      <w:r w:rsidDel="00000000" w:rsidR="00000000" w:rsidRPr="00000000">
        <w:rPr>
          <w:rtl w:val="0"/>
        </w:rPr>
      </w:r>
    </w:p>
    <w:p w:rsidR="00000000" w:rsidDel="00000000" w:rsidP="00000000" w:rsidRDefault="00000000" w:rsidRPr="00000000" w14:paraId="0000010F">
      <w:pPr>
        <w:numPr>
          <w:ilvl w:val="0"/>
          <w:numId w:val="7"/>
        </w:numPr>
        <w:spacing w:after="0" w:before="0" w:lineRule="auto"/>
        <w:ind w:left="720" w:hanging="360"/>
        <w:jc w:val="left"/>
      </w:pPr>
      <w:r w:rsidDel="00000000" w:rsidR="00000000" w:rsidRPr="00000000">
        <w:rPr>
          <w:rtl w:val="0"/>
        </w:rPr>
        <w:t xml:space="preserve">Employees on teams that have access to customer data (such as tech support and our engineers) undergo criminal history and credit background checks prior to employment.</w:t>
      </w:r>
    </w:p>
    <w:p w:rsidR="00000000" w:rsidDel="00000000" w:rsidP="00000000" w:rsidRDefault="00000000" w:rsidRPr="00000000" w14:paraId="00000110">
      <w:pPr>
        <w:numPr>
          <w:ilvl w:val="0"/>
          <w:numId w:val="7"/>
        </w:numPr>
        <w:spacing w:after="280" w:before="0" w:lineRule="auto"/>
        <w:ind w:left="720" w:hanging="360"/>
        <w:jc w:val="left"/>
      </w:pPr>
      <w:r w:rsidDel="00000000" w:rsidR="00000000" w:rsidRPr="00000000">
        <w:rPr>
          <w:rtl w:val="0"/>
        </w:rPr>
        <w:t xml:space="preserve">All employees sign a Privacy Safeguard Agreement outlining their responsibility in protecting customer data.</w:t>
      </w:r>
    </w:p>
    <w:p w:rsidR="00000000" w:rsidDel="00000000" w:rsidP="00000000" w:rsidRDefault="00000000" w:rsidRPr="00000000" w14:paraId="00000111">
      <w:pPr>
        <w:numPr>
          <w:ilvl w:val="0"/>
          <w:numId w:val="7"/>
        </w:numPr>
        <w:spacing w:after="280" w:before="0" w:lineRule="auto"/>
        <w:ind w:left="720" w:hanging="360"/>
        <w:jc w:val="left"/>
      </w:pPr>
      <w:r w:rsidDel="00000000" w:rsidR="00000000" w:rsidRPr="00000000">
        <w:rPr>
          <w:rtl w:val="0"/>
        </w:rPr>
        <w:t xml:space="preserve">Annual third-party audits are performed against AICPA's Trust Service Criteria for Security, Confidentiality, Processing Integrity, Availability and Privacy.</w:t>
      </w:r>
    </w:p>
    <w:p w:rsidR="00000000" w:rsidDel="00000000" w:rsidP="00000000" w:rsidRDefault="00000000" w:rsidRPr="00000000" w14:paraId="00000112">
      <w:pPr>
        <w:pStyle w:val="Heading2"/>
        <w:keepLines w:val="1"/>
        <w:spacing w:after="0" w:before="40" w:line="259" w:lineRule="auto"/>
        <w:ind w:left="720" w:firstLine="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113">
      <w:pPr>
        <w:pStyle w:val="Heading2"/>
        <w:keepLines w:val="1"/>
        <w:spacing w:after="0" w:before="40" w:line="259" w:lineRule="auto"/>
        <w:ind w:left="0"/>
        <w:jc w:val="left"/>
        <w:rPr>
          <w:rFonts w:ascii="Calibri" w:cs="Calibri" w:eastAsia="Calibri" w:hAnsi="Calibri"/>
          <w:color w:val="2f5496"/>
        </w:rPr>
      </w:pPr>
      <w:r w:rsidDel="00000000" w:rsidR="00000000" w:rsidRPr="00000000">
        <w:rPr>
          <w:rtl w:val="0"/>
        </w:rPr>
      </w:r>
    </w:p>
    <w:p w:rsidR="00000000" w:rsidDel="00000000" w:rsidP="00000000" w:rsidRDefault="00000000" w:rsidRPr="00000000" w14:paraId="00000114">
      <w:pPr>
        <w:pStyle w:val="Heading2"/>
        <w:keepLines w:val="1"/>
        <w:spacing w:after="0" w:before="40" w:line="259" w:lineRule="auto"/>
        <w:ind w:left="0"/>
        <w:jc w:val="left"/>
        <w:rPr/>
      </w:pPr>
      <w:r w:rsidDel="00000000" w:rsidR="00000000" w:rsidRPr="00000000">
        <w:rPr>
          <w:rtl w:val="0"/>
        </w:rPr>
        <w:t xml:space="preserve">Third Party Due Diligence</w:t>
      </w:r>
    </w:p>
    <w:p w:rsidR="00000000" w:rsidDel="00000000" w:rsidP="00000000" w:rsidRDefault="00000000" w:rsidRPr="00000000" w14:paraId="00000115">
      <w:pPr>
        <w:jc w:val="left"/>
        <w:rPr>
          <w:b w:val="1"/>
          <w:bCs w:val="1"/>
        </w:rPr>
      </w:pPr>
      <w:r w:rsidDel="00000000" w:rsidR="00000000" w:rsidRPr="00000000">
        <w:rPr>
          <w:rtl w:val="0"/>
        </w:rPr>
        <w:t xml:space="preserve">All third parties, or sub-processors, are assessed to meet or exceed the security standards set by Atomic Jolt. Sub-processors contracts and/or Terms and Conditions include privacy language which stipulate obligations for breach notification.</w:t>
      </w:r>
      <w:r w:rsidDel="00000000" w:rsidR="00000000" w:rsidRPr="00000000">
        <w:rPr>
          <w:rtl w:val="0"/>
        </w:rPr>
      </w:r>
    </w:p>
    <w:p w:rsidR="00000000" w:rsidDel="00000000" w:rsidP="00000000" w:rsidRDefault="00000000" w:rsidRPr="00000000" w14:paraId="00000116">
      <w:pPr>
        <w:jc w:val="left"/>
        <w:rPr>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117">
      <w:pPr>
        <w:rPr>
          <w:b w:val="1"/>
          <w:bCs w:val="1"/>
          <w:u w:val="single"/>
        </w:rPr>
      </w:pPr>
      <w:r w:rsidDel="00000000" w:rsidR="00000000" w:rsidRPr="00000000">
        <w:rPr>
          <w:b w:val="1"/>
          <w:bCs w:val="1"/>
          <w:u w:val="single"/>
          <w:rtl w:val="0"/>
        </w:rPr>
        <w:t xml:space="preserve">ANNEX IV: LIST OF SUB-PROCESSORS</w:t>
      </w:r>
    </w:p>
    <w:p w:rsidR="00000000" w:rsidDel="00000000" w:rsidP="00000000" w:rsidRDefault="00000000" w:rsidRPr="00000000" w14:paraId="00000118">
      <w:pPr>
        <w:rPr/>
      </w:pPr>
      <w:r w:rsidDel="00000000" w:rsidR="00000000" w:rsidRPr="00000000">
        <w:rPr>
          <w:rtl w:val="0"/>
        </w:rPr>
        <w:t xml:space="preserve">EXPLANATORY NOTE: </w:t>
      </w:r>
    </w:p>
    <w:p w:rsidR="00000000" w:rsidDel="00000000" w:rsidP="00000000" w:rsidRDefault="00000000" w:rsidRPr="00000000" w14:paraId="00000119">
      <w:pPr>
        <w:rPr/>
      </w:pPr>
      <w:r w:rsidDel="00000000" w:rsidR="00000000" w:rsidRPr="00000000">
        <w:rPr>
          <w:rtl w:val="0"/>
        </w:rPr>
        <w:t xml:space="preserve">For the purposes of Clause 7.7(a), the Parties confirm that the general written authorisation of sub-processors (Option 2) applies.</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The controller grants the processor general authorisation to engage the sub-processors on the agreed list published at:</w:t>
      </w:r>
    </w:p>
    <w:p w:rsidR="00000000" w:rsidDel="00000000" w:rsidP="00000000" w:rsidRDefault="00000000" w:rsidRPr="00000000" w14:paraId="0000011B">
      <w:pPr>
        <w:rPr/>
      </w:pPr>
      <w:r w:rsidDel="00000000" w:rsidR="00000000" w:rsidRPr="00000000">
        <w:rPr>
          <w:rtl w:val="0"/>
        </w:rPr>
        <w:t xml:space="preserve">https://www.atomicjolt.com/legal/sub-processors</w:t>
      </w:r>
      <w:r w:rsidDel="00000000" w:rsidR="00000000" w:rsidRPr="00000000">
        <w:rPr>
          <w:rtl w:val="0"/>
        </w:rPr>
        <w:t xml:space="preserve">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b w:val="1"/>
          <w:bCs w:val="1"/>
          <w:u w:val="single"/>
        </w:rPr>
      </w:pPr>
      <w:r w:rsidDel="00000000" w:rsidR="00000000" w:rsidRPr="00000000">
        <w:rPr>
          <w:rtl w:val="0"/>
        </w:rPr>
      </w:r>
    </w:p>
    <w:p w:rsidR="00000000" w:rsidDel="00000000" w:rsidP="00000000" w:rsidRDefault="00000000" w:rsidRPr="00000000" w14:paraId="0000011E">
      <w:pPr>
        <w:rPr>
          <w:b w:val="1"/>
          <w:bCs w:val="1"/>
          <w:u w:val="single"/>
        </w:rPr>
      </w:pPr>
      <w:r w:rsidDel="00000000" w:rsidR="00000000" w:rsidRPr="00000000">
        <w:rPr>
          <w:rtl w:val="0"/>
        </w:rPr>
      </w:r>
    </w:p>
    <w:p w:rsidR="00000000" w:rsidDel="00000000" w:rsidP="00000000" w:rsidRDefault="00000000" w:rsidRPr="00000000" w14:paraId="0000011F">
      <w:pPr>
        <w:rPr>
          <w:b w:val="1"/>
          <w:bCs w:val="1"/>
          <w:u w:val="singl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sectPr>
      <w:footerReference r:id="rId20" w:type="default"/>
      <w:footerReference r:id="rId21" w:type="first"/>
      <w:type w:val="nextPage"/>
      <w:pgSz w:h="16839" w:w="11907" w:orient="portrait"/>
      <w:pgMar w:bottom="1134" w:top="1134" w:left="1417" w:right="141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 w:val="right" w:leader="none" w:pos="9921"/>
      </w:tabs>
      <w:spacing w:after="0" w:before="360" w:line="240" w:lineRule="auto"/>
      <w:ind w:left="-850" w:right="-8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 w:val="right" w:leader="none" w:pos="9921"/>
      </w:tabs>
      <w:spacing w:after="0" w:before="360" w:line="240" w:lineRule="auto"/>
      <w:ind w:left="-850" w:right="-850" w:firstLine="0"/>
      <w:jc w:val="left"/>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EN</w:t>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EN</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 w:val="right" w:leader="none" w:pos="9921"/>
      </w:tabs>
      <w:spacing w:after="0" w:before="360" w:line="240" w:lineRule="auto"/>
      <w:ind w:left="-850" w:right="-8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 w:val="right" w:leader="none" w:pos="9921"/>
      </w:tabs>
      <w:spacing w:after="0" w:before="360" w:line="240" w:lineRule="auto"/>
      <w:ind w:left="-850" w:right="-850" w:firstLine="0"/>
      <w:jc w:val="left"/>
      <w:rPr>
        <w:rFonts w:ascii="Arial" w:cs="Arial" w:eastAsia="Arial" w:hAnsi="Arial"/>
        <w:b w:val="1"/>
        <w:bCs w:val="1"/>
        <w:i w:val="0"/>
        <w:iCs w:val="0"/>
        <w:smallCaps w:val="0"/>
        <w:strike w:val="0"/>
        <w:color w:val="000000"/>
        <w:sz w:val="48"/>
        <w:szCs w:val="4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EN</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r w:rsidDel="00000000" w:rsidR="00000000" w:rsidRPr="00000000">
      <w:rPr>
        <w:rFonts w:ascii="Arial" w:cs="Arial" w:eastAsia="Arial" w:hAnsi="Arial"/>
        <w:b w:val="1"/>
        <w:bCs w:val="1"/>
        <w:i w:val="0"/>
        <w:iCs w:val="0"/>
        <w:smallCaps w:val="0"/>
        <w:strike w:val="0"/>
        <w:color w:val="000000"/>
        <w:sz w:val="48"/>
        <w:szCs w:val="48"/>
        <w:u w:val="none"/>
        <w:shd w:fill="auto" w:val="clear"/>
        <w:vertAlign w:val="baseline"/>
        <w:rtl w:val="0"/>
      </w:rPr>
      <w:t xml:space="preserve">EN</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 w:val="right" w:leader="none" w:pos="9921"/>
      </w:tabs>
      <w:spacing w:after="0" w:before="360" w:line="240" w:lineRule="auto"/>
      <w:ind w:left="-850" w:right="-8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71"/>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850" w:hanging="850"/>
      </w:pPr>
      <w:rPr/>
    </w:lvl>
    <w:lvl w:ilvl="1">
      <w:start w:val="1"/>
      <w:numFmt w:val="bullet"/>
      <w:lvlText w:val="○"/>
      <w:lvlJc w:val="left"/>
      <w:pPr>
        <w:ind w:left="850" w:hanging="850"/>
      </w:pPr>
      <w:rPr/>
    </w:lvl>
    <w:lvl w:ilvl="2">
      <w:start w:val="1"/>
      <w:numFmt w:val="bullet"/>
      <w:lvlText w:val="■"/>
      <w:lvlJc w:val="left"/>
      <w:pPr>
        <w:ind w:left="1417" w:hanging="567.0000000000001"/>
      </w:pPr>
      <w:rPr/>
    </w:lvl>
    <w:lvl w:ilvl="3">
      <w:start w:val="1"/>
      <w:numFmt w:val="bullet"/>
      <w:lvlText w:val="●"/>
      <w:lvlJc w:val="left"/>
      <w:pPr>
        <w:ind w:left="1417" w:hanging="567.0000000000001"/>
      </w:pPr>
      <w:rPr/>
    </w:lvl>
    <w:lvl w:ilvl="4">
      <w:start w:val="1"/>
      <w:numFmt w:val="bullet"/>
      <w:lvlText w:val="○"/>
      <w:lvlJc w:val="left"/>
      <w:pPr>
        <w:ind w:left="1984" w:hanging="567"/>
      </w:pPr>
      <w:rPr/>
    </w:lvl>
    <w:lvl w:ilvl="5">
      <w:start w:val="1"/>
      <w:numFmt w:val="bullet"/>
      <w:lvlText w:val="■"/>
      <w:lvlJc w:val="left"/>
      <w:pPr>
        <w:ind w:left="1984" w:hanging="567"/>
      </w:pPr>
      <w:rPr/>
    </w:lvl>
    <w:lvl w:ilvl="6">
      <w:start w:val="1"/>
      <w:numFmt w:val="bullet"/>
      <w:lvlText w:val="●"/>
      <w:lvlJc w:val="left"/>
      <w:pPr>
        <w:ind w:left="2551" w:hanging="567.0000000000002"/>
      </w:pPr>
      <w:rPr/>
    </w:lvl>
    <w:lvl w:ilvl="7">
      <w:start w:val="1"/>
      <w:numFmt w:val="bullet"/>
      <w:lvlText w:val="○"/>
      <w:lvlJc w:val="left"/>
      <w:pPr>
        <w:ind w:left="2551" w:hanging="567.0000000000002"/>
      </w:pPr>
      <w:rPr/>
    </w:lvl>
    <w:lvl w:ilvl="8">
      <w:start w:val="1"/>
      <w:numFmt w:val="bullet"/>
      <w:lvlText w:val="■"/>
      <w:lvlJc w:val="left"/>
      <w:pPr>
        <w:ind w:left="3118" w:hanging="567"/>
      </w:pPr>
      <w:rPr/>
    </w:lvl>
  </w:abstractNum>
  <w:abstractNum w:abstractNumId="4">
    <w:lvl w:ilvl="0">
      <w:start w:val="1"/>
      <w:numFmt w:val="decimal"/>
      <w:lvlText w:val="(%1)"/>
      <w:lvlJc w:val="left"/>
      <w:pPr>
        <w:ind w:left="850" w:hanging="850"/>
      </w:pPr>
      <w:rPr/>
    </w:lvl>
    <w:lvl w:ilvl="1">
      <w:start w:val="1"/>
      <w:numFmt w:val="lowerLetter"/>
      <w:lvlText w:val="(%2)"/>
      <w:lvlJc w:val="left"/>
      <w:pPr>
        <w:ind w:left="850" w:hanging="850"/>
      </w:pPr>
      <w:rPr/>
    </w:lvl>
    <w:lvl w:ilvl="2">
      <w:start w:val="1"/>
      <w:numFmt w:val="decimal"/>
      <w:lvlText w:val="(%3)"/>
      <w:lvlJc w:val="left"/>
      <w:pPr>
        <w:ind w:left="1417" w:hanging="567.0000000000001"/>
      </w:pPr>
      <w:rPr/>
    </w:lvl>
    <w:lvl w:ilvl="3">
      <w:start w:val="1"/>
      <w:numFmt w:val="lowerLetter"/>
      <w:lvlText w:val="(%4)"/>
      <w:lvlJc w:val="left"/>
      <w:pPr>
        <w:ind w:left="1417" w:hanging="567.0000000000001"/>
      </w:pPr>
      <w:rPr/>
    </w:lvl>
    <w:lvl w:ilvl="4">
      <w:start w:val="1"/>
      <w:numFmt w:val="decimal"/>
      <w:lvlText w:val="(%5)"/>
      <w:lvlJc w:val="left"/>
      <w:pPr>
        <w:ind w:left="1984" w:hanging="567"/>
      </w:pPr>
      <w:rPr/>
    </w:lvl>
    <w:lvl w:ilvl="5">
      <w:start w:val="1"/>
      <w:numFmt w:val="lowerLetter"/>
      <w:lvlText w:val="(%6)"/>
      <w:lvlJc w:val="left"/>
      <w:pPr>
        <w:ind w:left="1984" w:hanging="567"/>
      </w:pPr>
      <w:rPr/>
    </w:lvl>
    <w:lvl w:ilvl="6">
      <w:start w:val="1"/>
      <w:numFmt w:val="decimal"/>
      <w:lvlText w:val="(%7)"/>
      <w:lvlJc w:val="left"/>
      <w:pPr>
        <w:ind w:left="2551" w:hanging="567.0000000000002"/>
      </w:pPr>
      <w:rPr/>
    </w:lvl>
    <w:lvl w:ilvl="7">
      <w:start w:val="1"/>
      <w:numFmt w:val="lowerLetter"/>
      <w:lvlText w:val="(%8)"/>
      <w:lvlJc w:val="left"/>
      <w:pPr>
        <w:ind w:left="2551" w:hanging="567.0000000000002"/>
      </w:pPr>
      <w:rPr/>
    </w:lvl>
    <w:lvl w:ilvl="8">
      <w:start w:val="1"/>
      <w:numFmt w:val="lowerLetter"/>
      <w:lvlText w:val="(%9)"/>
      <w:lvlJc w:val="left"/>
      <w:pPr>
        <w:ind w:left="3118" w:hanging="567"/>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1209"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850" w:hanging="850"/>
      </w:pPr>
      <w:rPr/>
    </w:lvl>
    <w:lvl w:ilvl="1">
      <w:start w:val="1"/>
      <w:numFmt w:val="lowerLetter"/>
      <w:lvlText w:val="(%2)"/>
      <w:lvlJc w:val="left"/>
      <w:pPr>
        <w:ind w:left="850" w:hanging="850"/>
      </w:pPr>
      <w:rPr/>
    </w:lvl>
    <w:lvl w:ilvl="2">
      <w:start w:val="1"/>
      <w:numFmt w:val="decimal"/>
      <w:lvlText w:val="(%3)"/>
      <w:lvlJc w:val="left"/>
      <w:pPr>
        <w:ind w:left="1417" w:hanging="567.0000000000001"/>
      </w:pPr>
      <w:rPr/>
    </w:lvl>
    <w:lvl w:ilvl="3">
      <w:start w:val="1"/>
      <w:numFmt w:val="lowerLetter"/>
      <w:lvlText w:val="(%4)"/>
      <w:lvlJc w:val="left"/>
      <w:pPr>
        <w:ind w:left="1417" w:hanging="567.0000000000001"/>
      </w:pPr>
      <w:rPr/>
    </w:lvl>
    <w:lvl w:ilvl="4">
      <w:start w:val="1"/>
      <w:numFmt w:val="decimal"/>
      <w:lvlText w:val="(%5)"/>
      <w:lvlJc w:val="left"/>
      <w:pPr>
        <w:ind w:left="1984" w:hanging="567"/>
      </w:pPr>
      <w:rPr/>
    </w:lvl>
    <w:lvl w:ilvl="5">
      <w:start w:val="1"/>
      <w:numFmt w:val="lowerLetter"/>
      <w:lvlText w:val="(%6)"/>
      <w:lvlJc w:val="left"/>
      <w:pPr>
        <w:ind w:left="1984" w:hanging="567"/>
      </w:pPr>
      <w:rPr/>
    </w:lvl>
    <w:lvl w:ilvl="6">
      <w:start w:val="1"/>
      <w:numFmt w:val="decimal"/>
      <w:lvlText w:val="(%7)"/>
      <w:lvlJc w:val="left"/>
      <w:pPr>
        <w:ind w:left="2551" w:hanging="567.0000000000002"/>
      </w:pPr>
      <w:rPr/>
    </w:lvl>
    <w:lvl w:ilvl="7">
      <w:start w:val="1"/>
      <w:numFmt w:val="lowerLetter"/>
      <w:lvlText w:val="(%8)"/>
      <w:lvlJc w:val="left"/>
      <w:pPr>
        <w:ind w:left="2551" w:hanging="567.0000000000002"/>
      </w:pPr>
      <w:rPr/>
    </w:lvl>
    <w:lvl w:ilvl="8">
      <w:start w:val="1"/>
      <w:numFmt w:val="lowerLetter"/>
      <w:lvlText w:val="(%9)"/>
      <w:lvlJc w:val="left"/>
      <w:pPr>
        <w:ind w:left="3118" w:hanging="567"/>
      </w:pPr>
      <w:rPr/>
    </w:lvl>
  </w:abstractNum>
  <w:abstractNum w:abstractNumId="8">
    <w:lvl w:ilvl="0">
      <w:start w:val="1"/>
      <w:numFmt w:val="decimal"/>
      <w:lvlText w:val="(%1)"/>
      <w:lvlJc w:val="left"/>
      <w:pPr>
        <w:ind w:left="850" w:hanging="850"/>
      </w:pPr>
      <w:rPr/>
    </w:lvl>
    <w:lvl w:ilvl="1">
      <w:start w:val="1"/>
      <w:numFmt w:val="lowerLetter"/>
      <w:lvlText w:val="(%2)"/>
      <w:lvlJc w:val="left"/>
      <w:pPr>
        <w:ind w:left="850" w:hanging="850"/>
      </w:pPr>
      <w:rPr/>
    </w:lvl>
    <w:lvl w:ilvl="2">
      <w:start w:val="1"/>
      <w:numFmt w:val="decimal"/>
      <w:lvlText w:val="(%3)"/>
      <w:lvlJc w:val="left"/>
      <w:pPr>
        <w:ind w:left="1417" w:hanging="567.0000000000001"/>
      </w:pPr>
      <w:rPr/>
    </w:lvl>
    <w:lvl w:ilvl="3">
      <w:start w:val="1"/>
      <w:numFmt w:val="lowerLetter"/>
      <w:lvlText w:val="(%4)"/>
      <w:lvlJc w:val="left"/>
      <w:pPr>
        <w:ind w:left="1417" w:hanging="567.0000000000001"/>
      </w:pPr>
      <w:rPr/>
    </w:lvl>
    <w:lvl w:ilvl="4">
      <w:start w:val="1"/>
      <w:numFmt w:val="decimal"/>
      <w:lvlText w:val="(%5)"/>
      <w:lvlJc w:val="left"/>
      <w:pPr>
        <w:ind w:left="1984" w:hanging="567"/>
      </w:pPr>
      <w:rPr/>
    </w:lvl>
    <w:lvl w:ilvl="5">
      <w:start w:val="1"/>
      <w:numFmt w:val="lowerLetter"/>
      <w:lvlText w:val="(%6)"/>
      <w:lvlJc w:val="left"/>
      <w:pPr>
        <w:ind w:left="1984" w:hanging="567"/>
      </w:pPr>
      <w:rPr/>
    </w:lvl>
    <w:lvl w:ilvl="6">
      <w:start w:val="1"/>
      <w:numFmt w:val="decimal"/>
      <w:lvlText w:val="(%7)"/>
      <w:lvlJc w:val="left"/>
      <w:pPr>
        <w:ind w:left="2551" w:hanging="567.0000000000002"/>
      </w:pPr>
      <w:rPr/>
    </w:lvl>
    <w:lvl w:ilvl="7">
      <w:start w:val="1"/>
      <w:numFmt w:val="lowerLetter"/>
      <w:lvlText w:val="(%8)"/>
      <w:lvlJc w:val="left"/>
      <w:pPr>
        <w:ind w:left="2551" w:hanging="567.0000000000002"/>
      </w:pPr>
      <w:rPr/>
    </w:lvl>
    <w:lvl w:ilvl="8">
      <w:start w:val="1"/>
      <w:numFmt w:val="lowerLetter"/>
      <w:lvlText w:val="(%9)"/>
      <w:lvlJc w:val="left"/>
      <w:pPr>
        <w:ind w:left="3118" w:hanging="567"/>
      </w:pPr>
      <w:rPr/>
    </w:lvl>
  </w:abstractNum>
  <w:abstractNum w:abstractNumId="9">
    <w:lvl w:ilvl="0">
      <w:start w:val="1"/>
      <w:numFmt w:val="decimal"/>
      <w:lvlText w:val="(%1)"/>
      <w:lvlJc w:val="left"/>
      <w:pPr>
        <w:ind w:left="850" w:hanging="850"/>
      </w:pPr>
      <w:rPr/>
    </w:lvl>
    <w:lvl w:ilvl="1">
      <w:start w:val="1"/>
      <w:numFmt w:val="lowerLetter"/>
      <w:lvlText w:val="(%2)"/>
      <w:lvlJc w:val="left"/>
      <w:pPr>
        <w:ind w:left="850" w:hanging="850"/>
      </w:pPr>
      <w:rPr/>
    </w:lvl>
    <w:lvl w:ilvl="2">
      <w:start w:val="1"/>
      <w:numFmt w:val="decimal"/>
      <w:lvlText w:val="(%3)"/>
      <w:lvlJc w:val="left"/>
      <w:pPr>
        <w:ind w:left="1417" w:hanging="567.0000000000001"/>
      </w:pPr>
      <w:rPr/>
    </w:lvl>
    <w:lvl w:ilvl="3">
      <w:start w:val="1"/>
      <w:numFmt w:val="lowerLetter"/>
      <w:lvlText w:val="(%4)"/>
      <w:lvlJc w:val="left"/>
      <w:pPr>
        <w:ind w:left="1417" w:hanging="567.0000000000001"/>
      </w:pPr>
      <w:rPr/>
    </w:lvl>
    <w:lvl w:ilvl="4">
      <w:start w:val="1"/>
      <w:numFmt w:val="decimal"/>
      <w:lvlText w:val="(%5)"/>
      <w:lvlJc w:val="left"/>
      <w:pPr>
        <w:ind w:left="1984" w:hanging="567"/>
      </w:pPr>
      <w:rPr/>
    </w:lvl>
    <w:lvl w:ilvl="5">
      <w:start w:val="1"/>
      <w:numFmt w:val="lowerLetter"/>
      <w:lvlText w:val="(%6)"/>
      <w:lvlJc w:val="left"/>
      <w:pPr>
        <w:ind w:left="1984" w:hanging="567"/>
      </w:pPr>
      <w:rPr/>
    </w:lvl>
    <w:lvl w:ilvl="6">
      <w:start w:val="1"/>
      <w:numFmt w:val="decimal"/>
      <w:lvlText w:val="(%7)"/>
      <w:lvlJc w:val="left"/>
      <w:pPr>
        <w:ind w:left="2551" w:hanging="567.0000000000002"/>
      </w:pPr>
      <w:rPr/>
    </w:lvl>
    <w:lvl w:ilvl="7">
      <w:start w:val="1"/>
      <w:numFmt w:val="lowerLetter"/>
      <w:lvlText w:val="(%8)"/>
      <w:lvlJc w:val="left"/>
      <w:pPr>
        <w:ind w:left="2551" w:hanging="567.0000000000002"/>
      </w:pPr>
      <w:rPr/>
    </w:lvl>
    <w:lvl w:ilvl="8">
      <w:start w:val="1"/>
      <w:numFmt w:val="lowerLetter"/>
      <w:lvlText w:val="(%9)"/>
      <w:lvlJc w:val="left"/>
      <w:pPr>
        <w:ind w:left="3118" w:hanging="567"/>
      </w:pPr>
      <w:rPr/>
    </w:lvl>
  </w:abstractNum>
  <w:abstractNum w:abstractNumId="10">
    <w:lvl w:ilvl="0">
      <w:start w:val="1"/>
      <w:numFmt w:val="decimal"/>
      <w:lvlText w:val="(%1)"/>
      <w:lvlJc w:val="left"/>
      <w:pPr>
        <w:ind w:left="850" w:hanging="850"/>
      </w:pPr>
      <w:rPr/>
    </w:lvl>
    <w:lvl w:ilvl="1">
      <w:start w:val="1"/>
      <w:numFmt w:val="lowerLetter"/>
      <w:lvlText w:val="(%2)"/>
      <w:lvlJc w:val="left"/>
      <w:pPr>
        <w:ind w:left="850" w:hanging="850"/>
      </w:pPr>
      <w:rPr/>
    </w:lvl>
    <w:lvl w:ilvl="2">
      <w:start w:val="1"/>
      <w:numFmt w:val="decimal"/>
      <w:lvlText w:val="(%3)"/>
      <w:lvlJc w:val="left"/>
      <w:pPr>
        <w:ind w:left="1417" w:hanging="567.0000000000001"/>
      </w:pPr>
      <w:rPr/>
    </w:lvl>
    <w:lvl w:ilvl="3">
      <w:start w:val="1"/>
      <w:numFmt w:val="lowerLetter"/>
      <w:lvlText w:val="(%4)"/>
      <w:lvlJc w:val="left"/>
      <w:pPr>
        <w:ind w:left="1417" w:hanging="567.0000000000001"/>
      </w:pPr>
      <w:rPr/>
    </w:lvl>
    <w:lvl w:ilvl="4">
      <w:start w:val="1"/>
      <w:numFmt w:val="decimal"/>
      <w:lvlText w:val="(%5)"/>
      <w:lvlJc w:val="left"/>
      <w:pPr>
        <w:ind w:left="1984" w:hanging="567"/>
      </w:pPr>
      <w:rPr/>
    </w:lvl>
    <w:lvl w:ilvl="5">
      <w:start w:val="1"/>
      <w:numFmt w:val="lowerLetter"/>
      <w:lvlText w:val="(%6)"/>
      <w:lvlJc w:val="left"/>
      <w:pPr>
        <w:ind w:left="1984" w:hanging="567"/>
      </w:pPr>
      <w:rPr/>
    </w:lvl>
    <w:lvl w:ilvl="6">
      <w:start w:val="1"/>
      <w:numFmt w:val="decimal"/>
      <w:lvlText w:val="(%7)"/>
      <w:lvlJc w:val="left"/>
      <w:pPr>
        <w:ind w:left="2551" w:hanging="567.0000000000002"/>
      </w:pPr>
      <w:rPr/>
    </w:lvl>
    <w:lvl w:ilvl="7">
      <w:start w:val="1"/>
      <w:numFmt w:val="lowerLetter"/>
      <w:lvlText w:val="(%8)"/>
      <w:lvlJc w:val="left"/>
      <w:pPr>
        <w:ind w:left="2551" w:hanging="567.0000000000002"/>
      </w:pPr>
      <w:rPr/>
    </w:lvl>
    <w:lvl w:ilvl="8">
      <w:start w:val="1"/>
      <w:numFmt w:val="lowerLetter"/>
      <w:lvlText w:val="(%9)"/>
      <w:lvlJc w:val="left"/>
      <w:pPr>
        <w:ind w:left="3118" w:hanging="567"/>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after="120" w:before="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360" w:lineRule="auto"/>
      <w:ind w:left="850" w:hanging="850"/>
    </w:pPr>
    <w:rPr>
      <w:b w:val="1"/>
      <w:bCs w:val="1"/>
      <w:smallCaps w:val="1"/>
    </w:rPr>
  </w:style>
  <w:style w:type="paragraph" w:styleId="Heading2">
    <w:name w:val="heading 2"/>
    <w:basedOn w:val="Normal"/>
    <w:next w:val="Normal"/>
    <w:pPr>
      <w:keepNext w:val="1"/>
      <w:ind w:left="850" w:hanging="850"/>
    </w:pPr>
    <w:rPr>
      <w:b w:val="1"/>
      <w:bCs w:val="1"/>
    </w:rPr>
  </w:style>
  <w:style w:type="paragraph" w:styleId="Heading3">
    <w:name w:val="heading 3"/>
    <w:basedOn w:val="Normal"/>
    <w:next w:val="Normal"/>
    <w:pPr>
      <w:keepNext w:val="1"/>
      <w:ind w:left="850" w:hanging="850"/>
    </w:pPr>
    <w:rPr>
      <w:i w:val="1"/>
      <w:iCs w:val="1"/>
    </w:rPr>
  </w:style>
  <w:style w:type="paragraph" w:styleId="Heading4">
    <w:name w:val="heading 4"/>
    <w:basedOn w:val="Normal"/>
    <w:next w:val="Normal"/>
    <w:pPr>
      <w:keepNext w:val="1"/>
      <w:ind w:left="850" w:hanging="850"/>
    </w:pPr>
    <w:rPr/>
  </w:style>
  <w:style w:type="paragraph" w:styleId="Heading5">
    <w:name w:val="heading 5"/>
    <w:basedOn w:val="Normal"/>
    <w:next w:val="Normal"/>
    <w:pPr>
      <w:keepNext w:val="1"/>
      <w:ind w:left="1417" w:hanging="1417"/>
    </w:pPr>
    <w:rPr/>
  </w:style>
  <w:style w:type="paragraph" w:styleId="Heading6">
    <w:name w:val="heading 6"/>
    <w:basedOn w:val="Normal"/>
    <w:next w:val="Normal"/>
    <w:pPr>
      <w:keepNext w:val="1"/>
      <w:ind w:left="1417" w:hanging="1417"/>
    </w:pPr>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21" Type="http://schemas.openxmlformats.org/officeDocument/2006/relationships/footer" Target="footer5.xml"/><Relationship Id="rId13" Type="http://schemas.openxmlformats.org/officeDocument/2006/relationships/image" Target="media/image1.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yperlink" Target="http://en.wikipedia.org/wiki/Learning_management_system" TargetMode="External"/><Relationship Id="rId14" Type="http://schemas.openxmlformats.org/officeDocument/2006/relationships/hyperlink" Target="http://en.wikipedia.org/wiki/Learning_management_system" TargetMode="External"/><Relationship Id="rId17" Type="http://schemas.openxmlformats.org/officeDocument/2006/relationships/hyperlink" Target="http://www.canvaslms.com/" TargetMode="External"/><Relationship Id="rId16" Type="http://schemas.openxmlformats.org/officeDocument/2006/relationships/hyperlink" Target="http://www.canvaslms.com/" TargetMode="External"/><Relationship Id="rId5" Type="http://schemas.openxmlformats.org/officeDocument/2006/relationships/styles" Target="styles.xml"/><Relationship Id="rId19" Type="http://schemas.openxmlformats.org/officeDocument/2006/relationships/hyperlink" Target="http://www.gnu.org/licenses/agpl.html" TargetMode="External"/><Relationship Id="rId6" Type="http://schemas.openxmlformats.org/officeDocument/2006/relationships/customXml" Target="../customXML/item1.xml"/><Relationship Id="rId18" Type="http://schemas.openxmlformats.org/officeDocument/2006/relationships/hyperlink" Target="http://www.gnu.org/licenses/agpl.html" TargetMode="Externa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StTMKbuH6lPp4WOv/6o6/YyIQ==">CgMxLjAyDmguZXNzaDhyY25zcXJlOABqJQoUc3VnZ2VzdC5uZWp3NmxjcnpxeHQSDUphbWVzIENhcmJpbmVqJQoUc3VnZ2VzdC5qYWl3bWk2bXRvd3USDUphbWVzIENhcmJpbmVqJQoUc3VnZ2VzdC40N2JzeXBhZ3R1ZGUSDUphbWVzIENhcmJpbmVyITFJS0p3blV5VmFtRmp2bGZsMVR6d3ZDWnJYTmV3LUdPVA==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First annex">
    <vt:lpwstr>1</vt:lpwstr>
  </property>
  <property fmtid="{D5CDD505-2E9C-101B-9397-08002B2CF9AE}" pid="5" name="Last annex">
    <vt:lpwstr>1</vt:lpwstr>
  </property>
  <property fmtid="{D5CDD505-2E9C-101B-9397-08002B2CF9AE}" pid="6" name="Unique annex">
    <vt:lpwstr>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SG-068</vt:lpwstr>
  </property>
  <property fmtid="{D5CDD505-2E9C-101B-9397-08002B2CF9AE}" pid="10" name="DQCStatus">
    <vt:lpwstr>Green (DQC version 03)</vt:lpwstr>
  </property>
  <property fmtid="{D5CDD505-2E9C-101B-9397-08002B2CF9AE}" pid="11" name="Category">
    <vt:lpwstr>COM/ANNEX</vt:lpwstr>
  </property>
</Properties>
</file>