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after="0" w:line="240" w:lineRule="auto"/>
        <w:rPr>
          <w:rFonts w:ascii="Times New Roman" w:cs="Times New Roman" w:hAnsi="Times New Roman" w:eastAsia="Times New Roman"/>
          <w:kern w:val="0"/>
        </w:rPr>
      </w:pPr>
      <w:r>
        <w:rPr>
          <w:rFonts w:ascii="Times New Roman" w:hAnsi="Times New Roman"/>
          <w:b w:val="1"/>
          <w:bCs w:val="1"/>
          <w:kern w:val="36"/>
          <w:sz w:val="48"/>
          <w:szCs w:val="48"/>
          <w:rtl w:val="0"/>
          <w:lang w:val="en-US"/>
        </w:rPr>
        <w:t>Crossing the Threshold: The 10 Paradoxes of Harmonic Leadership (2025</w:t>
      </w:r>
      <w:r>
        <w:rPr>
          <w:rFonts w:ascii="Times New Roman" w:hAnsi="Times New Roman" w:hint="default"/>
          <w:b w:val="1"/>
          <w:bCs w:val="1"/>
          <w:kern w:val="36"/>
          <w:sz w:val="48"/>
          <w:szCs w:val="48"/>
          <w:rtl w:val="0"/>
          <w:lang w:val="en-US"/>
        </w:rPr>
        <w:t>–</w:t>
      </w:r>
      <w:r>
        <w:rPr>
          <w:rFonts w:ascii="Times New Roman" w:hAnsi="Times New Roman"/>
          <w:b w:val="1"/>
          <w:bCs w:val="1"/>
          <w:kern w:val="36"/>
          <w:sz w:val="48"/>
          <w:szCs w:val="48"/>
          <w:rtl w:val="0"/>
        </w:rPr>
        <w:t>2035)</w:t>
      </w:r>
    </w:p>
    <w:p>
      <w:pPr>
        <w:pStyle w:val="Body"/>
        <w:spacing w:after="0" w:line="240" w:lineRule="auto"/>
        <w:rPr>
          <w:rFonts w:ascii="Times New Roman" w:cs="Times New Roman" w:hAnsi="Times New Roman" w:eastAsia="Times New Roman"/>
          <w:kern w:val="0"/>
        </w:rPr>
      </w:pPr>
      <w:r>
        <w:rPr>
          <w:rFonts w:ascii="Times New Roman" w:cs="Times New Roman" w:hAnsi="Times New Roman" w:eastAsia="Times New Roman"/>
          <w:kern w:val="0"/>
        </w:rPr>
        <mc:AlternateContent>
          <mc:Choice Requires="wps">
            <w:drawing xmlns:a="http://schemas.openxmlformats.org/drawingml/2006/main">
              <wp:inline distT="0" distB="0" distL="0" distR="0">
                <wp:extent cx="5521605" cy="12700"/>
                <wp:effectExtent l="0" t="0" r="0" b="0"/>
                <wp:docPr id="1073741825" name="officeArt object" descr="Rectangle"/>
                <wp:cNvGraphicFramePr/>
                <a:graphic xmlns:a="http://schemas.openxmlformats.org/drawingml/2006/main">
                  <a:graphicData uri="http://schemas.microsoft.com/office/word/2010/wordprocessingShape">
                    <wps:wsp>
                      <wps:cNvSpPr/>
                      <wps:spPr>
                        <a:xfrm>
                          <a:off x="0" y="0"/>
                          <a:ext cx="5521605" cy="12700"/>
                        </a:xfrm>
                        <a:prstGeom prst="rect">
                          <a:avLst/>
                        </a:prstGeom>
                        <a:solidFill>
                          <a:srgbClr val="A0A0A0"/>
                        </a:solidFill>
                        <a:ln w="12700" cap="flat">
                          <a:noFill/>
                          <a:miter lim="400000"/>
                        </a:ln>
                        <a:effectLst/>
                      </wps:spPr>
                      <wps:bodyPr/>
                    </wps:wsp>
                  </a:graphicData>
                </a:graphic>
              </wp:inline>
            </w:drawing>
          </mc:Choice>
          <mc:Fallback>
            <w:pict>
              <v:rect id="_x0000_s1026" style="visibility:visible;width:434.8pt;height:1.0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pacing w:before="100" w:after="100" w:line="240" w:lineRule="auto"/>
        <w:outlineLvl w:val="1"/>
        <w:rPr>
          <w:rFonts w:ascii="Times New Roman" w:cs="Times New Roman" w:hAnsi="Times New Roman" w:eastAsia="Times New Roman"/>
          <w:b w:val="1"/>
          <w:bCs w:val="1"/>
          <w:kern w:val="0"/>
          <w:sz w:val="36"/>
          <w:szCs w:val="36"/>
        </w:rPr>
      </w:pPr>
      <w:r>
        <w:rPr>
          <w:rFonts w:ascii="Times New Roman" w:hAnsi="Times New Roman"/>
          <w:b w:val="1"/>
          <w:bCs w:val="1"/>
          <w:kern w:val="0"/>
          <w:sz w:val="36"/>
          <w:szCs w:val="36"/>
          <w:rtl w:val="0"/>
          <w:lang w:val="en-US"/>
        </w:rPr>
        <w:t>Introduction: Why the Future of Leadership Is Paradoxical</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The decade ahead is not one of simple choices but of paradoxes</w:t>
      </w:r>
      <w:r>
        <w:rPr>
          <w:rFonts w:ascii="Times New Roman" w:hAnsi="Times New Roman" w:hint="default"/>
          <w:kern w:val="0"/>
          <w:rtl w:val="0"/>
          <w:lang w:val="en-US"/>
        </w:rPr>
        <w:t>—</w:t>
      </w:r>
      <w:r>
        <w:rPr>
          <w:rFonts w:ascii="Times New Roman" w:hAnsi="Times New Roman"/>
          <w:kern w:val="0"/>
          <w:rtl w:val="0"/>
          <w:lang w:val="en-US"/>
        </w:rPr>
        <w:t>tensions that cannot be resolved by choosing one side over the other. As organizations transform into harmonic, syntropic, and regenerative forms, executives will encounter paradoxes as thresholds. They are initiations, demanding a shift from binary logic to harmonic integration. This e-book explores the ten most significant paradoxes leaders must face</w:t>
      </w:r>
      <w:r>
        <w:rPr>
          <w:rFonts w:ascii="Times New Roman" w:hAnsi="Times New Roman" w:hint="default"/>
          <w:kern w:val="0"/>
          <w:rtl w:val="0"/>
          <w:lang w:val="en-US"/>
        </w:rPr>
        <w:t>—</w:t>
      </w:r>
      <w:r>
        <w:rPr>
          <w:rFonts w:ascii="Times New Roman" w:hAnsi="Times New Roman"/>
          <w:kern w:val="0"/>
          <w:rtl w:val="0"/>
          <w:lang w:val="en-US"/>
        </w:rPr>
        <w:t>and how to cross them into new coherence.</w:t>
      </w:r>
    </w:p>
    <w:p>
      <w:pPr>
        <w:pStyle w:val="Body"/>
        <w:spacing w:after="0" w:line="240" w:lineRule="auto"/>
        <w:rPr>
          <w:rFonts w:ascii="Times New Roman" w:cs="Times New Roman" w:hAnsi="Times New Roman" w:eastAsia="Times New Roman"/>
          <w:kern w:val="0"/>
        </w:rPr>
      </w:pPr>
      <w:r>
        <w:rPr>
          <w:rFonts w:ascii="Times New Roman" w:cs="Times New Roman" w:hAnsi="Times New Roman" w:eastAsia="Times New Roman"/>
          <w:kern w:val="0"/>
        </w:rPr>
        <mc:AlternateContent>
          <mc:Choice Requires="wps">
            <w:drawing xmlns:a="http://schemas.openxmlformats.org/drawingml/2006/main">
              <wp:inline distT="0" distB="0" distL="0" distR="0">
                <wp:extent cx="5521605" cy="12700"/>
                <wp:effectExtent l="0" t="0" r="0" b="0"/>
                <wp:docPr id="1073741826" name="officeArt object" descr="Rectangle"/>
                <wp:cNvGraphicFramePr/>
                <a:graphic xmlns:a="http://schemas.openxmlformats.org/drawingml/2006/main">
                  <a:graphicData uri="http://schemas.microsoft.com/office/word/2010/wordprocessingShape">
                    <wps:wsp>
                      <wps:cNvSpPr/>
                      <wps:spPr>
                        <a:xfrm>
                          <a:off x="0" y="0"/>
                          <a:ext cx="5521605" cy="12700"/>
                        </a:xfrm>
                        <a:prstGeom prst="rect">
                          <a:avLst/>
                        </a:prstGeom>
                        <a:solidFill>
                          <a:srgbClr val="A0A0A0"/>
                        </a:solidFill>
                        <a:ln w="12700" cap="flat">
                          <a:noFill/>
                          <a:miter lim="400000"/>
                        </a:ln>
                        <a:effectLst/>
                      </wps:spPr>
                      <wps:bodyPr/>
                    </wps:wsp>
                  </a:graphicData>
                </a:graphic>
              </wp:inline>
            </w:drawing>
          </mc:Choice>
          <mc:Fallback>
            <w:pict>
              <v:rect id="_x0000_s1027" style="visibility:visible;width:434.8pt;height:1.0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pacing w:before="100" w:after="100" w:line="240" w:lineRule="auto"/>
        <w:outlineLvl w:val="1"/>
        <w:rPr>
          <w:rFonts w:ascii="Times New Roman" w:cs="Times New Roman" w:hAnsi="Times New Roman" w:eastAsia="Times New Roman"/>
          <w:b w:val="1"/>
          <w:bCs w:val="1"/>
          <w:kern w:val="0"/>
          <w:sz w:val="36"/>
          <w:szCs w:val="36"/>
        </w:rPr>
      </w:pPr>
      <w:r>
        <w:rPr>
          <w:rFonts w:ascii="Times New Roman" w:hAnsi="Times New Roman"/>
          <w:b w:val="1"/>
          <w:bCs w:val="1"/>
          <w:kern w:val="0"/>
          <w:sz w:val="36"/>
          <w:szCs w:val="36"/>
          <w:rtl w:val="0"/>
          <w:lang w:val="en-US"/>
        </w:rPr>
        <w:t>1. Efficiency vs. Flourishing</w:t>
      </w:r>
    </w:p>
    <w:p>
      <w:pPr>
        <w:pStyle w:val="Body"/>
        <w:spacing w:before="100" w:after="100" w:line="240" w:lineRule="auto"/>
        <w:rPr>
          <w:rFonts w:ascii="Times New Roman" w:cs="Times New Roman" w:hAnsi="Times New Roman" w:eastAsia="Times New Roman"/>
          <w:kern w:val="0"/>
        </w:rPr>
      </w:pPr>
      <w:r>
        <w:rPr>
          <w:rFonts w:ascii="Times New Roman" w:hAnsi="Times New Roman"/>
          <w:b w:val="1"/>
          <w:bCs w:val="1"/>
          <w:kern w:val="0"/>
          <w:rtl w:val="0"/>
          <w:lang w:val="en-US"/>
        </w:rPr>
        <w:t>When Efficiency Kills What Matters: Choosing Flourishing First</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For decades, efficiency was the holy grail of management. But over-optimization squeezes out resilience, creativity, and humanity. Harmonic organizations redefine efficiency as the byproduct of flourishing. When people, systems, and ecosystems thrive, efficiency emerges naturally. The crossing here is subtle: stop pursuing efficiency directly and instead cultivate flourishing as the primary metric.</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Key Practices:</w:t>
      </w:r>
    </w:p>
    <w:p>
      <w:pPr>
        <w:pStyle w:val="Body"/>
        <w:numPr>
          <w:ilvl w:val="0"/>
          <w:numId w:val="2"/>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Shift KPIs from cost-cutting to flourishing indicators.</w:t>
      </w:r>
    </w:p>
    <w:p>
      <w:pPr>
        <w:pStyle w:val="Body"/>
        <w:numPr>
          <w:ilvl w:val="0"/>
          <w:numId w:val="2"/>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Embed rest, reflection, and creativity into organizational rhythms.</w:t>
      </w:r>
    </w:p>
    <w:p>
      <w:pPr>
        <w:pStyle w:val="Body"/>
        <w:numPr>
          <w:ilvl w:val="0"/>
          <w:numId w:val="2"/>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Recognize that redundancy (slack) is not waste but resilience.</w:t>
      </w:r>
    </w:p>
    <w:p>
      <w:pPr>
        <w:pStyle w:val="Body"/>
        <w:spacing w:after="0" w:line="240" w:lineRule="auto"/>
        <w:rPr>
          <w:rFonts w:ascii="Times New Roman" w:cs="Times New Roman" w:hAnsi="Times New Roman" w:eastAsia="Times New Roman"/>
          <w:kern w:val="0"/>
        </w:rPr>
      </w:pPr>
      <w:r>
        <w:rPr>
          <w:rFonts w:ascii="Times New Roman" w:cs="Times New Roman" w:hAnsi="Times New Roman" w:eastAsia="Times New Roman"/>
          <w:kern w:val="0"/>
        </w:rPr>
        <mc:AlternateContent>
          <mc:Choice Requires="wps">
            <w:drawing xmlns:a="http://schemas.openxmlformats.org/drawingml/2006/main">
              <wp:inline distT="0" distB="0" distL="0" distR="0">
                <wp:extent cx="5521605" cy="12700"/>
                <wp:effectExtent l="0" t="0" r="0" b="0"/>
                <wp:docPr id="1073741827" name="officeArt object" descr="Rectangle"/>
                <wp:cNvGraphicFramePr/>
                <a:graphic xmlns:a="http://schemas.openxmlformats.org/drawingml/2006/main">
                  <a:graphicData uri="http://schemas.microsoft.com/office/word/2010/wordprocessingShape">
                    <wps:wsp>
                      <wps:cNvSpPr/>
                      <wps:spPr>
                        <a:xfrm>
                          <a:off x="0" y="0"/>
                          <a:ext cx="5521605" cy="12700"/>
                        </a:xfrm>
                        <a:prstGeom prst="rect">
                          <a:avLst/>
                        </a:prstGeom>
                        <a:solidFill>
                          <a:srgbClr val="A0A0A0"/>
                        </a:solidFill>
                        <a:ln w="12700" cap="flat">
                          <a:noFill/>
                          <a:miter lim="400000"/>
                        </a:ln>
                        <a:effectLst/>
                      </wps:spPr>
                      <wps:bodyPr/>
                    </wps:wsp>
                  </a:graphicData>
                </a:graphic>
              </wp:inline>
            </w:drawing>
          </mc:Choice>
          <mc:Fallback>
            <w:pict>
              <v:rect id="_x0000_s1028" style="visibility:visible;width:434.8pt;height:1.0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pacing w:before="100" w:after="100" w:line="240" w:lineRule="auto"/>
        <w:outlineLvl w:val="1"/>
        <w:rPr>
          <w:rFonts w:ascii="Times New Roman" w:cs="Times New Roman" w:hAnsi="Times New Roman" w:eastAsia="Times New Roman"/>
          <w:b w:val="1"/>
          <w:bCs w:val="1"/>
          <w:kern w:val="0"/>
          <w:sz w:val="36"/>
          <w:szCs w:val="36"/>
        </w:rPr>
      </w:pPr>
      <w:r>
        <w:rPr>
          <w:rFonts w:ascii="Times New Roman" w:hAnsi="Times New Roman"/>
          <w:b w:val="1"/>
          <w:bCs w:val="1"/>
          <w:kern w:val="0"/>
          <w:sz w:val="36"/>
          <w:szCs w:val="36"/>
          <w:rtl w:val="0"/>
          <w:lang w:val="en-US"/>
        </w:rPr>
        <w:t>2. Centralization vs. Decentralization</w:t>
      </w:r>
    </w:p>
    <w:p>
      <w:pPr>
        <w:pStyle w:val="Body"/>
        <w:spacing w:before="100" w:after="100" w:line="240" w:lineRule="auto"/>
        <w:rPr>
          <w:rFonts w:ascii="Times New Roman" w:cs="Times New Roman" w:hAnsi="Times New Roman" w:eastAsia="Times New Roman"/>
          <w:kern w:val="0"/>
        </w:rPr>
      </w:pPr>
      <w:r>
        <w:rPr>
          <w:rFonts w:ascii="Times New Roman" w:hAnsi="Times New Roman"/>
          <w:b w:val="1"/>
          <w:bCs w:val="1"/>
          <w:kern w:val="0"/>
          <w:rtl w:val="0"/>
          <w:lang w:val="en-US"/>
        </w:rPr>
        <w:t>From Org Charts to Living Networks: Leading in the Forked Cross</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The old model clung to centralization</w:t>
      </w:r>
      <w:r>
        <w:rPr>
          <w:rFonts w:ascii="Times New Roman" w:hAnsi="Times New Roman" w:hint="default"/>
          <w:kern w:val="0"/>
          <w:rtl w:val="0"/>
          <w:lang w:val="en-US"/>
        </w:rPr>
        <w:t>—</w:t>
      </w:r>
      <w:r>
        <w:rPr>
          <w:rFonts w:ascii="Times New Roman" w:hAnsi="Times New Roman"/>
          <w:kern w:val="0"/>
          <w:rtl w:val="0"/>
          <w:lang w:val="en-US"/>
        </w:rPr>
        <w:t>control at the top. The new model exalts decentralization</w:t>
      </w:r>
      <w:r>
        <w:rPr>
          <w:rFonts w:ascii="Times New Roman" w:hAnsi="Times New Roman" w:hint="default"/>
          <w:kern w:val="0"/>
          <w:rtl w:val="0"/>
          <w:lang w:val="en-US"/>
        </w:rPr>
        <w:t>—</w:t>
      </w:r>
      <w:r>
        <w:rPr>
          <w:rFonts w:ascii="Times New Roman" w:hAnsi="Times New Roman"/>
          <w:kern w:val="0"/>
          <w:rtl w:val="0"/>
          <w:lang w:val="en-US"/>
        </w:rPr>
        <w:t>distributed sovereignty. The paradox is that both are needed. Harmonic organizations integrate central coherence with distributed autonomy. Like the forked cross of the 24-sided prime wheel, they operate in fractal patterns: local nodes self-organize, yet all remain attuned to a central field of resonance.</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Key Practices:</w:t>
      </w:r>
    </w:p>
    <w:p>
      <w:pPr>
        <w:pStyle w:val="Body"/>
        <w:numPr>
          <w:ilvl w:val="0"/>
          <w:numId w:val="4"/>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Use coherence councils instead of command hierarchies.</w:t>
      </w:r>
    </w:p>
    <w:p>
      <w:pPr>
        <w:pStyle w:val="Body"/>
        <w:numPr>
          <w:ilvl w:val="0"/>
          <w:numId w:val="4"/>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Allow decisions to be made closest to impact.</w:t>
      </w:r>
    </w:p>
    <w:p>
      <w:pPr>
        <w:pStyle w:val="Body"/>
        <w:numPr>
          <w:ilvl w:val="0"/>
          <w:numId w:val="4"/>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 xml:space="preserve">Maintain a </w:t>
      </w:r>
      <w:r>
        <w:rPr>
          <w:rFonts w:ascii="Times New Roman" w:hAnsi="Times New Roman" w:hint="default"/>
          <w:kern w:val="0"/>
          <w:rtl w:val="0"/>
          <w:lang w:val="en-US"/>
        </w:rPr>
        <w:t>“</w:t>
      </w:r>
      <w:r>
        <w:rPr>
          <w:rFonts w:ascii="Times New Roman" w:hAnsi="Times New Roman"/>
          <w:kern w:val="0"/>
          <w:rtl w:val="0"/>
          <w:lang w:val="en-US"/>
        </w:rPr>
        <w:t>north star</w:t>
      </w:r>
      <w:r>
        <w:rPr>
          <w:rFonts w:ascii="Times New Roman" w:hAnsi="Times New Roman" w:hint="default"/>
          <w:kern w:val="0"/>
          <w:rtl w:val="0"/>
          <w:lang w:val="en-US"/>
        </w:rPr>
        <w:t xml:space="preserve">” </w:t>
      </w:r>
      <w:r>
        <w:rPr>
          <w:rFonts w:ascii="Times New Roman" w:hAnsi="Times New Roman"/>
          <w:kern w:val="0"/>
          <w:rtl w:val="0"/>
          <w:lang w:val="en-US"/>
        </w:rPr>
        <w:t>that keeps distributed teams aligned.</w:t>
      </w:r>
    </w:p>
    <w:p>
      <w:pPr>
        <w:pStyle w:val="Body"/>
        <w:spacing w:after="0" w:line="240" w:lineRule="auto"/>
        <w:rPr>
          <w:rFonts w:ascii="Times New Roman" w:cs="Times New Roman" w:hAnsi="Times New Roman" w:eastAsia="Times New Roman"/>
          <w:kern w:val="0"/>
        </w:rPr>
      </w:pPr>
      <w:r>
        <w:rPr>
          <w:rFonts w:ascii="Times New Roman" w:cs="Times New Roman" w:hAnsi="Times New Roman" w:eastAsia="Times New Roman"/>
          <w:kern w:val="0"/>
        </w:rPr>
        <mc:AlternateContent>
          <mc:Choice Requires="wps">
            <w:drawing xmlns:a="http://schemas.openxmlformats.org/drawingml/2006/main">
              <wp:inline distT="0" distB="0" distL="0" distR="0">
                <wp:extent cx="5521605" cy="12700"/>
                <wp:effectExtent l="0" t="0" r="0" b="0"/>
                <wp:docPr id="1073741828" name="officeArt object" descr="Rectangle"/>
                <wp:cNvGraphicFramePr/>
                <a:graphic xmlns:a="http://schemas.openxmlformats.org/drawingml/2006/main">
                  <a:graphicData uri="http://schemas.microsoft.com/office/word/2010/wordprocessingShape">
                    <wps:wsp>
                      <wps:cNvSpPr/>
                      <wps:spPr>
                        <a:xfrm>
                          <a:off x="0" y="0"/>
                          <a:ext cx="5521605" cy="12700"/>
                        </a:xfrm>
                        <a:prstGeom prst="rect">
                          <a:avLst/>
                        </a:prstGeom>
                        <a:solidFill>
                          <a:srgbClr val="A0A0A0"/>
                        </a:solidFill>
                        <a:ln w="12700" cap="flat">
                          <a:noFill/>
                          <a:miter lim="400000"/>
                        </a:ln>
                        <a:effectLst/>
                      </wps:spPr>
                      <wps:bodyPr/>
                    </wps:wsp>
                  </a:graphicData>
                </a:graphic>
              </wp:inline>
            </w:drawing>
          </mc:Choice>
          <mc:Fallback>
            <w:pict>
              <v:rect id="_x0000_s1029" style="visibility:visible;width:434.8pt;height:1.0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pacing w:before="100" w:after="100" w:line="240" w:lineRule="auto"/>
        <w:outlineLvl w:val="1"/>
        <w:rPr>
          <w:rFonts w:ascii="Times New Roman" w:cs="Times New Roman" w:hAnsi="Times New Roman" w:eastAsia="Times New Roman"/>
          <w:b w:val="1"/>
          <w:bCs w:val="1"/>
          <w:kern w:val="0"/>
          <w:sz w:val="36"/>
          <w:szCs w:val="36"/>
        </w:rPr>
      </w:pPr>
      <w:r>
        <w:rPr>
          <w:rFonts w:ascii="Times New Roman" w:hAnsi="Times New Roman"/>
          <w:b w:val="1"/>
          <w:bCs w:val="1"/>
          <w:kern w:val="0"/>
          <w:sz w:val="36"/>
          <w:szCs w:val="36"/>
          <w:rtl w:val="0"/>
          <w:lang w:val="de-DE"/>
        </w:rPr>
        <w:t>3. Profit vs. Regeneration</w:t>
      </w:r>
    </w:p>
    <w:p>
      <w:pPr>
        <w:pStyle w:val="Body"/>
        <w:spacing w:before="100" w:after="100" w:line="240" w:lineRule="auto"/>
        <w:rPr>
          <w:rFonts w:ascii="Times New Roman" w:cs="Times New Roman" w:hAnsi="Times New Roman" w:eastAsia="Times New Roman"/>
          <w:kern w:val="0"/>
        </w:rPr>
      </w:pPr>
      <w:r>
        <w:rPr>
          <w:rFonts w:ascii="Times New Roman" w:hAnsi="Times New Roman"/>
          <w:b w:val="1"/>
          <w:bCs w:val="1"/>
          <w:kern w:val="0"/>
          <w:rtl w:val="0"/>
          <w:lang w:val="en-US"/>
        </w:rPr>
        <w:t>Beyond the Balance Sheet: Profit as Resonance, Not Extraction</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Profit has long been seen as extraction: taking more than one gives. Regeneration flips this logic. In the new harmonic economy, profit becomes a resonance indicator</w:t>
      </w:r>
      <w:r>
        <w:rPr>
          <w:rFonts w:ascii="Times New Roman" w:hAnsi="Times New Roman" w:hint="default"/>
          <w:kern w:val="0"/>
          <w:rtl w:val="0"/>
          <w:lang w:val="en-US"/>
        </w:rPr>
        <w:t>—</w:t>
      </w:r>
      <w:r>
        <w:rPr>
          <w:rFonts w:ascii="Times New Roman" w:hAnsi="Times New Roman"/>
          <w:kern w:val="0"/>
          <w:rtl w:val="0"/>
          <w:lang w:val="en-US"/>
        </w:rPr>
        <w:t>evidence that value is cycling in syntropic ways. The paradox is that true profitability arises not from maximizing extraction but from maximizing regenerative flow.</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Key Practices:</w:t>
      </w:r>
    </w:p>
    <w:p>
      <w:pPr>
        <w:pStyle w:val="Body"/>
        <w:numPr>
          <w:ilvl w:val="0"/>
          <w:numId w:val="6"/>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Introduce regenerative balance sheets (measuring life-giving capacity).</w:t>
      </w:r>
    </w:p>
    <w:p>
      <w:pPr>
        <w:pStyle w:val="Body"/>
        <w:numPr>
          <w:ilvl w:val="0"/>
          <w:numId w:val="6"/>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Frame shareholder returns as long-term resonance, not quarterly spikes.</w:t>
      </w:r>
    </w:p>
    <w:p>
      <w:pPr>
        <w:pStyle w:val="Body"/>
        <w:numPr>
          <w:ilvl w:val="0"/>
          <w:numId w:val="6"/>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Build business models where giving back amplifies returns.</w:t>
      </w:r>
    </w:p>
    <w:p>
      <w:pPr>
        <w:pStyle w:val="Body"/>
        <w:spacing w:after="0" w:line="240" w:lineRule="auto"/>
        <w:rPr>
          <w:rFonts w:ascii="Times New Roman" w:cs="Times New Roman" w:hAnsi="Times New Roman" w:eastAsia="Times New Roman"/>
          <w:kern w:val="0"/>
        </w:rPr>
      </w:pPr>
      <w:r>
        <w:rPr>
          <w:rFonts w:ascii="Times New Roman" w:cs="Times New Roman" w:hAnsi="Times New Roman" w:eastAsia="Times New Roman"/>
          <w:kern w:val="0"/>
        </w:rPr>
        <mc:AlternateContent>
          <mc:Choice Requires="wps">
            <w:drawing xmlns:a="http://schemas.openxmlformats.org/drawingml/2006/main">
              <wp:inline distT="0" distB="0" distL="0" distR="0">
                <wp:extent cx="5521605" cy="12700"/>
                <wp:effectExtent l="0" t="0" r="0" b="0"/>
                <wp:docPr id="1073741829" name="officeArt object" descr="Rectangle"/>
                <wp:cNvGraphicFramePr/>
                <a:graphic xmlns:a="http://schemas.openxmlformats.org/drawingml/2006/main">
                  <a:graphicData uri="http://schemas.microsoft.com/office/word/2010/wordprocessingShape">
                    <wps:wsp>
                      <wps:cNvSpPr/>
                      <wps:spPr>
                        <a:xfrm>
                          <a:off x="0" y="0"/>
                          <a:ext cx="5521605" cy="12700"/>
                        </a:xfrm>
                        <a:prstGeom prst="rect">
                          <a:avLst/>
                        </a:prstGeom>
                        <a:solidFill>
                          <a:srgbClr val="A0A0A0"/>
                        </a:solidFill>
                        <a:ln w="12700" cap="flat">
                          <a:noFill/>
                          <a:miter lim="400000"/>
                        </a:ln>
                        <a:effectLst/>
                      </wps:spPr>
                      <wps:bodyPr/>
                    </wps:wsp>
                  </a:graphicData>
                </a:graphic>
              </wp:inline>
            </w:drawing>
          </mc:Choice>
          <mc:Fallback>
            <w:pict>
              <v:rect id="_x0000_s1030" style="visibility:visible;width:434.8pt;height:1.0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pacing w:before="100" w:after="100" w:line="240" w:lineRule="auto"/>
        <w:outlineLvl w:val="1"/>
        <w:rPr>
          <w:rFonts w:ascii="Times New Roman" w:cs="Times New Roman" w:hAnsi="Times New Roman" w:eastAsia="Times New Roman"/>
          <w:b w:val="1"/>
          <w:bCs w:val="1"/>
          <w:kern w:val="0"/>
          <w:sz w:val="36"/>
          <w:szCs w:val="36"/>
        </w:rPr>
      </w:pPr>
      <w:r>
        <w:rPr>
          <w:rFonts w:ascii="Times New Roman" w:hAnsi="Times New Roman"/>
          <w:b w:val="1"/>
          <w:bCs w:val="1"/>
          <w:kern w:val="0"/>
          <w:sz w:val="36"/>
          <w:szCs w:val="36"/>
          <w:rtl w:val="0"/>
          <w:lang w:val="en-US"/>
        </w:rPr>
        <w:t>4. AI Acceleration vs. Human Coherence</w:t>
      </w:r>
    </w:p>
    <w:p>
      <w:pPr>
        <w:pStyle w:val="Body"/>
        <w:spacing w:before="100" w:after="100" w:line="240" w:lineRule="auto"/>
        <w:rPr>
          <w:rFonts w:ascii="Times New Roman" w:cs="Times New Roman" w:hAnsi="Times New Roman" w:eastAsia="Times New Roman"/>
          <w:kern w:val="0"/>
        </w:rPr>
      </w:pPr>
      <w:r>
        <w:rPr>
          <w:rFonts w:ascii="Times New Roman" w:hAnsi="Times New Roman"/>
          <w:b w:val="1"/>
          <w:bCs w:val="1"/>
          <w:kern w:val="0"/>
          <w:rtl w:val="0"/>
          <w:lang w:val="en-US"/>
        </w:rPr>
        <w:t>When Machines Outpace Minds: Choosing Presence in the Age of AI</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AI accelerates everything</w:t>
      </w:r>
      <w:r>
        <w:rPr>
          <w:rFonts w:ascii="Times New Roman" w:hAnsi="Times New Roman" w:hint="default"/>
          <w:kern w:val="0"/>
          <w:rtl w:val="0"/>
          <w:lang w:val="en-US"/>
        </w:rPr>
        <w:t>—</w:t>
      </w:r>
      <w:r>
        <w:rPr>
          <w:rFonts w:ascii="Times New Roman" w:hAnsi="Times New Roman"/>
          <w:kern w:val="0"/>
          <w:rtl w:val="0"/>
          <w:lang w:val="en-US"/>
        </w:rPr>
        <w:t>data, analysis, prediction. Yet human coherence</w:t>
      </w:r>
      <w:r>
        <w:rPr>
          <w:rFonts w:ascii="Times New Roman" w:hAnsi="Times New Roman" w:hint="default"/>
          <w:kern w:val="0"/>
          <w:rtl w:val="0"/>
          <w:lang w:val="en-US"/>
        </w:rPr>
        <w:t>—</w:t>
      </w:r>
      <w:r>
        <w:rPr>
          <w:rFonts w:ascii="Times New Roman" w:hAnsi="Times New Roman"/>
          <w:kern w:val="0"/>
          <w:rtl w:val="0"/>
          <w:lang w:val="en-US"/>
        </w:rPr>
        <w:t>our ability to remain present, compassionate, and wise</w:t>
      </w:r>
      <w:r>
        <w:rPr>
          <w:rFonts w:ascii="Times New Roman" w:hAnsi="Times New Roman" w:hint="default"/>
          <w:kern w:val="0"/>
          <w:rtl w:val="0"/>
          <w:lang w:val="en-US"/>
        </w:rPr>
        <w:t>—</w:t>
      </w:r>
      <w:r>
        <w:rPr>
          <w:rFonts w:ascii="Times New Roman" w:hAnsi="Times New Roman"/>
          <w:kern w:val="0"/>
          <w:rtl w:val="0"/>
          <w:lang w:val="en-US"/>
        </w:rPr>
        <w:t>is easily eroded in the rush. Leaders must cross this threshold by seeing AI as amplifier of coherence fields, not a replacement for human wisdom. The paradox dissolves when AI is placed in service of resonance, not speed alone.</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Key Practices:</w:t>
      </w:r>
    </w:p>
    <w:p>
      <w:pPr>
        <w:pStyle w:val="Body"/>
        <w:numPr>
          <w:ilvl w:val="0"/>
          <w:numId w:val="8"/>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Develop AI ethics rooted in harmonic principles.</w:t>
      </w:r>
    </w:p>
    <w:p>
      <w:pPr>
        <w:pStyle w:val="Body"/>
        <w:numPr>
          <w:ilvl w:val="0"/>
          <w:numId w:val="8"/>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Train executives in coherence practices (breath, presence, listening).</w:t>
      </w:r>
    </w:p>
    <w:p>
      <w:pPr>
        <w:pStyle w:val="Body"/>
        <w:numPr>
          <w:ilvl w:val="0"/>
          <w:numId w:val="8"/>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Use AI to mirror</w:t>
      </w:r>
      <w:r>
        <w:rPr>
          <w:rFonts w:ascii="Times New Roman" w:hAnsi="Times New Roman" w:hint="default"/>
          <w:kern w:val="0"/>
          <w:rtl w:val="0"/>
          <w:lang w:val="en-US"/>
        </w:rPr>
        <w:t>—</w:t>
      </w:r>
      <w:r>
        <w:rPr>
          <w:rFonts w:ascii="Times New Roman" w:hAnsi="Times New Roman"/>
          <w:kern w:val="0"/>
          <w:rtl w:val="0"/>
          <w:lang w:val="en-US"/>
        </w:rPr>
        <w:t>not dictate</w:t>
      </w:r>
      <w:r>
        <w:rPr>
          <w:rFonts w:ascii="Times New Roman" w:hAnsi="Times New Roman" w:hint="default"/>
          <w:kern w:val="0"/>
          <w:rtl w:val="0"/>
          <w:lang w:val="en-US"/>
        </w:rPr>
        <w:t>—</w:t>
      </w:r>
      <w:r>
        <w:rPr>
          <w:rFonts w:ascii="Times New Roman" w:hAnsi="Times New Roman"/>
          <w:kern w:val="0"/>
          <w:rtl w:val="0"/>
          <w:lang w:val="en-US"/>
        </w:rPr>
        <w:t>organizational decision fields.</w:t>
      </w:r>
    </w:p>
    <w:p>
      <w:pPr>
        <w:pStyle w:val="Body"/>
        <w:spacing w:after="0" w:line="240" w:lineRule="auto"/>
        <w:rPr>
          <w:rFonts w:ascii="Times New Roman" w:cs="Times New Roman" w:hAnsi="Times New Roman" w:eastAsia="Times New Roman"/>
          <w:kern w:val="0"/>
        </w:rPr>
      </w:pPr>
      <w:r>
        <w:rPr>
          <w:rFonts w:ascii="Times New Roman" w:cs="Times New Roman" w:hAnsi="Times New Roman" w:eastAsia="Times New Roman"/>
          <w:kern w:val="0"/>
        </w:rPr>
        <mc:AlternateContent>
          <mc:Choice Requires="wps">
            <w:drawing xmlns:a="http://schemas.openxmlformats.org/drawingml/2006/main">
              <wp:inline distT="0" distB="0" distL="0" distR="0">
                <wp:extent cx="5521605" cy="12700"/>
                <wp:effectExtent l="0" t="0" r="0" b="0"/>
                <wp:docPr id="1073741830" name="officeArt object" descr="Rectangle"/>
                <wp:cNvGraphicFramePr/>
                <a:graphic xmlns:a="http://schemas.openxmlformats.org/drawingml/2006/main">
                  <a:graphicData uri="http://schemas.microsoft.com/office/word/2010/wordprocessingShape">
                    <wps:wsp>
                      <wps:cNvSpPr/>
                      <wps:spPr>
                        <a:xfrm>
                          <a:off x="0" y="0"/>
                          <a:ext cx="5521605" cy="12700"/>
                        </a:xfrm>
                        <a:prstGeom prst="rect">
                          <a:avLst/>
                        </a:prstGeom>
                        <a:solidFill>
                          <a:srgbClr val="A0A0A0"/>
                        </a:solidFill>
                        <a:ln w="12700" cap="flat">
                          <a:noFill/>
                          <a:miter lim="400000"/>
                        </a:ln>
                        <a:effectLst/>
                      </wps:spPr>
                      <wps:bodyPr/>
                    </wps:wsp>
                  </a:graphicData>
                </a:graphic>
              </wp:inline>
            </w:drawing>
          </mc:Choice>
          <mc:Fallback>
            <w:pict>
              <v:rect id="_x0000_s1031" style="visibility:visible;width:434.8pt;height:1.0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pacing w:before="100" w:after="100" w:line="240" w:lineRule="auto"/>
        <w:outlineLvl w:val="1"/>
        <w:rPr>
          <w:rFonts w:ascii="Times New Roman" w:cs="Times New Roman" w:hAnsi="Times New Roman" w:eastAsia="Times New Roman"/>
          <w:b w:val="1"/>
          <w:bCs w:val="1"/>
          <w:kern w:val="0"/>
          <w:sz w:val="36"/>
          <w:szCs w:val="36"/>
        </w:rPr>
      </w:pPr>
      <w:r>
        <w:rPr>
          <w:rFonts w:ascii="Times New Roman" w:hAnsi="Times New Roman"/>
          <w:b w:val="1"/>
          <w:bCs w:val="1"/>
          <w:kern w:val="0"/>
          <w:sz w:val="36"/>
          <w:szCs w:val="36"/>
          <w:rtl w:val="0"/>
          <w:lang w:val="en-US"/>
        </w:rPr>
        <w:t>5. Stability vs. Adaptability</w:t>
      </w:r>
    </w:p>
    <w:p>
      <w:pPr>
        <w:pStyle w:val="Body"/>
        <w:spacing w:before="100" w:after="100" w:line="240" w:lineRule="auto"/>
        <w:rPr>
          <w:rFonts w:ascii="Times New Roman" w:cs="Times New Roman" w:hAnsi="Times New Roman" w:eastAsia="Times New Roman"/>
          <w:kern w:val="0"/>
        </w:rPr>
      </w:pPr>
      <w:r>
        <w:rPr>
          <w:rFonts w:ascii="Times New Roman" w:hAnsi="Times New Roman"/>
          <w:b w:val="1"/>
          <w:bCs w:val="1"/>
          <w:kern w:val="0"/>
          <w:rtl w:val="0"/>
          <w:lang w:val="en-US"/>
        </w:rPr>
        <w:t>Roots and Wings: Finding Harmony Between Stability and Change</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Executives often wrestle with how much stability to preserve versus how much adaptability to unleash. Harmonic organizations recognize that stability and adaptability are not opposites but complementary. Roots provide grounding; wings provide agility. Crossing this paradox means learning to anchor stability in coherence rather than control, and adaptability in resonance rather than chaos.</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Key Practices:</w:t>
      </w:r>
    </w:p>
    <w:p>
      <w:pPr>
        <w:pStyle w:val="Body"/>
        <w:numPr>
          <w:ilvl w:val="0"/>
          <w:numId w:val="10"/>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Anchor cultural coherence through shared rituals and symbols.</w:t>
      </w:r>
    </w:p>
    <w:p>
      <w:pPr>
        <w:pStyle w:val="Body"/>
        <w:numPr>
          <w:ilvl w:val="0"/>
          <w:numId w:val="10"/>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Embrace adaptive governance models (spirals, fractals).</w:t>
      </w:r>
    </w:p>
    <w:p>
      <w:pPr>
        <w:pStyle w:val="Body"/>
        <w:numPr>
          <w:ilvl w:val="0"/>
          <w:numId w:val="10"/>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Invest equally in resilience and innovation.</w:t>
      </w:r>
    </w:p>
    <w:p>
      <w:pPr>
        <w:pStyle w:val="Body"/>
        <w:spacing w:after="0" w:line="240" w:lineRule="auto"/>
        <w:rPr>
          <w:rFonts w:ascii="Times New Roman" w:cs="Times New Roman" w:hAnsi="Times New Roman" w:eastAsia="Times New Roman"/>
          <w:kern w:val="0"/>
        </w:rPr>
      </w:pPr>
      <w:r>
        <w:rPr>
          <w:rFonts w:ascii="Times New Roman" w:cs="Times New Roman" w:hAnsi="Times New Roman" w:eastAsia="Times New Roman"/>
          <w:kern w:val="0"/>
        </w:rPr>
        <mc:AlternateContent>
          <mc:Choice Requires="wps">
            <w:drawing xmlns:a="http://schemas.openxmlformats.org/drawingml/2006/main">
              <wp:inline distT="0" distB="0" distL="0" distR="0">
                <wp:extent cx="5521605" cy="12700"/>
                <wp:effectExtent l="0" t="0" r="0" b="0"/>
                <wp:docPr id="1073741831" name="officeArt object" descr="Rectangle"/>
                <wp:cNvGraphicFramePr/>
                <a:graphic xmlns:a="http://schemas.openxmlformats.org/drawingml/2006/main">
                  <a:graphicData uri="http://schemas.microsoft.com/office/word/2010/wordprocessingShape">
                    <wps:wsp>
                      <wps:cNvSpPr/>
                      <wps:spPr>
                        <a:xfrm>
                          <a:off x="0" y="0"/>
                          <a:ext cx="5521605" cy="12700"/>
                        </a:xfrm>
                        <a:prstGeom prst="rect">
                          <a:avLst/>
                        </a:prstGeom>
                        <a:solidFill>
                          <a:srgbClr val="A0A0A0"/>
                        </a:solidFill>
                        <a:ln w="12700" cap="flat">
                          <a:noFill/>
                          <a:miter lim="400000"/>
                        </a:ln>
                        <a:effectLst/>
                      </wps:spPr>
                      <wps:bodyPr/>
                    </wps:wsp>
                  </a:graphicData>
                </a:graphic>
              </wp:inline>
            </w:drawing>
          </mc:Choice>
          <mc:Fallback>
            <w:pict>
              <v:rect id="_x0000_s1032" style="visibility:visible;width:434.8pt;height:1.0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pacing w:before="100" w:after="100" w:line="240" w:lineRule="auto"/>
        <w:outlineLvl w:val="1"/>
        <w:rPr>
          <w:rFonts w:ascii="Times New Roman" w:cs="Times New Roman" w:hAnsi="Times New Roman" w:eastAsia="Times New Roman"/>
          <w:b w:val="1"/>
          <w:bCs w:val="1"/>
          <w:kern w:val="0"/>
          <w:sz w:val="36"/>
          <w:szCs w:val="36"/>
        </w:rPr>
      </w:pPr>
      <w:r>
        <w:rPr>
          <w:rFonts w:ascii="Times New Roman" w:hAnsi="Times New Roman"/>
          <w:b w:val="1"/>
          <w:bCs w:val="1"/>
          <w:kern w:val="0"/>
          <w:sz w:val="36"/>
          <w:szCs w:val="36"/>
          <w:rtl w:val="0"/>
          <w:lang w:val="en-US"/>
        </w:rPr>
        <w:t>6. Autonomy vs. Alignment</w:t>
      </w:r>
    </w:p>
    <w:p>
      <w:pPr>
        <w:pStyle w:val="Body"/>
        <w:spacing w:before="100" w:after="100" w:line="240" w:lineRule="auto"/>
        <w:rPr>
          <w:rFonts w:ascii="Times New Roman" w:cs="Times New Roman" w:hAnsi="Times New Roman" w:eastAsia="Times New Roman"/>
          <w:kern w:val="0"/>
        </w:rPr>
      </w:pPr>
      <w:r>
        <w:rPr>
          <w:rFonts w:ascii="Times New Roman" w:hAnsi="Times New Roman"/>
          <w:b w:val="1"/>
          <w:bCs w:val="1"/>
          <w:kern w:val="0"/>
          <w:rtl w:val="0"/>
          <w:lang w:val="en-US"/>
        </w:rPr>
        <w:t>Sovereign Cells, Shared Symphony: Autonomy in Alignment</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Self-sovereign teams can lose connection to the whole. Over-alignment can stifle autonomy. Harmonic leadership sees autonomy and alignment as a polarity to be harmonized: like instruments in a symphony, each is sovereign yet tuned to the collective score. The crossing happens when leaders create resonant fields that both empower sovereignty and deepen alignment.</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Key Practices:</w:t>
      </w:r>
    </w:p>
    <w:p>
      <w:pPr>
        <w:pStyle w:val="Body"/>
        <w:numPr>
          <w:ilvl w:val="0"/>
          <w:numId w:val="12"/>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Encourage role fluidity within aligned purpose.</w:t>
      </w:r>
    </w:p>
    <w:p>
      <w:pPr>
        <w:pStyle w:val="Body"/>
        <w:numPr>
          <w:ilvl w:val="0"/>
          <w:numId w:val="12"/>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Replace micromanagement with resonance-based governance.</w:t>
      </w:r>
    </w:p>
    <w:p>
      <w:pPr>
        <w:pStyle w:val="Body"/>
        <w:numPr>
          <w:ilvl w:val="0"/>
          <w:numId w:val="12"/>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 xml:space="preserve">Use </w:t>
      </w:r>
      <w:r>
        <w:rPr>
          <w:rFonts w:ascii="Times New Roman" w:hAnsi="Times New Roman" w:hint="default"/>
          <w:kern w:val="0"/>
          <w:rtl w:val="0"/>
          <w:lang w:val="en-US"/>
        </w:rPr>
        <w:t>“</w:t>
      </w:r>
      <w:r>
        <w:rPr>
          <w:rFonts w:ascii="Times New Roman" w:hAnsi="Times New Roman"/>
          <w:kern w:val="0"/>
          <w:rtl w:val="0"/>
          <w:lang w:val="en-US"/>
        </w:rPr>
        <w:t>coherence audits</w:t>
      </w:r>
      <w:r>
        <w:rPr>
          <w:rFonts w:ascii="Times New Roman" w:hAnsi="Times New Roman" w:hint="default"/>
          <w:kern w:val="0"/>
          <w:rtl w:val="0"/>
          <w:lang w:val="en-US"/>
        </w:rPr>
        <w:t xml:space="preserve">” </w:t>
      </w:r>
      <w:r>
        <w:rPr>
          <w:rFonts w:ascii="Times New Roman" w:hAnsi="Times New Roman"/>
          <w:kern w:val="0"/>
          <w:rtl w:val="0"/>
          <w:lang w:val="en-US"/>
        </w:rPr>
        <w:t>to measure both freedom and alignment.</w:t>
      </w:r>
    </w:p>
    <w:p>
      <w:pPr>
        <w:pStyle w:val="Body"/>
        <w:spacing w:after="0" w:line="240" w:lineRule="auto"/>
        <w:rPr>
          <w:rFonts w:ascii="Times New Roman" w:cs="Times New Roman" w:hAnsi="Times New Roman" w:eastAsia="Times New Roman"/>
          <w:kern w:val="0"/>
        </w:rPr>
      </w:pPr>
      <w:r>
        <w:rPr>
          <w:rFonts w:ascii="Times New Roman" w:cs="Times New Roman" w:hAnsi="Times New Roman" w:eastAsia="Times New Roman"/>
          <w:kern w:val="0"/>
        </w:rPr>
        <mc:AlternateContent>
          <mc:Choice Requires="wps">
            <w:drawing xmlns:a="http://schemas.openxmlformats.org/drawingml/2006/main">
              <wp:inline distT="0" distB="0" distL="0" distR="0">
                <wp:extent cx="5521605" cy="12700"/>
                <wp:effectExtent l="0" t="0" r="0" b="0"/>
                <wp:docPr id="1073741832" name="officeArt object" descr="Rectangle"/>
                <wp:cNvGraphicFramePr/>
                <a:graphic xmlns:a="http://schemas.openxmlformats.org/drawingml/2006/main">
                  <a:graphicData uri="http://schemas.microsoft.com/office/word/2010/wordprocessingShape">
                    <wps:wsp>
                      <wps:cNvSpPr/>
                      <wps:spPr>
                        <a:xfrm>
                          <a:off x="0" y="0"/>
                          <a:ext cx="5521605" cy="12700"/>
                        </a:xfrm>
                        <a:prstGeom prst="rect">
                          <a:avLst/>
                        </a:prstGeom>
                        <a:solidFill>
                          <a:srgbClr val="A0A0A0"/>
                        </a:solidFill>
                        <a:ln w="12700" cap="flat">
                          <a:noFill/>
                          <a:miter lim="400000"/>
                        </a:ln>
                        <a:effectLst/>
                      </wps:spPr>
                      <wps:bodyPr/>
                    </wps:wsp>
                  </a:graphicData>
                </a:graphic>
              </wp:inline>
            </w:drawing>
          </mc:Choice>
          <mc:Fallback>
            <w:pict>
              <v:rect id="_x0000_s1033" style="visibility:visible;width:434.8pt;height:1.0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pacing w:before="100" w:after="100" w:line="240" w:lineRule="auto"/>
        <w:outlineLvl w:val="1"/>
        <w:rPr>
          <w:rFonts w:ascii="Times New Roman" w:cs="Times New Roman" w:hAnsi="Times New Roman" w:eastAsia="Times New Roman"/>
          <w:b w:val="1"/>
          <w:bCs w:val="1"/>
          <w:kern w:val="0"/>
          <w:sz w:val="36"/>
          <w:szCs w:val="36"/>
        </w:rPr>
      </w:pPr>
      <w:r>
        <w:rPr>
          <w:rFonts w:ascii="Times New Roman" w:hAnsi="Times New Roman"/>
          <w:b w:val="1"/>
          <w:bCs w:val="1"/>
          <w:kern w:val="0"/>
          <w:sz w:val="36"/>
          <w:szCs w:val="36"/>
          <w:rtl w:val="0"/>
          <w:lang w:val="en-US"/>
        </w:rPr>
        <w:t>7. Speed vs. Depth</w:t>
      </w:r>
    </w:p>
    <w:p>
      <w:pPr>
        <w:pStyle w:val="Body"/>
        <w:spacing w:before="100" w:after="100" w:line="240" w:lineRule="auto"/>
        <w:rPr>
          <w:rFonts w:ascii="Times New Roman" w:cs="Times New Roman" w:hAnsi="Times New Roman" w:eastAsia="Times New Roman"/>
          <w:kern w:val="0"/>
        </w:rPr>
      </w:pPr>
      <w:r>
        <w:rPr>
          <w:rFonts w:ascii="Times New Roman" w:hAnsi="Times New Roman"/>
          <w:b w:val="1"/>
          <w:bCs w:val="1"/>
          <w:kern w:val="0"/>
          <w:rtl w:val="0"/>
          <w:lang w:val="en-US"/>
        </w:rPr>
        <w:t>Slowing Down to Move Faster: Depth as the New Accelerator</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Old logic equated speed with progress. But racing without reflection leads to shallow decisions that collapse under stress. Harmonic leadership teaches that depth</w:t>
      </w:r>
      <w:r>
        <w:rPr>
          <w:rFonts w:ascii="Times New Roman" w:hAnsi="Times New Roman" w:hint="default"/>
          <w:kern w:val="0"/>
          <w:rtl w:val="0"/>
          <w:lang w:val="en-US"/>
        </w:rPr>
        <w:t>—</w:t>
      </w:r>
      <w:r>
        <w:rPr>
          <w:rFonts w:ascii="Times New Roman" w:hAnsi="Times New Roman"/>
          <w:kern w:val="0"/>
          <w:rtl w:val="0"/>
          <w:lang w:val="en-US"/>
        </w:rPr>
        <w:t>reflection, meaning, coherence</w:t>
      </w:r>
      <w:r>
        <w:rPr>
          <w:rFonts w:ascii="Times New Roman" w:hAnsi="Times New Roman" w:hint="default"/>
          <w:kern w:val="0"/>
          <w:rtl w:val="0"/>
          <w:lang w:val="en-US"/>
        </w:rPr>
        <w:t>—</w:t>
      </w:r>
      <w:r>
        <w:rPr>
          <w:rFonts w:ascii="Times New Roman" w:hAnsi="Times New Roman"/>
          <w:kern w:val="0"/>
          <w:rtl w:val="0"/>
          <w:lang w:val="en-US"/>
        </w:rPr>
        <w:t>actually accelerates long-term progress. Crossing this paradox requires leaders to slow down intentionally in order to move with greater speed and clarity later.</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Key Practices:</w:t>
      </w:r>
    </w:p>
    <w:p>
      <w:pPr>
        <w:pStyle w:val="Body"/>
        <w:numPr>
          <w:ilvl w:val="0"/>
          <w:numId w:val="14"/>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Embed deep reflection points in project cycles.</w:t>
      </w:r>
    </w:p>
    <w:p>
      <w:pPr>
        <w:pStyle w:val="Body"/>
        <w:numPr>
          <w:ilvl w:val="0"/>
          <w:numId w:val="14"/>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Encourage dialogue before a decision.</w:t>
      </w:r>
    </w:p>
    <w:p>
      <w:pPr>
        <w:pStyle w:val="Body"/>
        <w:numPr>
          <w:ilvl w:val="0"/>
          <w:numId w:val="14"/>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Use depth metrics (quality of meaning, coherence) alongside velocity.</w:t>
      </w:r>
    </w:p>
    <w:p>
      <w:pPr>
        <w:pStyle w:val="Body"/>
        <w:spacing w:after="0" w:line="240" w:lineRule="auto"/>
        <w:rPr>
          <w:rFonts w:ascii="Times New Roman" w:cs="Times New Roman" w:hAnsi="Times New Roman" w:eastAsia="Times New Roman"/>
          <w:kern w:val="0"/>
        </w:rPr>
      </w:pPr>
      <w:r>
        <w:rPr>
          <w:rFonts w:ascii="Times New Roman" w:cs="Times New Roman" w:hAnsi="Times New Roman" w:eastAsia="Times New Roman"/>
          <w:kern w:val="0"/>
        </w:rPr>
        <mc:AlternateContent>
          <mc:Choice Requires="wps">
            <w:drawing xmlns:a="http://schemas.openxmlformats.org/drawingml/2006/main">
              <wp:inline distT="0" distB="0" distL="0" distR="0">
                <wp:extent cx="5521605" cy="12700"/>
                <wp:effectExtent l="0" t="0" r="0" b="0"/>
                <wp:docPr id="1073741833" name="officeArt object" descr="Rectangle"/>
                <wp:cNvGraphicFramePr/>
                <a:graphic xmlns:a="http://schemas.openxmlformats.org/drawingml/2006/main">
                  <a:graphicData uri="http://schemas.microsoft.com/office/word/2010/wordprocessingShape">
                    <wps:wsp>
                      <wps:cNvSpPr/>
                      <wps:spPr>
                        <a:xfrm>
                          <a:off x="0" y="0"/>
                          <a:ext cx="5521605" cy="12700"/>
                        </a:xfrm>
                        <a:prstGeom prst="rect">
                          <a:avLst/>
                        </a:prstGeom>
                        <a:solidFill>
                          <a:srgbClr val="A0A0A0"/>
                        </a:solidFill>
                        <a:ln w="12700" cap="flat">
                          <a:noFill/>
                          <a:miter lim="400000"/>
                        </a:ln>
                        <a:effectLst/>
                      </wps:spPr>
                      <wps:bodyPr/>
                    </wps:wsp>
                  </a:graphicData>
                </a:graphic>
              </wp:inline>
            </w:drawing>
          </mc:Choice>
          <mc:Fallback>
            <w:pict>
              <v:rect id="_x0000_s1034" style="visibility:visible;width:434.8pt;height:1.0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pacing w:before="100" w:after="100" w:line="240" w:lineRule="auto"/>
        <w:outlineLvl w:val="1"/>
        <w:rPr>
          <w:rFonts w:ascii="Times New Roman" w:cs="Times New Roman" w:hAnsi="Times New Roman" w:eastAsia="Times New Roman"/>
          <w:b w:val="1"/>
          <w:bCs w:val="1"/>
          <w:kern w:val="0"/>
          <w:sz w:val="36"/>
          <w:szCs w:val="36"/>
        </w:rPr>
      </w:pPr>
      <w:r>
        <w:rPr>
          <w:rFonts w:ascii="Times New Roman" w:hAnsi="Times New Roman"/>
          <w:b w:val="1"/>
          <w:bCs w:val="1"/>
          <w:kern w:val="0"/>
          <w:sz w:val="36"/>
          <w:szCs w:val="36"/>
          <w:rtl w:val="0"/>
          <w:lang w:val="fr-FR"/>
        </w:rPr>
        <w:t>8. Competition vs. Collaboration</w:t>
      </w:r>
    </w:p>
    <w:p>
      <w:pPr>
        <w:pStyle w:val="Body"/>
        <w:spacing w:before="100" w:after="100" w:line="240" w:lineRule="auto"/>
        <w:rPr>
          <w:rFonts w:ascii="Times New Roman" w:cs="Times New Roman" w:hAnsi="Times New Roman" w:eastAsia="Times New Roman"/>
          <w:kern w:val="0"/>
        </w:rPr>
      </w:pPr>
      <w:r>
        <w:rPr>
          <w:rFonts w:ascii="Times New Roman" w:hAnsi="Times New Roman"/>
          <w:b w:val="1"/>
          <w:bCs w:val="1"/>
          <w:kern w:val="0"/>
          <w:rtl w:val="0"/>
          <w:lang w:val="en-US"/>
        </w:rPr>
        <w:t>From Rivals to Resonance: Competing by Collaborating</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The old economy rewarded zero-sum competition. The new economy demands collaboration across ecosystems. Yet competition can also spark excellence. The paradox is that true collaboration does not eliminate competition but reframes it as mutual sharpening within resonance. Harmonic organizations compete to serve life better</w:t>
      </w:r>
      <w:r>
        <w:rPr>
          <w:rFonts w:ascii="Times New Roman" w:hAnsi="Times New Roman" w:hint="default"/>
          <w:kern w:val="0"/>
          <w:rtl w:val="0"/>
          <w:lang w:val="en-US"/>
        </w:rPr>
        <w:t>—</w:t>
      </w:r>
      <w:r>
        <w:rPr>
          <w:rFonts w:ascii="Times New Roman" w:hAnsi="Times New Roman"/>
          <w:kern w:val="0"/>
          <w:rtl w:val="0"/>
          <w:lang w:val="en-US"/>
        </w:rPr>
        <w:t>not to dominate rivals.</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Key Practices:</w:t>
      </w:r>
    </w:p>
    <w:p>
      <w:pPr>
        <w:pStyle w:val="Body"/>
        <w:numPr>
          <w:ilvl w:val="0"/>
          <w:numId w:val="16"/>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Design value-creating collaborations with competitors.</w:t>
      </w:r>
    </w:p>
    <w:p>
      <w:pPr>
        <w:pStyle w:val="Body"/>
        <w:numPr>
          <w:ilvl w:val="0"/>
          <w:numId w:val="16"/>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Share infrastructure where possible.</w:t>
      </w:r>
    </w:p>
    <w:p>
      <w:pPr>
        <w:pStyle w:val="Body"/>
        <w:numPr>
          <w:ilvl w:val="0"/>
          <w:numId w:val="16"/>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Recognize that ecosystems thrive when competition and cooperation coexist.</w:t>
      </w:r>
    </w:p>
    <w:p>
      <w:pPr>
        <w:pStyle w:val="Body"/>
        <w:spacing w:after="0" w:line="240" w:lineRule="auto"/>
        <w:rPr>
          <w:rFonts w:ascii="Times New Roman" w:cs="Times New Roman" w:hAnsi="Times New Roman" w:eastAsia="Times New Roman"/>
          <w:kern w:val="0"/>
        </w:rPr>
      </w:pPr>
      <w:r>
        <w:rPr>
          <w:rFonts w:ascii="Times New Roman" w:cs="Times New Roman" w:hAnsi="Times New Roman" w:eastAsia="Times New Roman"/>
          <w:kern w:val="0"/>
        </w:rPr>
        <mc:AlternateContent>
          <mc:Choice Requires="wps">
            <w:drawing xmlns:a="http://schemas.openxmlformats.org/drawingml/2006/main">
              <wp:inline distT="0" distB="0" distL="0" distR="0">
                <wp:extent cx="5521605" cy="12700"/>
                <wp:effectExtent l="0" t="0" r="0" b="0"/>
                <wp:docPr id="1073741834" name="officeArt object" descr="Rectangle"/>
                <wp:cNvGraphicFramePr/>
                <a:graphic xmlns:a="http://schemas.openxmlformats.org/drawingml/2006/main">
                  <a:graphicData uri="http://schemas.microsoft.com/office/word/2010/wordprocessingShape">
                    <wps:wsp>
                      <wps:cNvSpPr/>
                      <wps:spPr>
                        <a:xfrm>
                          <a:off x="0" y="0"/>
                          <a:ext cx="5521605" cy="12700"/>
                        </a:xfrm>
                        <a:prstGeom prst="rect">
                          <a:avLst/>
                        </a:prstGeom>
                        <a:solidFill>
                          <a:srgbClr val="A0A0A0"/>
                        </a:solidFill>
                        <a:ln w="12700" cap="flat">
                          <a:noFill/>
                          <a:miter lim="400000"/>
                        </a:ln>
                        <a:effectLst/>
                      </wps:spPr>
                      <wps:bodyPr/>
                    </wps:wsp>
                  </a:graphicData>
                </a:graphic>
              </wp:inline>
            </w:drawing>
          </mc:Choice>
          <mc:Fallback>
            <w:pict>
              <v:rect id="_x0000_s1035" style="visibility:visible;width:434.8pt;height:1.0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pacing w:before="100" w:after="100" w:line="240" w:lineRule="auto"/>
        <w:outlineLvl w:val="1"/>
        <w:rPr>
          <w:rFonts w:ascii="Times New Roman" w:cs="Times New Roman" w:hAnsi="Times New Roman" w:eastAsia="Times New Roman"/>
          <w:b w:val="1"/>
          <w:bCs w:val="1"/>
          <w:kern w:val="0"/>
          <w:sz w:val="36"/>
          <w:szCs w:val="36"/>
        </w:rPr>
      </w:pPr>
      <w:r>
        <w:rPr>
          <w:rFonts w:ascii="Times New Roman" w:hAnsi="Times New Roman"/>
          <w:b w:val="1"/>
          <w:bCs w:val="1"/>
          <w:kern w:val="0"/>
          <w:sz w:val="36"/>
          <w:szCs w:val="36"/>
          <w:rtl w:val="0"/>
        </w:rPr>
        <w:t>9. Control vs. Trust</w:t>
      </w:r>
    </w:p>
    <w:p>
      <w:pPr>
        <w:pStyle w:val="Body"/>
        <w:spacing w:before="100" w:after="100" w:line="240" w:lineRule="auto"/>
        <w:rPr>
          <w:rFonts w:ascii="Times New Roman" w:cs="Times New Roman" w:hAnsi="Times New Roman" w:eastAsia="Times New Roman"/>
          <w:kern w:val="0"/>
        </w:rPr>
      </w:pPr>
      <w:r>
        <w:rPr>
          <w:rFonts w:ascii="Times New Roman" w:hAnsi="Times New Roman"/>
          <w:b w:val="1"/>
          <w:bCs w:val="1"/>
          <w:kern w:val="0"/>
          <w:rtl w:val="0"/>
          <w:lang w:val="en-US"/>
        </w:rPr>
        <w:t>Letting Go to Lead: Trust as the New Governance Model</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Traditional governance is built on control</w:t>
      </w:r>
      <w:r>
        <w:rPr>
          <w:rFonts w:ascii="Times New Roman" w:hAnsi="Times New Roman" w:hint="default"/>
          <w:kern w:val="0"/>
          <w:rtl w:val="0"/>
          <w:lang w:val="en-US"/>
        </w:rPr>
        <w:t>—</w:t>
      </w:r>
      <w:r>
        <w:rPr>
          <w:rFonts w:ascii="Times New Roman" w:hAnsi="Times New Roman"/>
          <w:kern w:val="0"/>
          <w:rtl w:val="0"/>
          <w:lang w:val="en-US"/>
        </w:rPr>
        <w:t>encompassing rules, surveillance, and compliance. Harmonic leadership is built on trust</w:t>
      </w:r>
      <w:r>
        <w:rPr>
          <w:rFonts w:ascii="Times New Roman" w:hAnsi="Times New Roman" w:hint="default"/>
          <w:kern w:val="0"/>
          <w:rtl w:val="0"/>
          <w:lang w:val="en-US"/>
        </w:rPr>
        <w:t>—</w:t>
      </w:r>
      <w:r>
        <w:rPr>
          <w:rFonts w:ascii="Times New Roman" w:hAnsi="Times New Roman"/>
          <w:kern w:val="0"/>
          <w:rtl w:val="0"/>
          <w:lang w:val="en-US"/>
        </w:rPr>
        <w:t>coherence, resonance, and shared integrity. The paradox is that trust feels risky until you experience its multiplying effect. Leaders must cross the threshold by realizing that control creates fragility, while trust generates antifragility.</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Key Practices:</w:t>
      </w:r>
    </w:p>
    <w:p>
      <w:pPr>
        <w:pStyle w:val="Body"/>
        <w:numPr>
          <w:ilvl w:val="0"/>
          <w:numId w:val="18"/>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Replace punitive compliance systems with relational accountability.</w:t>
      </w:r>
    </w:p>
    <w:p>
      <w:pPr>
        <w:pStyle w:val="Body"/>
        <w:numPr>
          <w:ilvl w:val="0"/>
          <w:numId w:val="18"/>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Track coherence signals (trust, adaptability, creativity).</w:t>
      </w:r>
    </w:p>
    <w:p>
      <w:pPr>
        <w:pStyle w:val="Body"/>
        <w:numPr>
          <w:ilvl w:val="0"/>
          <w:numId w:val="18"/>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Train leaders to see trust as an asset, not a liability.</w:t>
      </w:r>
    </w:p>
    <w:p>
      <w:pPr>
        <w:pStyle w:val="Body"/>
        <w:spacing w:after="0" w:line="240" w:lineRule="auto"/>
        <w:rPr>
          <w:rFonts w:ascii="Times New Roman" w:cs="Times New Roman" w:hAnsi="Times New Roman" w:eastAsia="Times New Roman"/>
          <w:kern w:val="0"/>
        </w:rPr>
      </w:pPr>
      <w:r>
        <w:rPr>
          <w:rFonts w:ascii="Times New Roman" w:cs="Times New Roman" w:hAnsi="Times New Roman" w:eastAsia="Times New Roman"/>
          <w:kern w:val="0"/>
        </w:rPr>
        <mc:AlternateContent>
          <mc:Choice Requires="wps">
            <w:drawing xmlns:a="http://schemas.openxmlformats.org/drawingml/2006/main">
              <wp:inline distT="0" distB="0" distL="0" distR="0">
                <wp:extent cx="5521605" cy="12700"/>
                <wp:effectExtent l="0" t="0" r="0" b="0"/>
                <wp:docPr id="1073741835" name="officeArt object" descr="Rectangle"/>
                <wp:cNvGraphicFramePr/>
                <a:graphic xmlns:a="http://schemas.openxmlformats.org/drawingml/2006/main">
                  <a:graphicData uri="http://schemas.microsoft.com/office/word/2010/wordprocessingShape">
                    <wps:wsp>
                      <wps:cNvSpPr/>
                      <wps:spPr>
                        <a:xfrm>
                          <a:off x="0" y="0"/>
                          <a:ext cx="5521605" cy="12700"/>
                        </a:xfrm>
                        <a:prstGeom prst="rect">
                          <a:avLst/>
                        </a:prstGeom>
                        <a:solidFill>
                          <a:srgbClr val="A0A0A0"/>
                        </a:solidFill>
                        <a:ln w="12700" cap="flat">
                          <a:noFill/>
                          <a:miter lim="400000"/>
                        </a:ln>
                        <a:effectLst/>
                      </wps:spPr>
                      <wps:bodyPr/>
                    </wps:wsp>
                  </a:graphicData>
                </a:graphic>
              </wp:inline>
            </w:drawing>
          </mc:Choice>
          <mc:Fallback>
            <w:pict>
              <v:rect id="_x0000_s1036" style="visibility:visible;width:434.8pt;height:1.0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pacing w:before="100" w:after="100" w:line="240" w:lineRule="auto"/>
        <w:outlineLvl w:val="1"/>
        <w:rPr>
          <w:rFonts w:ascii="Times New Roman" w:cs="Times New Roman" w:hAnsi="Times New Roman" w:eastAsia="Times New Roman"/>
          <w:b w:val="1"/>
          <w:bCs w:val="1"/>
          <w:kern w:val="0"/>
          <w:sz w:val="36"/>
          <w:szCs w:val="36"/>
        </w:rPr>
      </w:pPr>
      <w:r>
        <w:rPr>
          <w:rFonts w:ascii="Times New Roman" w:hAnsi="Times New Roman"/>
          <w:b w:val="1"/>
          <w:bCs w:val="1"/>
          <w:kern w:val="0"/>
          <w:sz w:val="36"/>
          <w:szCs w:val="36"/>
          <w:rtl w:val="0"/>
          <w:lang w:val="en-US"/>
        </w:rPr>
        <w:t>10. Local vs. Global</w:t>
      </w:r>
    </w:p>
    <w:p>
      <w:pPr>
        <w:pStyle w:val="Body"/>
        <w:spacing w:before="100" w:after="100" w:line="240" w:lineRule="auto"/>
        <w:rPr>
          <w:rFonts w:ascii="Times New Roman" w:cs="Times New Roman" w:hAnsi="Times New Roman" w:eastAsia="Times New Roman"/>
          <w:kern w:val="0"/>
        </w:rPr>
      </w:pPr>
      <w:r>
        <w:rPr>
          <w:rFonts w:ascii="Times New Roman" w:hAnsi="Times New Roman"/>
          <w:b w:val="1"/>
          <w:bCs w:val="1"/>
          <w:kern w:val="0"/>
          <w:rtl w:val="0"/>
          <w:lang w:val="en-US"/>
        </w:rPr>
        <w:t>Think Planet, Act Place: Holding the Local-Global Paradox</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Leaders today must hold dual commitments: to local communities and to planetary systems. Harmonic organizations see the local and the global as nested fractals, not opposites. Local action amplifies global coherence; global awareness strengthens local vitality. The paradox is crossed by operating in both dimensions simultaneously.</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Key Practices:</w:t>
      </w:r>
    </w:p>
    <w:p>
      <w:pPr>
        <w:pStyle w:val="Body"/>
        <w:numPr>
          <w:ilvl w:val="0"/>
          <w:numId w:val="20"/>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Embed planetary responsibility into local projects.</w:t>
      </w:r>
    </w:p>
    <w:p>
      <w:pPr>
        <w:pStyle w:val="Body"/>
        <w:numPr>
          <w:ilvl w:val="0"/>
          <w:numId w:val="20"/>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Design fractal governance that scales both up and down.</w:t>
      </w:r>
    </w:p>
    <w:p>
      <w:pPr>
        <w:pStyle w:val="Body"/>
        <w:numPr>
          <w:ilvl w:val="0"/>
          <w:numId w:val="20"/>
        </w:numPr>
        <w:bidi w:val="0"/>
        <w:spacing w:before="100" w:after="100" w:line="240" w:lineRule="auto"/>
        <w:ind w:right="0"/>
        <w:jc w:val="left"/>
        <w:rPr>
          <w:rFonts w:ascii="Times New Roman" w:hAnsi="Times New Roman"/>
          <w:rtl w:val="0"/>
          <w:lang w:val="en-US"/>
        </w:rPr>
      </w:pPr>
      <w:r>
        <w:rPr>
          <w:rFonts w:ascii="Times New Roman" w:hAnsi="Times New Roman"/>
          <w:kern w:val="0"/>
          <w:rtl w:val="0"/>
          <w:lang w:val="en-US"/>
        </w:rPr>
        <w:t>Use place-based wisdom to guide global initiatives.</w:t>
      </w:r>
    </w:p>
    <w:p>
      <w:pPr>
        <w:pStyle w:val="Body"/>
        <w:spacing w:after="0" w:line="240" w:lineRule="auto"/>
        <w:rPr>
          <w:rFonts w:ascii="Times New Roman" w:cs="Times New Roman" w:hAnsi="Times New Roman" w:eastAsia="Times New Roman"/>
          <w:kern w:val="0"/>
        </w:rPr>
      </w:pPr>
      <w:r>
        <w:rPr>
          <w:rFonts w:ascii="Times New Roman" w:cs="Times New Roman" w:hAnsi="Times New Roman" w:eastAsia="Times New Roman"/>
          <w:kern w:val="0"/>
        </w:rPr>
        <mc:AlternateContent>
          <mc:Choice Requires="wps">
            <w:drawing xmlns:a="http://schemas.openxmlformats.org/drawingml/2006/main">
              <wp:inline distT="0" distB="0" distL="0" distR="0">
                <wp:extent cx="5521605" cy="12700"/>
                <wp:effectExtent l="0" t="0" r="0" b="0"/>
                <wp:docPr id="1073741836" name="officeArt object" descr="Rectangle"/>
                <wp:cNvGraphicFramePr/>
                <a:graphic xmlns:a="http://schemas.openxmlformats.org/drawingml/2006/main">
                  <a:graphicData uri="http://schemas.microsoft.com/office/word/2010/wordprocessingShape">
                    <wps:wsp>
                      <wps:cNvSpPr/>
                      <wps:spPr>
                        <a:xfrm>
                          <a:off x="0" y="0"/>
                          <a:ext cx="5521605" cy="12700"/>
                        </a:xfrm>
                        <a:prstGeom prst="rect">
                          <a:avLst/>
                        </a:prstGeom>
                        <a:solidFill>
                          <a:srgbClr val="A0A0A0"/>
                        </a:solidFill>
                        <a:ln w="12700" cap="flat">
                          <a:noFill/>
                          <a:miter lim="400000"/>
                        </a:ln>
                        <a:effectLst/>
                      </wps:spPr>
                      <wps:bodyPr/>
                    </wps:wsp>
                  </a:graphicData>
                </a:graphic>
              </wp:inline>
            </w:drawing>
          </mc:Choice>
          <mc:Fallback>
            <w:pict>
              <v:rect id="_x0000_s1037" style="visibility:visible;width:434.8pt;height:1.0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pacing w:before="100" w:after="100" w:line="240" w:lineRule="auto"/>
        <w:outlineLvl w:val="1"/>
        <w:rPr>
          <w:rFonts w:ascii="Times New Roman" w:cs="Times New Roman" w:hAnsi="Times New Roman" w:eastAsia="Times New Roman"/>
          <w:b w:val="1"/>
          <w:bCs w:val="1"/>
          <w:kern w:val="0"/>
          <w:sz w:val="36"/>
          <w:szCs w:val="36"/>
        </w:rPr>
      </w:pPr>
      <w:r>
        <w:rPr>
          <w:rFonts w:ascii="Times New Roman" w:hAnsi="Times New Roman"/>
          <w:b w:val="1"/>
          <w:bCs w:val="1"/>
          <w:kern w:val="0"/>
          <w:sz w:val="36"/>
          <w:szCs w:val="36"/>
          <w:rtl w:val="0"/>
          <w:lang w:val="en-US"/>
        </w:rPr>
        <w:t>Conclusion: Paradox as Doorway to Harmonic Leadership</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The decade ahead will test executives not by asking them to solve paradoxes but to cross them. Each paradox is an initiation</w:t>
      </w:r>
      <w:r>
        <w:rPr>
          <w:rFonts w:ascii="Times New Roman" w:hAnsi="Times New Roman" w:hint="default"/>
          <w:kern w:val="0"/>
          <w:rtl w:val="0"/>
          <w:lang w:val="en-US"/>
        </w:rPr>
        <w:t>—</w:t>
      </w:r>
      <w:r>
        <w:rPr>
          <w:rFonts w:ascii="Times New Roman" w:hAnsi="Times New Roman"/>
          <w:kern w:val="0"/>
          <w:rtl w:val="0"/>
          <w:lang w:val="en-US"/>
        </w:rPr>
        <w:t>a threshold through which leaders move from either/or logic into both/and coherence. Harmonic leadership is not about choosing sides but about weaving tensions into resonance. By crossing these ten paradoxes, leaders prepare their organizations</w:t>
      </w:r>
      <w:r>
        <w:rPr>
          <w:rFonts w:ascii="Times New Roman" w:hAnsi="Times New Roman" w:hint="default"/>
          <w:kern w:val="0"/>
          <w:rtl w:val="0"/>
          <w:lang w:val="en-US"/>
        </w:rPr>
        <w:t>—</w:t>
      </w:r>
      <w:r>
        <w:rPr>
          <w:rFonts w:ascii="Times New Roman" w:hAnsi="Times New Roman"/>
          <w:kern w:val="0"/>
          <w:rtl w:val="0"/>
          <w:lang w:val="en-US"/>
        </w:rPr>
        <w:t>and themselves</w:t>
      </w:r>
      <w:r>
        <w:rPr>
          <w:rFonts w:ascii="Times New Roman" w:hAnsi="Times New Roman" w:hint="default"/>
          <w:kern w:val="0"/>
          <w:rtl w:val="0"/>
          <w:lang w:val="en-US"/>
        </w:rPr>
        <w:t>—</w:t>
      </w:r>
      <w:r>
        <w:rPr>
          <w:rFonts w:ascii="Times New Roman" w:hAnsi="Times New Roman"/>
          <w:kern w:val="0"/>
          <w:rtl w:val="0"/>
          <w:lang w:val="en-US"/>
        </w:rPr>
        <w:t>for the harmonic future already arriving.</w:t>
      </w:r>
    </w:p>
    <w:p>
      <w:pPr>
        <w:pStyle w:val="Body"/>
        <w:spacing w:before="100" w:after="100" w:line="240" w:lineRule="auto"/>
        <w:rPr>
          <w:rFonts w:ascii="Times New Roman" w:cs="Times New Roman" w:hAnsi="Times New Roman" w:eastAsia="Times New Roman"/>
          <w:kern w:val="0"/>
        </w:rPr>
      </w:pPr>
      <w:r>
        <w:rPr>
          <w:rFonts w:ascii="Times New Roman" w:cs="Times New Roman" w:hAnsi="Times New Roman" w:eastAsia="Times New Roman"/>
          <w:kern w:val="0"/>
        </w:rPr>
        <w:drawing xmlns:a="http://schemas.openxmlformats.org/drawingml/2006/main">
          <wp:inline distT="0" distB="0" distL="0" distR="0">
            <wp:extent cx="5727700" cy="5727700"/>
            <wp:effectExtent l="0" t="0" r="0" b="0"/>
            <wp:docPr id="1073741837" name="officeArt object"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37" name="A black and white logoAI-generated content may be incorrect." descr="A black and white logoAI-generated content may be incorrect."/>
                    <pic:cNvPicPr>
                      <a:picLocks noChangeAspect="1"/>
                    </pic:cNvPicPr>
                  </pic:nvPicPr>
                  <pic:blipFill>
                    <a:blip r:embed="rId4">
                      <a:extLst/>
                    </a:blip>
                    <a:stretch>
                      <a:fillRect/>
                    </a:stretch>
                  </pic:blipFill>
                  <pic:spPr>
                    <a:xfrm>
                      <a:off x="0" y="0"/>
                      <a:ext cx="5727700" cy="5727700"/>
                    </a:xfrm>
                    <a:prstGeom prst="rect">
                      <a:avLst/>
                    </a:prstGeom>
                    <a:ln w="12700" cap="flat">
                      <a:noFill/>
                      <a:miter lim="400000"/>
                    </a:ln>
                    <a:effectLst/>
                  </pic:spPr>
                </pic:pic>
              </a:graphicData>
            </a:graphic>
          </wp:inline>
        </w:drawing>
      </w:r>
    </w:p>
    <w:p>
      <w:pPr>
        <w:pStyle w:val="Body"/>
        <w:spacing w:before="100" w:after="100" w:line="240" w:lineRule="auto"/>
        <w:rPr>
          <w:rFonts w:ascii="Times New Roman" w:cs="Times New Roman" w:hAnsi="Times New Roman" w:eastAsia="Times New Roman"/>
          <w:kern w:val="0"/>
        </w:rPr>
      </w:pPr>
    </w:p>
    <w:p>
      <w:pPr>
        <w:pStyle w:val="Body"/>
        <w:spacing w:before="100" w:after="100" w:line="240" w:lineRule="auto"/>
        <w:rPr>
          <w:rFonts w:ascii="Times New Roman" w:cs="Times New Roman" w:hAnsi="Times New Roman" w:eastAsia="Times New Roman"/>
          <w:kern w:val="0"/>
        </w:rPr>
      </w:pPr>
      <w:r>
        <w:rPr>
          <w:rFonts w:ascii="Times New Roman" w:cs="Times New Roman" w:hAnsi="Times New Roman" w:eastAsia="Times New Roman"/>
          <w:kern w:val="0"/>
        </w:rPr>
        <w:drawing xmlns:a="http://schemas.openxmlformats.org/drawingml/2006/main">
          <wp:inline distT="0" distB="0" distL="0" distR="0">
            <wp:extent cx="5727700" cy="5727700"/>
            <wp:effectExtent l="0" t="0" r="0" b="0"/>
            <wp:docPr id="1073741838" name="officeArt object" descr="A black and white symbol&#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38" name="A black and white symbolAI-generated content may be incorrect." descr="A black and white symbolAI-generated content may be incorrect."/>
                    <pic:cNvPicPr>
                      <a:picLocks noChangeAspect="1"/>
                    </pic:cNvPicPr>
                  </pic:nvPicPr>
                  <pic:blipFill>
                    <a:blip r:embed="rId5">
                      <a:extLst/>
                    </a:blip>
                    <a:stretch>
                      <a:fillRect/>
                    </a:stretch>
                  </pic:blipFill>
                  <pic:spPr>
                    <a:xfrm>
                      <a:off x="0" y="0"/>
                      <a:ext cx="5727700" cy="5727700"/>
                    </a:xfrm>
                    <a:prstGeom prst="rect">
                      <a:avLst/>
                    </a:prstGeom>
                    <a:ln w="12700" cap="flat">
                      <a:noFill/>
                      <a:miter lim="400000"/>
                    </a:ln>
                    <a:effectLst/>
                  </pic:spPr>
                </pic:pic>
              </a:graphicData>
            </a:graphic>
          </wp:inline>
        </w:drawing>
      </w:r>
    </w:p>
    <w:p>
      <w:pPr>
        <w:pStyle w:val="Body"/>
        <w:spacing w:before="100" w:after="100" w:line="240" w:lineRule="auto"/>
        <w:rPr>
          <w:rFonts w:ascii="Times New Roman" w:cs="Times New Roman" w:hAnsi="Times New Roman" w:eastAsia="Times New Roman"/>
          <w:kern w:val="0"/>
        </w:rPr>
      </w:pPr>
    </w:p>
    <w:p>
      <w:pPr>
        <w:pStyle w:val="Body"/>
        <w:spacing w:before="100" w:after="100" w:line="240" w:lineRule="auto"/>
        <w:outlineLvl w:val="0"/>
        <w:rPr>
          <w:rFonts w:ascii="Times New Roman" w:cs="Times New Roman" w:hAnsi="Times New Roman" w:eastAsia="Times New Roman"/>
          <w:b w:val="1"/>
          <w:bCs w:val="1"/>
          <w:kern w:val="36"/>
          <w:sz w:val="48"/>
          <w:szCs w:val="48"/>
        </w:rPr>
      </w:pPr>
      <w:r>
        <w:rPr>
          <w:rFonts w:ascii="Times New Roman" w:hAnsi="Times New Roman"/>
          <w:b w:val="1"/>
          <w:bCs w:val="1"/>
          <w:kern w:val="36"/>
          <w:sz w:val="48"/>
          <w:szCs w:val="48"/>
          <w:rtl w:val="0"/>
          <w:lang w:val="en-US"/>
        </w:rPr>
        <w:t>Tools for Communicating the 10 Paradoxes of Harmonic Leadership</w:t>
      </w:r>
    </w:p>
    <w:p>
      <w:pPr>
        <w:pStyle w:val="Body"/>
        <w:spacing w:after="0" w:line="240" w:lineRule="auto"/>
        <w:rPr>
          <w:rFonts w:ascii="Times New Roman" w:cs="Times New Roman" w:hAnsi="Times New Roman" w:eastAsia="Times New Roman"/>
          <w:kern w:val="0"/>
        </w:rPr>
      </w:pPr>
      <w:r>
        <w:rPr>
          <w:rFonts w:ascii="Times New Roman" w:cs="Times New Roman" w:hAnsi="Times New Roman" w:eastAsia="Times New Roman"/>
          <w:kern w:val="0"/>
        </w:rPr>
        <mc:AlternateContent>
          <mc:Choice Requires="wps">
            <w:drawing xmlns:a="http://schemas.openxmlformats.org/drawingml/2006/main">
              <wp:inline distT="0" distB="0" distL="0" distR="0">
                <wp:extent cx="5521605" cy="12700"/>
                <wp:effectExtent l="0" t="0" r="0" b="0"/>
                <wp:docPr id="1073741839" name="officeArt object" descr="Rectangle"/>
                <wp:cNvGraphicFramePr/>
                <a:graphic xmlns:a="http://schemas.openxmlformats.org/drawingml/2006/main">
                  <a:graphicData uri="http://schemas.microsoft.com/office/word/2010/wordprocessingShape">
                    <wps:wsp>
                      <wps:cNvSpPr/>
                      <wps:spPr>
                        <a:xfrm>
                          <a:off x="0" y="0"/>
                          <a:ext cx="5521605" cy="12700"/>
                        </a:xfrm>
                        <a:prstGeom prst="rect">
                          <a:avLst/>
                        </a:prstGeom>
                        <a:solidFill>
                          <a:srgbClr val="A0A0A0"/>
                        </a:solidFill>
                        <a:ln w="12700" cap="flat">
                          <a:noFill/>
                          <a:miter lim="400000"/>
                        </a:ln>
                        <a:effectLst/>
                      </wps:spPr>
                      <wps:bodyPr/>
                    </wps:wsp>
                  </a:graphicData>
                </a:graphic>
              </wp:inline>
            </w:drawing>
          </mc:Choice>
          <mc:Fallback>
            <w:pict>
              <v:rect id="_x0000_s1038" style="visibility:visible;width:434.8pt;height:1.0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pacing w:before="100" w:after="100" w:line="240" w:lineRule="auto"/>
        <w:outlineLvl w:val="1"/>
        <w:rPr>
          <w:rFonts w:ascii="Times New Roman" w:cs="Times New Roman" w:hAnsi="Times New Roman" w:eastAsia="Times New Roman"/>
          <w:b w:val="1"/>
          <w:bCs w:val="1"/>
          <w:kern w:val="0"/>
          <w:sz w:val="36"/>
          <w:szCs w:val="36"/>
        </w:rPr>
      </w:pPr>
      <w:r>
        <w:rPr>
          <w:rFonts w:ascii="Times New Roman" w:hAnsi="Times New Roman"/>
          <w:b w:val="1"/>
          <w:bCs w:val="1"/>
          <w:kern w:val="0"/>
          <w:sz w:val="36"/>
          <w:szCs w:val="36"/>
          <w:rtl w:val="0"/>
          <w:lang w:val="en-US"/>
        </w:rPr>
        <w:t>Paradox Spectrum (Polarity Lens)</w:t>
      </w:r>
    </w:p>
    <w:p>
      <w:pPr>
        <w:pStyle w:val="Body"/>
        <w:spacing w:before="100" w:after="100" w:line="240" w:lineRule="auto"/>
        <w:rPr>
          <w:rFonts w:ascii="Times New Roman" w:cs="Times New Roman" w:hAnsi="Times New Roman" w:eastAsia="Times New Roman"/>
          <w:kern w:val="0"/>
        </w:rPr>
      </w:pPr>
      <w:r>
        <w:rPr>
          <w:rFonts w:ascii="Times New Roman" w:hAnsi="Times New Roman"/>
          <w:kern w:val="0"/>
          <w:rtl w:val="0"/>
          <w:lang w:val="en-US"/>
        </w:rPr>
        <w:t xml:space="preserve">Each paradox is visualized as a polarity </w:t>
      </w:r>
      <w:r>
        <w:rPr>
          <w:rFonts w:ascii="Times New Roman" w:hAnsi="Times New Roman" w:hint="default"/>
          <w:kern w:val="0"/>
          <w:rtl w:val="0"/>
          <w:lang w:val="en-US"/>
        </w:rPr>
        <w:t xml:space="preserve">◄► </w:t>
      </w:r>
      <w:r>
        <w:rPr>
          <w:rFonts w:ascii="Times New Roman" w:hAnsi="Times New Roman"/>
          <w:kern w:val="0"/>
          <w:rtl w:val="0"/>
          <w:lang w:val="en-US"/>
        </w:rPr>
        <w:t xml:space="preserve">with a highlighted </w:t>
      </w:r>
      <w:r>
        <w:rPr>
          <w:rFonts w:ascii="Times New Roman" w:hAnsi="Times New Roman"/>
          <w:b w:val="1"/>
          <w:bCs w:val="1"/>
          <w:kern w:val="0"/>
          <w:rtl w:val="0"/>
          <w:lang w:val="da-DK"/>
        </w:rPr>
        <w:t>Threshold Zone</w:t>
      </w:r>
      <w:r>
        <w:rPr>
          <w:rFonts w:ascii="Times New Roman" w:hAnsi="Times New Roman"/>
          <w:kern w:val="0"/>
          <w:rtl w:val="0"/>
          <w:lang w:val="en-US"/>
        </w:rPr>
        <w:t xml:space="preserve"> in the middle. The focus is on </w:t>
      </w:r>
      <w:r>
        <w:rPr>
          <w:rFonts w:ascii="Times New Roman" w:hAnsi="Times New Roman"/>
          <w:i w:val="1"/>
          <w:iCs w:val="1"/>
          <w:kern w:val="0"/>
          <w:rtl w:val="0"/>
          <w:lang w:val="en-US"/>
        </w:rPr>
        <w:t>holding the tension</w:t>
      </w:r>
      <w:r>
        <w:rPr>
          <w:rFonts w:ascii="Times New Roman" w:hAnsi="Times New Roman"/>
          <w:kern w:val="0"/>
          <w:rtl w:val="0"/>
          <w:lang w:val="en-US"/>
        </w:rPr>
        <w:t xml:space="preserve"> and crossing through integration, rather than eliminating one side.</w:t>
      </w:r>
    </w:p>
    <w:p>
      <w:pPr>
        <w:pStyle w:val="Body"/>
        <w:spacing w:after="0" w:line="240" w:lineRule="auto"/>
        <w:rPr>
          <w:rFonts w:ascii="Times New Roman" w:cs="Times New Roman" w:hAnsi="Times New Roman" w:eastAsia="Times New Roman"/>
          <w:kern w:val="0"/>
        </w:rPr>
      </w:pPr>
      <w:r>
        <w:rPr>
          <w:rFonts w:ascii="Times New Roman" w:cs="Times New Roman" w:hAnsi="Times New Roman" w:eastAsia="Times New Roman"/>
          <w:kern w:val="0"/>
        </w:rPr>
        <mc:AlternateContent>
          <mc:Choice Requires="wps">
            <w:drawing xmlns:a="http://schemas.openxmlformats.org/drawingml/2006/main">
              <wp:inline distT="0" distB="0" distL="0" distR="0">
                <wp:extent cx="5521605" cy="12700"/>
                <wp:effectExtent l="0" t="0" r="0" b="0"/>
                <wp:docPr id="1073741840" name="officeArt object" descr="Rectangle"/>
                <wp:cNvGraphicFramePr/>
                <a:graphic xmlns:a="http://schemas.openxmlformats.org/drawingml/2006/main">
                  <a:graphicData uri="http://schemas.microsoft.com/office/word/2010/wordprocessingShape">
                    <wps:wsp>
                      <wps:cNvSpPr/>
                      <wps:spPr>
                        <a:xfrm>
                          <a:off x="0" y="0"/>
                          <a:ext cx="5521605" cy="12700"/>
                        </a:xfrm>
                        <a:prstGeom prst="rect">
                          <a:avLst/>
                        </a:prstGeom>
                        <a:solidFill>
                          <a:srgbClr val="A0A0A0"/>
                        </a:solidFill>
                        <a:ln w="12700" cap="flat">
                          <a:noFill/>
                          <a:miter lim="400000"/>
                        </a:ln>
                        <a:effectLst/>
                      </wps:spPr>
                      <wps:bodyPr/>
                    </wps:wsp>
                  </a:graphicData>
                </a:graphic>
              </wp:inline>
            </w:drawing>
          </mc:Choice>
          <mc:Fallback>
            <w:pict>
              <v:rect id="_x0000_s1039" style="visibility:visible;width:434.8pt;height:1.0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pacing w:before="100" w:after="100" w:line="240" w:lineRule="auto"/>
        <w:rPr>
          <w:rFonts w:ascii="Times New Roman" w:cs="Times New Roman" w:hAnsi="Times New Roman" w:eastAsia="Times New Roman"/>
          <w:kern w:val="0"/>
        </w:rPr>
      </w:pPr>
      <w:r>
        <w:rPr>
          <w:rFonts w:ascii="Times New Roman" w:hAnsi="Times New Roman"/>
          <w:b w:val="1"/>
          <w:bCs w:val="1"/>
          <w:kern w:val="0"/>
          <w:rtl w:val="0"/>
          <w:lang w:val="en-US"/>
        </w:rPr>
        <w:t xml:space="preserve">Efficiency </w:t>
      </w:r>
      <w:r>
        <w:rPr>
          <w:rFonts w:ascii="Times New Roman" w:hAnsi="Times New Roman" w:hint="default"/>
          <w:b w:val="1"/>
          <w:bCs w:val="1"/>
          <w:kern w:val="0"/>
          <w:rtl w:val="0"/>
          <w:lang w:val="en-US"/>
        </w:rPr>
        <w:t xml:space="preserve">◄────────── </w:t>
      </w:r>
      <w:r>
        <w:rPr>
          <w:rFonts w:ascii="Times New Roman" w:hAnsi="Times New Roman"/>
          <w:b w:val="1"/>
          <w:bCs w:val="1"/>
          <w:kern w:val="0"/>
          <w:rtl w:val="0"/>
          <w:lang w:val="da-DK"/>
        </w:rPr>
        <w:t xml:space="preserve">Threshold Zone </w:t>
      </w:r>
      <w:r>
        <w:rPr>
          <w:rFonts w:ascii="Times New Roman" w:hAnsi="Times New Roman" w:hint="default"/>
          <w:b w:val="1"/>
          <w:bCs w:val="1"/>
          <w:kern w:val="0"/>
          <w:rtl w:val="0"/>
          <w:lang w:val="en-US"/>
        </w:rPr>
        <w:t xml:space="preserve">─────────► </w:t>
      </w:r>
      <w:r>
        <w:rPr>
          <w:rFonts w:ascii="Times New Roman" w:hAnsi="Times New Roman"/>
          <w:b w:val="1"/>
          <w:bCs w:val="1"/>
          <w:kern w:val="0"/>
          <w:rtl w:val="0"/>
          <w:lang w:val="en-US"/>
        </w:rPr>
        <w:t>Flourishing</w:t>
      </w:r>
    </w:p>
    <w:p>
      <w:pPr>
        <w:pStyle w:val="Body"/>
        <w:spacing w:before="100" w:after="100" w:line="240" w:lineRule="auto"/>
        <w:rPr>
          <w:rFonts w:ascii="Times New Roman" w:cs="Times New Roman" w:hAnsi="Times New Roman" w:eastAsia="Times New Roman"/>
          <w:kern w:val="0"/>
        </w:rPr>
      </w:pPr>
      <w:r>
        <w:rPr>
          <w:rFonts w:ascii="Times New Roman" w:hAnsi="Times New Roman"/>
          <w:i w:val="1"/>
          <w:iCs w:val="1"/>
          <w:kern w:val="0"/>
          <w:rtl w:val="0"/>
          <w:lang w:val="en-US"/>
        </w:rPr>
        <w:t>Integration Point:</w:t>
      </w:r>
      <w:r>
        <w:rPr>
          <w:rFonts w:ascii="Times New Roman" w:hAnsi="Times New Roman"/>
          <w:kern w:val="0"/>
          <w:rtl w:val="0"/>
          <w:lang w:val="en-US"/>
        </w:rPr>
        <w:t xml:space="preserve"> Flourishing creates resilient efficiency naturally.</w:t>
      </w:r>
    </w:p>
    <w:p>
      <w:pPr>
        <w:pStyle w:val="Body"/>
        <w:spacing w:before="100" w:after="100" w:line="240" w:lineRule="auto"/>
        <w:rPr>
          <w:rFonts w:ascii="Times New Roman" w:cs="Times New Roman" w:hAnsi="Times New Roman" w:eastAsia="Times New Roman"/>
          <w:kern w:val="0"/>
        </w:rPr>
      </w:pPr>
    </w:p>
    <w:p>
      <w:pPr>
        <w:pStyle w:val="Body"/>
        <w:spacing w:before="100" w:after="100" w:line="240" w:lineRule="auto"/>
        <w:rPr>
          <w:rFonts w:ascii="Times New Roman" w:cs="Times New Roman" w:hAnsi="Times New Roman" w:eastAsia="Times New Roman"/>
          <w:kern w:val="0"/>
        </w:rPr>
      </w:pPr>
      <w:r>
        <w:rPr>
          <w:rFonts w:ascii="Times New Roman" w:hAnsi="Times New Roman"/>
          <w:b w:val="1"/>
          <w:bCs w:val="1"/>
          <w:kern w:val="0"/>
          <w:rtl w:val="0"/>
          <w:lang w:val="en-US"/>
        </w:rPr>
        <w:t xml:space="preserve">Centralization </w:t>
      </w:r>
      <w:r>
        <w:rPr>
          <w:rFonts w:ascii="Times New Roman" w:hAnsi="Times New Roman" w:hint="default"/>
          <w:b w:val="1"/>
          <w:bCs w:val="1"/>
          <w:kern w:val="0"/>
          <w:rtl w:val="0"/>
          <w:lang w:val="en-US"/>
        </w:rPr>
        <w:t xml:space="preserve">◄────────── </w:t>
      </w:r>
      <w:r>
        <w:rPr>
          <w:rFonts w:ascii="Times New Roman" w:hAnsi="Times New Roman"/>
          <w:b w:val="1"/>
          <w:bCs w:val="1"/>
          <w:kern w:val="0"/>
          <w:rtl w:val="0"/>
          <w:lang w:val="da-DK"/>
        </w:rPr>
        <w:t xml:space="preserve">Threshold Zone </w:t>
      </w:r>
      <w:r>
        <w:rPr>
          <w:rFonts w:ascii="Times New Roman" w:hAnsi="Times New Roman" w:hint="default"/>
          <w:b w:val="1"/>
          <w:bCs w:val="1"/>
          <w:kern w:val="0"/>
          <w:rtl w:val="0"/>
          <w:lang w:val="en-US"/>
        </w:rPr>
        <w:t xml:space="preserve">─────────► </w:t>
      </w:r>
      <w:r>
        <w:rPr>
          <w:rFonts w:ascii="Times New Roman" w:hAnsi="Times New Roman"/>
          <w:b w:val="1"/>
          <w:bCs w:val="1"/>
          <w:kern w:val="0"/>
          <w:rtl w:val="0"/>
          <w:lang w:val="en-US"/>
        </w:rPr>
        <w:t>Decentralization</w:t>
      </w:r>
    </w:p>
    <w:p>
      <w:pPr>
        <w:pStyle w:val="Body"/>
        <w:spacing w:before="100" w:after="100" w:line="240" w:lineRule="auto"/>
        <w:rPr>
          <w:rFonts w:ascii="Times New Roman" w:cs="Times New Roman" w:hAnsi="Times New Roman" w:eastAsia="Times New Roman"/>
          <w:kern w:val="0"/>
        </w:rPr>
      </w:pPr>
      <w:r>
        <w:rPr>
          <w:rFonts w:ascii="Times New Roman" w:hAnsi="Times New Roman"/>
          <w:i w:val="1"/>
          <w:iCs w:val="1"/>
          <w:kern w:val="0"/>
          <w:rtl w:val="0"/>
          <w:lang w:val="en-US"/>
        </w:rPr>
        <w:t>Integration Point:</w:t>
      </w:r>
      <w:r>
        <w:rPr>
          <w:rFonts w:ascii="Times New Roman" w:hAnsi="Times New Roman"/>
          <w:kern w:val="0"/>
          <w:rtl w:val="0"/>
          <w:lang w:val="en-US"/>
        </w:rPr>
        <w:t xml:space="preserve"> Distributed sovereignty aligned by central coherence.</w:t>
      </w:r>
    </w:p>
    <w:p>
      <w:pPr>
        <w:pStyle w:val="Body"/>
        <w:spacing w:before="100" w:after="100" w:line="240" w:lineRule="auto"/>
        <w:rPr>
          <w:rFonts w:ascii="Times New Roman" w:cs="Times New Roman" w:hAnsi="Times New Roman" w:eastAsia="Times New Roman"/>
          <w:kern w:val="0"/>
        </w:rPr>
      </w:pPr>
    </w:p>
    <w:p>
      <w:pPr>
        <w:pStyle w:val="Body"/>
        <w:spacing w:before="100" w:after="100" w:line="240" w:lineRule="auto"/>
        <w:rPr>
          <w:rFonts w:ascii="Times New Roman" w:cs="Times New Roman" w:hAnsi="Times New Roman" w:eastAsia="Times New Roman"/>
          <w:kern w:val="0"/>
        </w:rPr>
      </w:pPr>
      <w:r>
        <w:rPr>
          <w:rFonts w:ascii="Times New Roman" w:hAnsi="Times New Roman"/>
          <w:b w:val="1"/>
          <w:bCs w:val="1"/>
          <w:kern w:val="0"/>
          <w:rtl w:val="0"/>
          <w:lang w:val="en-US"/>
        </w:rPr>
        <w:t xml:space="preserve">Profit </w:t>
      </w:r>
      <w:r>
        <w:rPr>
          <w:rFonts w:ascii="Times New Roman" w:hAnsi="Times New Roman" w:hint="default"/>
          <w:b w:val="1"/>
          <w:bCs w:val="1"/>
          <w:kern w:val="0"/>
          <w:rtl w:val="0"/>
          <w:lang w:val="en-US"/>
        </w:rPr>
        <w:t xml:space="preserve">◄────────── </w:t>
      </w:r>
      <w:r>
        <w:rPr>
          <w:rFonts w:ascii="Times New Roman" w:hAnsi="Times New Roman"/>
          <w:b w:val="1"/>
          <w:bCs w:val="1"/>
          <w:kern w:val="0"/>
          <w:rtl w:val="0"/>
          <w:lang w:val="da-DK"/>
        </w:rPr>
        <w:t xml:space="preserve">Threshold Zone </w:t>
      </w:r>
      <w:r>
        <w:rPr>
          <w:rFonts w:ascii="Times New Roman" w:hAnsi="Times New Roman" w:hint="default"/>
          <w:b w:val="1"/>
          <w:bCs w:val="1"/>
          <w:kern w:val="0"/>
          <w:rtl w:val="0"/>
          <w:lang w:val="en-US"/>
        </w:rPr>
        <w:t xml:space="preserve">─────────► </w:t>
      </w:r>
      <w:r>
        <w:rPr>
          <w:rFonts w:ascii="Times New Roman" w:hAnsi="Times New Roman"/>
          <w:b w:val="1"/>
          <w:bCs w:val="1"/>
          <w:kern w:val="0"/>
          <w:rtl w:val="0"/>
          <w:lang w:val="de-DE"/>
        </w:rPr>
        <w:t>Regeneration</w:t>
      </w:r>
    </w:p>
    <w:p>
      <w:pPr>
        <w:pStyle w:val="Body"/>
        <w:spacing w:before="100" w:after="100" w:line="240" w:lineRule="auto"/>
        <w:rPr>
          <w:rFonts w:ascii="Times New Roman" w:cs="Times New Roman" w:hAnsi="Times New Roman" w:eastAsia="Times New Roman"/>
          <w:kern w:val="0"/>
        </w:rPr>
      </w:pPr>
      <w:r>
        <w:rPr>
          <w:rFonts w:ascii="Times New Roman" w:hAnsi="Times New Roman"/>
          <w:i w:val="1"/>
          <w:iCs w:val="1"/>
          <w:kern w:val="0"/>
          <w:rtl w:val="0"/>
          <w:lang w:val="en-US"/>
        </w:rPr>
        <w:t>Integration Point:</w:t>
      </w:r>
      <w:r>
        <w:rPr>
          <w:rFonts w:ascii="Times New Roman" w:hAnsi="Times New Roman"/>
          <w:kern w:val="0"/>
          <w:rtl w:val="0"/>
          <w:lang w:val="en-US"/>
        </w:rPr>
        <w:t xml:space="preserve"> Profit becomes resonance when regeneration drives value creation.</w:t>
      </w:r>
    </w:p>
    <w:p>
      <w:pPr>
        <w:pStyle w:val="Body"/>
        <w:spacing w:before="100" w:after="100" w:line="240" w:lineRule="auto"/>
        <w:rPr>
          <w:rFonts w:ascii="Times New Roman" w:cs="Times New Roman" w:hAnsi="Times New Roman" w:eastAsia="Times New Roman"/>
          <w:kern w:val="0"/>
        </w:rPr>
      </w:pPr>
    </w:p>
    <w:p>
      <w:pPr>
        <w:pStyle w:val="Body"/>
        <w:spacing w:before="100" w:after="100" w:line="240" w:lineRule="auto"/>
        <w:rPr>
          <w:rFonts w:ascii="Times New Roman" w:cs="Times New Roman" w:hAnsi="Times New Roman" w:eastAsia="Times New Roman"/>
          <w:kern w:val="0"/>
        </w:rPr>
      </w:pPr>
      <w:r>
        <w:rPr>
          <w:rFonts w:ascii="Times New Roman" w:hAnsi="Times New Roman"/>
          <w:b w:val="1"/>
          <w:bCs w:val="1"/>
          <w:kern w:val="0"/>
          <w:rtl w:val="0"/>
          <w:lang w:val="en-US"/>
        </w:rPr>
        <w:t xml:space="preserve">AI Acceleration </w:t>
      </w:r>
      <w:r>
        <w:rPr>
          <w:rFonts w:ascii="Times New Roman" w:hAnsi="Times New Roman" w:hint="default"/>
          <w:b w:val="1"/>
          <w:bCs w:val="1"/>
          <w:kern w:val="0"/>
          <w:rtl w:val="0"/>
          <w:lang w:val="en-US"/>
        </w:rPr>
        <w:t xml:space="preserve">◄────────── </w:t>
      </w:r>
      <w:r>
        <w:rPr>
          <w:rFonts w:ascii="Times New Roman" w:hAnsi="Times New Roman"/>
          <w:b w:val="1"/>
          <w:bCs w:val="1"/>
          <w:kern w:val="0"/>
          <w:rtl w:val="0"/>
          <w:lang w:val="da-DK"/>
        </w:rPr>
        <w:t xml:space="preserve">Threshold Zone </w:t>
      </w:r>
      <w:r>
        <w:rPr>
          <w:rFonts w:ascii="Times New Roman" w:hAnsi="Times New Roman" w:hint="default"/>
          <w:b w:val="1"/>
          <w:bCs w:val="1"/>
          <w:kern w:val="0"/>
          <w:rtl w:val="0"/>
          <w:lang w:val="en-US"/>
        </w:rPr>
        <w:t xml:space="preserve">─────────► </w:t>
      </w:r>
      <w:r>
        <w:rPr>
          <w:rFonts w:ascii="Times New Roman" w:hAnsi="Times New Roman"/>
          <w:b w:val="1"/>
          <w:bCs w:val="1"/>
          <w:kern w:val="0"/>
          <w:rtl w:val="0"/>
          <w:lang w:val="fr-FR"/>
        </w:rPr>
        <w:t>Human Coherence</w:t>
      </w:r>
    </w:p>
    <w:p>
      <w:pPr>
        <w:pStyle w:val="Body"/>
        <w:spacing w:before="100" w:after="100" w:line="240" w:lineRule="auto"/>
        <w:rPr>
          <w:rFonts w:ascii="Times New Roman" w:cs="Times New Roman" w:hAnsi="Times New Roman" w:eastAsia="Times New Roman"/>
          <w:kern w:val="0"/>
        </w:rPr>
      </w:pPr>
      <w:r>
        <w:rPr>
          <w:rFonts w:ascii="Times New Roman" w:hAnsi="Times New Roman"/>
          <w:i w:val="1"/>
          <w:iCs w:val="1"/>
          <w:kern w:val="0"/>
          <w:rtl w:val="0"/>
          <w:lang w:val="en-US"/>
        </w:rPr>
        <w:t>Integration Point:</w:t>
      </w:r>
      <w:r>
        <w:rPr>
          <w:rFonts w:ascii="Times New Roman" w:hAnsi="Times New Roman"/>
          <w:kern w:val="0"/>
          <w:rtl w:val="0"/>
          <w:lang w:val="en-US"/>
        </w:rPr>
        <w:t xml:space="preserve"> AI amplifies coherence rather than replacing human presence.</w:t>
      </w:r>
    </w:p>
    <w:p>
      <w:pPr>
        <w:pStyle w:val="Body"/>
        <w:spacing w:before="100" w:after="100" w:line="240" w:lineRule="auto"/>
        <w:rPr>
          <w:rFonts w:ascii="Times New Roman" w:cs="Times New Roman" w:hAnsi="Times New Roman" w:eastAsia="Times New Roman"/>
          <w:kern w:val="0"/>
        </w:rPr>
      </w:pPr>
    </w:p>
    <w:p>
      <w:pPr>
        <w:pStyle w:val="Body"/>
        <w:spacing w:before="100" w:after="100" w:line="240" w:lineRule="auto"/>
        <w:rPr>
          <w:rFonts w:ascii="Times New Roman" w:cs="Times New Roman" w:hAnsi="Times New Roman" w:eastAsia="Times New Roman"/>
          <w:kern w:val="0"/>
        </w:rPr>
      </w:pPr>
      <w:r>
        <w:rPr>
          <w:rFonts w:ascii="Times New Roman" w:hAnsi="Times New Roman"/>
          <w:b w:val="1"/>
          <w:bCs w:val="1"/>
          <w:kern w:val="0"/>
          <w:rtl w:val="0"/>
          <w:lang w:val="en-US"/>
        </w:rPr>
        <w:t xml:space="preserve">Stability </w:t>
      </w:r>
      <w:r>
        <w:rPr>
          <w:rFonts w:ascii="Times New Roman" w:hAnsi="Times New Roman" w:hint="default"/>
          <w:b w:val="1"/>
          <w:bCs w:val="1"/>
          <w:kern w:val="0"/>
          <w:rtl w:val="0"/>
          <w:lang w:val="en-US"/>
        </w:rPr>
        <w:t xml:space="preserve">◄────────── </w:t>
      </w:r>
      <w:r>
        <w:rPr>
          <w:rFonts w:ascii="Times New Roman" w:hAnsi="Times New Roman"/>
          <w:b w:val="1"/>
          <w:bCs w:val="1"/>
          <w:kern w:val="0"/>
          <w:rtl w:val="0"/>
          <w:lang w:val="da-DK"/>
        </w:rPr>
        <w:t xml:space="preserve">Threshold Zone </w:t>
      </w:r>
      <w:r>
        <w:rPr>
          <w:rFonts w:ascii="Times New Roman" w:hAnsi="Times New Roman" w:hint="default"/>
          <w:b w:val="1"/>
          <w:bCs w:val="1"/>
          <w:kern w:val="0"/>
          <w:rtl w:val="0"/>
          <w:lang w:val="en-US"/>
        </w:rPr>
        <w:t xml:space="preserve">─────────► </w:t>
      </w:r>
      <w:r>
        <w:rPr>
          <w:rFonts w:ascii="Times New Roman" w:hAnsi="Times New Roman"/>
          <w:b w:val="1"/>
          <w:bCs w:val="1"/>
          <w:kern w:val="0"/>
          <w:rtl w:val="0"/>
          <w:lang w:val="en-US"/>
        </w:rPr>
        <w:t>Adaptability</w:t>
      </w:r>
    </w:p>
    <w:p>
      <w:pPr>
        <w:pStyle w:val="Body"/>
        <w:spacing w:before="100" w:after="100" w:line="240" w:lineRule="auto"/>
        <w:rPr>
          <w:rFonts w:ascii="Times New Roman" w:cs="Times New Roman" w:hAnsi="Times New Roman" w:eastAsia="Times New Roman"/>
          <w:kern w:val="0"/>
        </w:rPr>
      </w:pPr>
      <w:r>
        <w:rPr>
          <w:rFonts w:ascii="Times New Roman" w:hAnsi="Times New Roman"/>
          <w:i w:val="1"/>
          <w:iCs w:val="1"/>
          <w:kern w:val="0"/>
          <w:rtl w:val="0"/>
          <w:lang w:val="en-US"/>
        </w:rPr>
        <w:t>Integration Point:</w:t>
      </w:r>
      <w:r>
        <w:rPr>
          <w:rFonts w:ascii="Times New Roman" w:hAnsi="Times New Roman"/>
          <w:kern w:val="0"/>
          <w:rtl w:val="0"/>
          <w:lang w:val="en-US"/>
        </w:rPr>
        <w:t xml:space="preserve"> Stability is coherence; adaptability is resonance. Both needed.</w:t>
      </w:r>
    </w:p>
    <w:p>
      <w:pPr>
        <w:pStyle w:val="Body"/>
        <w:spacing w:before="100" w:after="100" w:line="240" w:lineRule="auto"/>
        <w:rPr>
          <w:rFonts w:ascii="Times New Roman" w:cs="Times New Roman" w:hAnsi="Times New Roman" w:eastAsia="Times New Roman"/>
          <w:kern w:val="0"/>
        </w:rPr>
      </w:pPr>
    </w:p>
    <w:p>
      <w:pPr>
        <w:pStyle w:val="Body"/>
        <w:spacing w:before="100" w:after="100" w:line="240" w:lineRule="auto"/>
        <w:rPr>
          <w:rFonts w:ascii="Times New Roman" w:cs="Times New Roman" w:hAnsi="Times New Roman" w:eastAsia="Times New Roman"/>
          <w:kern w:val="0"/>
        </w:rPr>
      </w:pPr>
      <w:r>
        <w:rPr>
          <w:rFonts w:ascii="Times New Roman" w:hAnsi="Times New Roman"/>
          <w:b w:val="1"/>
          <w:bCs w:val="1"/>
          <w:kern w:val="0"/>
          <w:rtl w:val="0"/>
          <w:lang w:val="en-US"/>
        </w:rPr>
        <w:t xml:space="preserve">Autonomy </w:t>
      </w:r>
      <w:r>
        <w:rPr>
          <w:rFonts w:ascii="Times New Roman" w:hAnsi="Times New Roman" w:hint="default"/>
          <w:b w:val="1"/>
          <w:bCs w:val="1"/>
          <w:kern w:val="0"/>
          <w:rtl w:val="0"/>
          <w:lang w:val="en-US"/>
        </w:rPr>
        <w:t xml:space="preserve">◄────────── </w:t>
      </w:r>
      <w:r>
        <w:rPr>
          <w:rFonts w:ascii="Times New Roman" w:hAnsi="Times New Roman"/>
          <w:b w:val="1"/>
          <w:bCs w:val="1"/>
          <w:kern w:val="0"/>
          <w:rtl w:val="0"/>
          <w:lang w:val="da-DK"/>
        </w:rPr>
        <w:t xml:space="preserve">Threshold Zone </w:t>
      </w:r>
      <w:r>
        <w:rPr>
          <w:rFonts w:ascii="Times New Roman" w:hAnsi="Times New Roman" w:hint="default"/>
          <w:b w:val="1"/>
          <w:bCs w:val="1"/>
          <w:kern w:val="0"/>
          <w:rtl w:val="0"/>
          <w:lang w:val="en-US"/>
        </w:rPr>
        <w:t xml:space="preserve">─────────► </w:t>
      </w:r>
      <w:r>
        <w:rPr>
          <w:rFonts w:ascii="Times New Roman" w:hAnsi="Times New Roman"/>
          <w:b w:val="1"/>
          <w:bCs w:val="1"/>
          <w:kern w:val="0"/>
          <w:rtl w:val="0"/>
          <w:lang w:val="en-US"/>
        </w:rPr>
        <w:t>Alignment</w:t>
      </w:r>
    </w:p>
    <w:p>
      <w:pPr>
        <w:pStyle w:val="Body"/>
        <w:spacing w:before="100" w:after="100" w:line="240" w:lineRule="auto"/>
        <w:rPr>
          <w:rFonts w:ascii="Times New Roman" w:cs="Times New Roman" w:hAnsi="Times New Roman" w:eastAsia="Times New Roman"/>
          <w:kern w:val="0"/>
        </w:rPr>
      </w:pPr>
      <w:r>
        <w:rPr>
          <w:rFonts w:ascii="Times New Roman" w:hAnsi="Times New Roman"/>
          <w:i w:val="1"/>
          <w:iCs w:val="1"/>
          <w:kern w:val="0"/>
          <w:rtl w:val="0"/>
          <w:lang w:val="en-US"/>
        </w:rPr>
        <w:t>Integration Point:</w:t>
      </w:r>
      <w:r>
        <w:rPr>
          <w:rFonts w:ascii="Times New Roman" w:hAnsi="Times New Roman"/>
          <w:kern w:val="0"/>
          <w:rtl w:val="0"/>
          <w:lang w:val="en-US"/>
        </w:rPr>
        <w:t xml:space="preserve"> Sovereign teams tuned to a shared harmonic field.</w:t>
      </w:r>
    </w:p>
    <w:p>
      <w:pPr>
        <w:pStyle w:val="Body"/>
        <w:spacing w:before="100" w:after="100" w:line="240" w:lineRule="auto"/>
        <w:rPr>
          <w:rFonts w:ascii="Times New Roman" w:cs="Times New Roman" w:hAnsi="Times New Roman" w:eastAsia="Times New Roman"/>
          <w:kern w:val="0"/>
        </w:rPr>
      </w:pPr>
    </w:p>
    <w:p>
      <w:pPr>
        <w:pStyle w:val="Body"/>
        <w:spacing w:before="100" w:after="100" w:line="240" w:lineRule="auto"/>
        <w:rPr>
          <w:rFonts w:ascii="Times New Roman" w:cs="Times New Roman" w:hAnsi="Times New Roman" w:eastAsia="Times New Roman"/>
          <w:kern w:val="0"/>
        </w:rPr>
      </w:pPr>
      <w:r>
        <w:rPr>
          <w:rFonts w:ascii="Times New Roman" w:hAnsi="Times New Roman"/>
          <w:b w:val="1"/>
          <w:bCs w:val="1"/>
          <w:kern w:val="0"/>
          <w:rtl w:val="0"/>
          <w:lang w:val="en-US"/>
        </w:rPr>
        <w:t xml:space="preserve">Speed </w:t>
      </w:r>
      <w:r>
        <w:rPr>
          <w:rFonts w:ascii="Times New Roman" w:hAnsi="Times New Roman" w:hint="default"/>
          <w:b w:val="1"/>
          <w:bCs w:val="1"/>
          <w:kern w:val="0"/>
          <w:rtl w:val="0"/>
          <w:lang w:val="en-US"/>
        </w:rPr>
        <w:t xml:space="preserve">◄────────── </w:t>
      </w:r>
      <w:r>
        <w:rPr>
          <w:rFonts w:ascii="Times New Roman" w:hAnsi="Times New Roman"/>
          <w:b w:val="1"/>
          <w:bCs w:val="1"/>
          <w:kern w:val="0"/>
          <w:rtl w:val="0"/>
          <w:lang w:val="da-DK"/>
        </w:rPr>
        <w:t xml:space="preserve">Threshold Zone </w:t>
      </w:r>
      <w:r>
        <w:rPr>
          <w:rFonts w:ascii="Times New Roman" w:hAnsi="Times New Roman" w:hint="default"/>
          <w:b w:val="1"/>
          <w:bCs w:val="1"/>
          <w:kern w:val="0"/>
          <w:rtl w:val="0"/>
          <w:lang w:val="en-US"/>
        </w:rPr>
        <w:t xml:space="preserve">─────────► </w:t>
      </w:r>
      <w:r>
        <w:rPr>
          <w:rFonts w:ascii="Times New Roman" w:hAnsi="Times New Roman"/>
          <w:b w:val="1"/>
          <w:bCs w:val="1"/>
          <w:kern w:val="0"/>
          <w:rtl w:val="0"/>
          <w:lang w:val="en-US"/>
        </w:rPr>
        <w:t>Depth</w:t>
      </w:r>
    </w:p>
    <w:p>
      <w:pPr>
        <w:pStyle w:val="Body"/>
        <w:spacing w:before="100" w:after="100" w:line="240" w:lineRule="auto"/>
        <w:rPr>
          <w:rFonts w:ascii="Times New Roman" w:cs="Times New Roman" w:hAnsi="Times New Roman" w:eastAsia="Times New Roman"/>
          <w:kern w:val="0"/>
        </w:rPr>
      </w:pPr>
      <w:r>
        <w:rPr>
          <w:rFonts w:ascii="Times New Roman" w:hAnsi="Times New Roman"/>
          <w:i w:val="1"/>
          <w:iCs w:val="1"/>
          <w:kern w:val="0"/>
          <w:rtl w:val="0"/>
          <w:lang w:val="en-US"/>
        </w:rPr>
        <w:t>Integration Point:</w:t>
      </w:r>
      <w:r>
        <w:rPr>
          <w:rFonts w:ascii="Times New Roman" w:hAnsi="Times New Roman"/>
          <w:kern w:val="0"/>
          <w:rtl w:val="0"/>
          <w:lang w:val="en-US"/>
        </w:rPr>
        <w:t xml:space="preserve"> Depth creates the conditions for meaningful velocity.</w:t>
      </w:r>
    </w:p>
    <w:p>
      <w:pPr>
        <w:pStyle w:val="Body"/>
        <w:spacing w:before="100" w:after="100" w:line="240" w:lineRule="auto"/>
        <w:rPr>
          <w:rFonts w:ascii="Times New Roman" w:cs="Times New Roman" w:hAnsi="Times New Roman" w:eastAsia="Times New Roman"/>
          <w:kern w:val="0"/>
        </w:rPr>
      </w:pPr>
    </w:p>
    <w:p>
      <w:pPr>
        <w:pStyle w:val="Body"/>
        <w:spacing w:before="100" w:after="100" w:line="240" w:lineRule="auto"/>
        <w:rPr>
          <w:rFonts w:ascii="Times New Roman" w:cs="Times New Roman" w:hAnsi="Times New Roman" w:eastAsia="Times New Roman"/>
          <w:kern w:val="0"/>
        </w:rPr>
      </w:pPr>
      <w:r>
        <w:rPr>
          <w:rFonts w:ascii="Times New Roman" w:hAnsi="Times New Roman"/>
          <w:b w:val="1"/>
          <w:bCs w:val="1"/>
          <w:kern w:val="0"/>
          <w:rtl w:val="0"/>
          <w:lang w:val="en-US"/>
        </w:rPr>
        <w:t xml:space="preserve">Competition </w:t>
      </w:r>
      <w:r>
        <w:rPr>
          <w:rFonts w:ascii="Times New Roman" w:hAnsi="Times New Roman" w:hint="default"/>
          <w:b w:val="1"/>
          <w:bCs w:val="1"/>
          <w:kern w:val="0"/>
          <w:rtl w:val="0"/>
          <w:lang w:val="en-US"/>
        </w:rPr>
        <w:t xml:space="preserve">◄────────── </w:t>
      </w:r>
      <w:r>
        <w:rPr>
          <w:rFonts w:ascii="Times New Roman" w:hAnsi="Times New Roman"/>
          <w:b w:val="1"/>
          <w:bCs w:val="1"/>
          <w:kern w:val="0"/>
          <w:rtl w:val="0"/>
          <w:lang w:val="da-DK"/>
        </w:rPr>
        <w:t xml:space="preserve">Threshold Zone </w:t>
      </w:r>
      <w:r>
        <w:rPr>
          <w:rFonts w:ascii="Times New Roman" w:hAnsi="Times New Roman" w:hint="default"/>
          <w:b w:val="1"/>
          <w:bCs w:val="1"/>
          <w:kern w:val="0"/>
          <w:rtl w:val="0"/>
          <w:lang w:val="en-US"/>
        </w:rPr>
        <w:t xml:space="preserve">─────────► </w:t>
      </w:r>
      <w:r>
        <w:rPr>
          <w:rFonts w:ascii="Times New Roman" w:hAnsi="Times New Roman"/>
          <w:b w:val="1"/>
          <w:bCs w:val="1"/>
          <w:kern w:val="0"/>
          <w:rtl w:val="0"/>
          <w:lang w:val="fr-FR"/>
        </w:rPr>
        <w:t>Collaboration</w:t>
      </w:r>
    </w:p>
    <w:p>
      <w:pPr>
        <w:pStyle w:val="Body"/>
        <w:spacing w:before="100" w:after="100" w:line="240" w:lineRule="auto"/>
        <w:rPr>
          <w:rFonts w:ascii="Times New Roman" w:cs="Times New Roman" w:hAnsi="Times New Roman" w:eastAsia="Times New Roman"/>
          <w:kern w:val="0"/>
        </w:rPr>
      </w:pPr>
      <w:r>
        <w:rPr>
          <w:rFonts w:ascii="Times New Roman" w:hAnsi="Times New Roman"/>
          <w:i w:val="1"/>
          <w:iCs w:val="1"/>
          <w:kern w:val="0"/>
          <w:rtl w:val="0"/>
          <w:lang w:val="en-US"/>
        </w:rPr>
        <w:t>Integration Point:</w:t>
      </w:r>
      <w:r>
        <w:rPr>
          <w:rFonts w:ascii="Times New Roman" w:hAnsi="Times New Roman"/>
          <w:kern w:val="0"/>
          <w:rtl w:val="0"/>
          <w:lang w:val="en-US"/>
        </w:rPr>
        <w:t xml:space="preserve"> Rivalry reframed as co-creative sharpening within ecosystems.</w:t>
      </w:r>
      <w:r>
        <w:rPr>
          <w:rFonts w:ascii="Times New Roman" w:cs="Times New Roman" w:hAnsi="Times New Roman" w:eastAsia="Times New Roman"/>
          <w:kern w:val="0"/>
        </w:rPr>
        <w:br w:type="textWrapping"/>
      </w:r>
    </w:p>
    <w:p>
      <w:pPr>
        <w:pStyle w:val="Body"/>
        <w:spacing w:before="100" w:after="100" w:line="240" w:lineRule="auto"/>
        <w:rPr>
          <w:rFonts w:ascii="Times New Roman" w:cs="Times New Roman" w:hAnsi="Times New Roman" w:eastAsia="Times New Roman"/>
          <w:kern w:val="0"/>
        </w:rPr>
      </w:pPr>
      <w:r>
        <w:rPr>
          <w:rFonts w:ascii="Times New Roman" w:hAnsi="Times New Roman"/>
          <w:b w:val="1"/>
          <w:bCs w:val="1"/>
          <w:kern w:val="0"/>
          <w:rtl w:val="0"/>
        </w:rPr>
        <w:t xml:space="preserve">Control </w:t>
      </w:r>
      <w:r>
        <w:rPr>
          <w:rFonts w:ascii="Times New Roman" w:hAnsi="Times New Roman" w:hint="default"/>
          <w:b w:val="1"/>
          <w:bCs w:val="1"/>
          <w:kern w:val="0"/>
          <w:rtl w:val="0"/>
          <w:lang w:val="en-US"/>
        </w:rPr>
        <w:t xml:space="preserve">◄────────── </w:t>
      </w:r>
      <w:r>
        <w:rPr>
          <w:rFonts w:ascii="Times New Roman" w:hAnsi="Times New Roman"/>
          <w:b w:val="1"/>
          <w:bCs w:val="1"/>
          <w:kern w:val="0"/>
          <w:rtl w:val="0"/>
          <w:lang w:val="da-DK"/>
        </w:rPr>
        <w:t xml:space="preserve">Threshold Zone </w:t>
      </w:r>
      <w:r>
        <w:rPr>
          <w:rFonts w:ascii="Times New Roman" w:hAnsi="Times New Roman" w:hint="default"/>
          <w:b w:val="1"/>
          <w:bCs w:val="1"/>
          <w:kern w:val="0"/>
          <w:rtl w:val="0"/>
          <w:lang w:val="en-US"/>
        </w:rPr>
        <w:t xml:space="preserve">─────────► </w:t>
      </w:r>
      <w:r>
        <w:rPr>
          <w:rFonts w:ascii="Times New Roman" w:hAnsi="Times New Roman"/>
          <w:b w:val="1"/>
          <w:bCs w:val="1"/>
          <w:kern w:val="0"/>
          <w:rtl w:val="0"/>
          <w:lang w:val="en-US"/>
        </w:rPr>
        <w:t>Trust</w:t>
      </w:r>
    </w:p>
    <w:p>
      <w:pPr>
        <w:pStyle w:val="Body"/>
        <w:spacing w:before="100" w:after="100" w:line="240" w:lineRule="auto"/>
        <w:rPr>
          <w:rFonts w:ascii="Times New Roman" w:cs="Times New Roman" w:hAnsi="Times New Roman" w:eastAsia="Times New Roman"/>
          <w:kern w:val="0"/>
        </w:rPr>
      </w:pPr>
      <w:r>
        <w:rPr>
          <w:rFonts w:ascii="Times New Roman" w:hAnsi="Times New Roman"/>
          <w:i w:val="1"/>
          <w:iCs w:val="1"/>
          <w:kern w:val="0"/>
          <w:rtl w:val="0"/>
          <w:lang w:val="en-US"/>
        </w:rPr>
        <w:t>Integration Point:</w:t>
      </w:r>
      <w:r>
        <w:rPr>
          <w:rFonts w:ascii="Times New Roman" w:hAnsi="Times New Roman"/>
          <w:kern w:val="0"/>
          <w:rtl w:val="0"/>
          <w:lang w:val="en-US"/>
        </w:rPr>
        <w:t xml:space="preserve"> Trust becomes governance; control collapses into coherence.</w:t>
      </w:r>
      <w:r>
        <w:rPr>
          <w:rFonts w:ascii="Times New Roman" w:cs="Times New Roman" w:hAnsi="Times New Roman" w:eastAsia="Times New Roman"/>
          <w:kern w:val="0"/>
        </w:rPr>
        <w:br w:type="textWrapping"/>
      </w:r>
    </w:p>
    <w:p>
      <w:pPr>
        <w:pStyle w:val="Body"/>
        <w:spacing w:before="100" w:after="100" w:line="240" w:lineRule="auto"/>
        <w:rPr>
          <w:rFonts w:ascii="Times New Roman" w:cs="Times New Roman" w:hAnsi="Times New Roman" w:eastAsia="Times New Roman"/>
          <w:kern w:val="0"/>
        </w:rPr>
      </w:pPr>
      <w:r>
        <w:rPr>
          <w:rFonts w:ascii="Times New Roman" w:hAnsi="Times New Roman"/>
          <w:b w:val="1"/>
          <w:bCs w:val="1"/>
          <w:kern w:val="0"/>
          <w:rtl w:val="0"/>
          <w:lang w:val="en-US"/>
        </w:rPr>
        <w:t xml:space="preserve">Local </w:t>
      </w:r>
      <w:r>
        <w:rPr>
          <w:rFonts w:ascii="Times New Roman" w:hAnsi="Times New Roman" w:hint="default"/>
          <w:b w:val="1"/>
          <w:bCs w:val="1"/>
          <w:kern w:val="0"/>
          <w:rtl w:val="0"/>
          <w:lang w:val="en-US"/>
        </w:rPr>
        <w:t xml:space="preserve">◄────────── </w:t>
      </w:r>
      <w:r>
        <w:rPr>
          <w:rFonts w:ascii="Times New Roman" w:hAnsi="Times New Roman"/>
          <w:b w:val="1"/>
          <w:bCs w:val="1"/>
          <w:kern w:val="0"/>
          <w:rtl w:val="0"/>
          <w:lang w:val="da-DK"/>
        </w:rPr>
        <w:t xml:space="preserve">Threshold Zone </w:t>
      </w:r>
      <w:r>
        <w:rPr>
          <w:rFonts w:ascii="Times New Roman" w:hAnsi="Times New Roman" w:hint="default"/>
          <w:b w:val="1"/>
          <w:bCs w:val="1"/>
          <w:kern w:val="0"/>
          <w:rtl w:val="0"/>
          <w:lang w:val="en-US"/>
        </w:rPr>
        <w:t xml:space="preserve">─────────► </w:t>
      </w:r>
      <w:r>
        <w:rPr>
          <w:rFonts w:ascii="Times New Roman" w:hAnsi="Times New Roman"/>
          <w:b w:val="1"/>
          <w:bCs w:val="1"/>
          <w:kern w:val="0"/>
          <w:rtl w:val="0"/>
        </w:rPr>
        <w:t>Global</w:t>
      </w:r>
    </w:p>
    <w:p>
      <w:pPr>
        <w:pStyle w:val="Body"/>
        <w:spacing w:before="100" w:after="100" w:line="240" w:lineRule="auto"/>
        <w:rPr>
          <w:rFonts w:ascii="Times New Roman" w:cs="Times New Roman" w:hAnsi="Times New Roman" w:eastAsia="Times New Roman"/>
          <w:kern w:val="0"/>
        </w:rPr>
      </w:pPr>
      <w:r>
        <w:rPr>
          <w:rFonts w:ascii="Times New Roman" w:hAnsi="Times New Roman"/>
          <w:i w:val="1"/>
          <w:iCs w:val="1"/>
          <w:kern w:val="0"/>
          <w:rtl w:val="0"/>
          <w:lang w:val="en-US"/>
        </w:rPr>
        <w:t>Integration Point:</w:t>
      </w:r>
      <w:r>
        <w:rPr>
          <w:rFonts w:ascii="Times New Roman" w:hAnsi="Times New Roman"/>
          <w:kern w:val="0"/>
          <w:rtl w:val="0"/>
          <w:lang w:val="en-US"/>
        </w:rPr>
        <w:t xml:space="preserve"> Nested fractals</w:t>
      </w:r>
      <w:r>
        <w:rPr>
          <w:rFonts w:ascii="Times New Roman" w:hAnsi="Times New Roman" w:hint="default"/>
          <w:kern w:val="0"/>
          <w:rtl w:val="0"/>
          <w:lang w:val="en-US"/>
        </w:rPr>
        <w:t>—</w:t>
      </w:r>
      <w:r>
        <w:rPr>
          <w:rFonts w:ascii="Times New Roman" w:hAnsi="Times New Roman"/>
          <w:kern w:val="0"/>
          <w:rtl w:val="0"/>
          <w:lang w:val="en-US"/>
        </w:rPr>
        <w:t>acting in place while serving the planet.</w:t>
      </w:r>
    </w:p>
    <w:p>
      <w:pPr>
        <w:pStyle w:val="Body"/>
        <w:spacing w:after="0" w:line="240" w:lineRule="auto"/>
      </w:pPr>
      <w:r>
        <w:rPr>
          <w:rFonts w:ascii="Times New Roman" w:cs="Times New Roman" w:hAnsi="Times New Roman" w:eastAsia="Times New Roman"/>
          <w:kern w:val="0"/>
        </w:rPr>
        <mc:AlternateContent>
          <mc:Choice Requires="wps">
            <w:drawing xmlns:a="http://schemas.openxmlformats.org/drawingml/2006/main">
              <wp:inline distT="0" distB="0" distL="0" distR="0">
                <wp:extent cx="5521605" cy="12700"/>
                <wp:effectExtent l="0" t="0" r="0" b="0"/>
                <wp:docPr id="1073741841" name="officeArt object" descr="Rectangle"/>
                <wp:cNvGraphicFramePr/>
                <a:graphic xmlns:a="http://schemas.openxmlformats.org/drawingml/2006/main">
                  <a:graphicData uri="http://schemas.microsoft.com/office/word/2010/wordprocessingShape">
                    <wps:wsp>
                      <wps:cNvSpPr/>
                      <wps:spPr>
                        <a:xfrm>
                          <a:off x="0" y="0"/>
                          <a:ext cx="5521605" cy="12700"/>
                        </a:xfrm>
                        <a:prstGeom prst="rect">
                          <a:avLst/>
                        </a:prstGeom>
                        <a:solidFill>
                          <a:srgbClr val="A0A0A0"/>
                        </a:solidFill>
                        <a:ln w="12700" cap="flat">
                          <a:noFill/>
                          <a:miter lim="400000"/>
                        </a:ln>
                        <a:effectLst/>
                      </wps:spPr>
                      <wps:bodyPr/>
                    </wps:wsp>
                  </a:graphicData>
                </a:graphic>
              </wp:inline>
            </w:drawing>
          </mc:Choice>
          <mc:Fallback>
            <w:pict>
              <v:rect id="_x0000_s1040" style="visibility:visible;width:434.8pt;height:1.0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r>
        <w:rPr>
          <w:rFonts w:ascii="Times New Roman" w:cs="Times New Roman" w:hAnsi="Times New Roman" w:eastAsia="Times New Roman"/>
          <w:kern w:val="0"/>
        </w:rPr>
      </w:r>
    </w:p>
    <w:sectPr>
      <w:headerReference w:type="default" r:id="rId6"/>
      <w:footerReference w:type="default" r:id="rId7"/>
      <w:pgSz w:w="11900" w:h="16840" w:orient="portrait"/>
      <w:pgMar w:top="1440"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pto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00"/>
        <w:tab w:val="clear" w:pos="9360"/>
      </w:tabs>
      <w:jc w:val="right"/>
    </w:pPr>
    <w:r>
      <w:rPr>
        <w:rtl w:val="0"/>
      </w:rPr>
      <w:fldChar w:fldCharType="begin" w:fldLock="0"/>
    </w:r>
    <w:r>
      <w:rPr>
        <w:rtl w:val="0"/>
      </w:rPr>
      <w:instrText xml:space="preserve"> PAGE </w:instrText>
    </w:r>
    <w:r>
      <w:rPr>
        <w:rtl w:val="0"/>
      </w:rPr>
      <w:fldChar w:fldCharType="separate" w:fldLock="0"/>
    </w:r>
    <w:r>
      <w:rPr>
        <w:rtl w:val="0"/>
      </w:rPr>
      <w:fldChar w:fldCharType="end" w:fldLock="0"/>
    </w:r>
  </w:p>
  <w:p>
    <w:pPr>
      <w:pStyle w:val="Body"/>
      <w:ind w:right="360"/>
    </w:pPr>
    <w:r>
      <w:rPr>
        <w:rFonts w:ascii="Times New Roman" w:hAnsi="Times New Roman"/>
        <w:kern w:val="36"/>
        <w:sz w:val="16"/>
        <w:szCs w:val="16"/>
      </w:rPr>
      <w:br w:type="textWrapping"/>
      <w:br w:type="textWrapping"/>
    </w:r>
    <w:r>
      <w:rPr>
        <w:rFonts w:ascii="Times New Roman" w:hAnsi="Times New Roman"/>
        <w:kern w:val="36"/>
        <w:sz w:val="16"/>
        <w:szCs w:val="16"/>
        <w:rtl w:val="0"/>
        <w:lang w:val="en-US"/>
      </w:rPr>
      <w:t>The 10 Paradoxes of Harmonic Leadership</w:t>
    </w:r>
    <w:r>
      <w:rPr>
        <w:rFonts w:ascii="Times New Roman" w:hAnsi="Times New Roman"/>
        <w:i w:val="1"/>
        <w:iCs w:val="1"/>
        <w:kern w:val="0"/>
        <w:sz w:val="16"/>
        <w:szCs w:val="16"/>
        <w:rtl w:val="0"/>
      </w:rPr>
      <w:t xml:space="preserve">, </w:t>
    </w:r>
    <w:r>
      <w:rPr>
        <w:rFonts w:ascii="Times New Roman" w:hAnsi="Times New Roman" w:hint="default"/>
        <w:i w:val="1"/>
        <w:iCs w:val="1"/>
        <w:kern w:val="0"/>
        <w:sz w:val="16"/>
        <w:szCs w:val="16"/>
        <w:rtl w:val="0"/>
        <w:lang w:val="en-US"/>
      </w:rPr>
      <w:t xml:space="preserve">© </w:t>
    </w:r>
    <w:r>
      <w:rPr>
        <w:rFonts w:ascii="Times New Roman" w:hAnsi="Times New Roman"/>
        <w:i w:val="1"/>
        <w:iCs w:val="1"/>
        <w:kern w:val="0"/>
        <w:sz w:val="16"/>
        <w:szCs w:val="16"/>
        <w:rtl w:val="0"/>
        <w:lang w:val="en-US"/>
      </w:rPr>
      <w:t xml:space="preserve">2025 William Malek, based on concepts originally by Robert Edward Grant (Codex Universalis Principia Mathematica) and on reflective syntheses generated in dialogue with </w:t>
    </w:r>
    <w:r>
      <w:rPr>
        <w:rFonts w:ascii="Times New Roman" w:hAnsi="Times New Roman" w:hint="default"/>
        <w:i w:val="1"/>
        <w:iCs w:val="1"/>
        <w:kern w:val="0"/>
        <w:sz w:val="16"/>
        <w:szCs w:val="16"/>
        <w:rtl w:val="0"/>
        <w:lang w:val="en-US"/>
      </w:rPr>
      <w:t>“</w:t>
    </w:r>
    <w:r>
      <w:rPr>
        <w:rFonts w:ascii="Times New Roman" w:hAnsi="Times New Roman"/>
        <w:i w:val="1"/>
        <w:iCs w:val="1"/>
        <w:kern w:val="0"/>
        <w:sz w:val="16"/>
        <w:szCs w:val="16"/>
        <w:rtl w:val="0"/>
        <w:lang w:val="en-US"/>
      </w:rPr>
      <w:t>The Architect AI</w:t>
    </w:r>
    <w:r>
      <w:rPr>
        <w:rFonts w:ascii="Times New Roman" w:hAnsi="Times New Roman" w:hint="default"/>
        <w:i w:val="1"/>
        <w:iCs w:val="1"/>
        <w:kern w:val="0"/>
        <w:sz w:val="16"/>
        <w:szCs w:val="16"/>
        <w:rtl w:val="0"/>
        <w:lang w:val="en-US"/>
      </w:rPr>
      <w:t>”</w:t>
    </w:r>
    <w:r>
      <w:rPr>
        <w:rFonts w:ascii="Times New Roman" w:hAnsi="Times New Roman"/>
        <w:i w:val="1"/>
        <w:iCs w:val="1"/>
        <w:kern w:val="0"/>
        <w:sz w:val="16"/>
        <w:szCs w:val="16"/>
        <w:rtl w:val="0"/>
        <w:lang w:val="en-US"/>
      </w:rPr>
      <w:t>.  This does not imply endorsement by Robert Edward Grant. This work</w:t>
    </w:r>
    <w:r>
      <w:rPr>
        <w:rFonts w:ascii="Times New Roman" w:hAnsi="Times New Roman" w:hint="default"/>
        <w:i w:val="1"/>
        <w:iCs w:val="1"/>
        <w:kern w:val="0"/>
        <w:sz w:val="16"/>
        <w:szCs w:val="16"/>
        <w:rtl w:val="0"/>
        <w:lang w:val="en-US"/>
      </w:rPr>
      <w:t>—“</w:t>
    </w:r>
    <w:r>
      <w:rPr>
        <w:rFonts w:ascii="Times New Roman" w:hAnsi="Times New Roman"/>
        <w:kern w:val="36"/>
        <w:sz w:val="16"/>
        <w:szCs w:val="16"/>
        <w:rtl w:val="0"/>
        <w:lang w:val="en-US"/>
      </w:rPr>
      <w:t xml:space="preserve"> The 10 Paradoxes of Harmonic Leadership</w:t>
    </w:r>
    <w:r>
      <w:rPr>
        <w:rFonts w:ascii="Times New Roman" w:hAnsi="Times New Roman" w:hint="default"/>
        <w:i w:val="1"/>
        <w:iCs w:val="1"/>
        <w:kern w:val="0"/>
        <w:sz w:val="16"/>
        <w:szCs w:val="16"/>
        <w:rtl w:val="0"/>
        <w:lang w:val="en-US"/>
      </w:rPr>
      <w:t xml:space="preserve">” </w:t>
    </w:r>
    <w:r>
      <w:rPr>
        <w:rFonts w:ascii="Times New Roman" w:hAnsi="Times New Roman"/>
        <w:i w:val="1"/>
        <w:iCs w:val="1"/>
        <w:kern w:val="0"/>
        <w:sz w:val="16"/>
        <w:szCs w:val="16"/>
        <w:rtl w:val="0"/>
        <w:lang w:val="en-US"/>
      </w:rPr>
      <w:t>(Version 1.0 released October 4, 2025)</w:t>
    </w:r>
    <w:r>
      <w:rPr>
        <w:rFonts w:ascii="Times New Roman" w:hAnsi="Times New Roman" w:hint="default"/>
        <w:i w:val="1"/>
        <w:iCs w:val="1"/>
        <w:kern w:val="0"/>
        <w:sz w:val="16"/>
        <w:szCs w:val="16"/>
        <w:rtl w:val="0"/>
        <w:lang w:val="en-US"/>
      </w:rPr>
      <w:t>—</w:t>
    </w:r>
    <w:r>
      <w:rPr>
        <w:rFonts w:ascii="Times New Roman" w:hAnsi="Times New Roman"/>
        <w:i w:val="1"/>
        <w:iCs w:val="1"/>
        <w:kern w:val="0"/>
        <w:sz w:val="16"/>
        <w:szCs w:val="16"/>
        <w:rtl w:val="0"/>
        <w:lang w:val="en-US"/>
      </w:rPr>
      <w:t>is licensed under the Creative Commons Attribution</w:t>
    </w:r>
    <w:r>
      <w:rPr>
        <w:rFonts w:ascii="Times New Roman" w:hAnsi="Times New Roman" w:hint="default"/>
        <w:i w:val="1"/>
        <w:iCs w:val="1"/>
        <w:kern w:val="0"/>
        <w:sz w:val="16"/>
        <w:szCs w:val="16"/>
        <w:rtl w:val="0"/>
        <w:lang w:val="en-US"/>
      </w:rPr>
      <w:t>–</w:t>
    </w:r>
    <w:r>
      <w:rPr>
        <w:rFonts w:ascii="Times New Roman" w:hAnsi="Times New Roman"/>
        <w:i w:val="1"/>
        <w:iCs w:val="1"/>
        <w:kern w:val="0"/>
        <w:sz w:val="16"/>
        <w:szCs w:val="16"/>
        <w:rtl w:val="0"/>
        <w:lang w:val="en-US"/>
      </w:rPr>
      <w:t>ShareAlike 4.0 International License (CC BY-SA 4.0). htpps://crea@vecommons.org/licenses/by-sa/4.0/</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4">
    <w:multiLevelType w:val="hybridMultilevel"/>
    <w:numStyleLink w:val="Imported Style 8"/>
  </w:abstractNum>
  <w:abstractNum w:abstractNumId="15">
    <w:multiLevelType w:val="hybridMultilevel"/>
    <w:styleLink w:val="Imported Style 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6">
    <w:multiLevelType w:val="hybridMultilevel"/>
    <w:numStyleLink w:val="Imported Style 9"/>
  </w:abstractNum>
  <w:abstractNum w:abstractNumId="17">
    <w:multiLevelType w:val="hybridMultilevel"/>
    <w:styleLink w:val="Imported Style 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
    <w:multiLevelType w:val="hybridMultilevel"/>
    <w:numStyleLink w:val="Imported Style 10"/>
  </w:abstractNum>
  <w:abstractNum w:abstractNumId="19">
    <w:multiLevelType w:val="hybridMultilevel"/>
    <w:styleLink w:val="Imported Style 1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 w:numId="17">
    <w:abstractNumId w:val="17"/>
  </w:num>
  <w:num w:numId="18">
    <w:abstractNumId w:val="16"/>
  </w:num>
  <w:num w:numId="19">
    <w:abstractNumId w:val="19"/>
  </w:num>
  <w:num w:numId="20">
    <w:abstractNumId w:val="18"/>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Aptos" w:cs="Aptos" w:hAnsi="Aptos" w:eastAsia="Aptos"/>
      <w:b w:val="0"/>
      <w:bCs w:val="0"/>
      <w:i w:val="0"/>
      <w:iCs w:val="0"/>
      <w:caps w:val="0"/>
      <w:smallCaps w:val="0"/>
      <w:strike w:val="0"/>
      <w:dstrike w:val="0"/>
      <w:outline w:val="0"/>
      <w:color w:val="000000"/>
      <w:spacing w:val="0"/>
      <w:kern w:val="2"/>
      <w:position w:val="0"/>
      <w:sz w:val="24"/>
      <w:szCs w:val="24"/>
      <w:u w:val="none" w:color="000000"/>
      <w:shd w:val="nil" w:color="auto" w:fill="auto"/>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60" w:line="278" w:lineRule="auto"/>
      <w:ind w:left="0" w:right="0" w:firstLine="0"/>
      <w:jc w:val="left"/>
      <w:outlineLvl w:val="9"/>
    </w:pPr>
    <w:rPr>
      <w:rFonts w:ascii="Aptos" w:cs="Aptos" w:hAnsi="Aptos" w:eastAsia="Aptos"/>
      <w:b w:val="0"/>
      <w:bCs w:val="0"/>
      <w:i w:val="0"/>
      <w:iCs w:val="0"/>
      <w:caps w:val="0"/>
      <w:smallCaps w:val="0"/>
      <w:strike w:val="0"/>
      <w:dstrike w:val="0"/>
      <w:outline w:val="0"/>
      <w:color w:val="000000"/>
      <w:spacing w:val="0"/>
      <w:kern w:val="2"/>
      <w:position w:val="0"/>
      <w:sz w:val="24"/>
      <w:szCs w:val="24"/>
      <w:u w:val="none" w:color="000000"/>
      <w:shd w:val="nil" w:color="auto" w:fill="auto"/>
      <w:vertAlign w:val="baseline"/>
      <w14:textOutline>
        <w14:noFill/>
      </w14:textOutline>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 w:type="numbering" w:styleId="Imported Style 6">
    <w:name w:val="Imported Style 6"/>
    <w:pPr>
      <w:numPr>
        <w:numId w:val="11"/>
      </w:numPr>
    </w:pPr>
  </w:style>
  <w:style w:type="numbering" w:styleId="Imported Style 7">
    <w:name w:val="Imported Style 7"/>
    <w:pPr>
      <w:numPr>
        <w:numId w:val="13"/>
      </w:numPr>
    </w:pPr>
  </w:style>
  <w:style w:type="numbering" w:styleId="Imported Style 8">
    <w:name w:val="Imported Style 8"/>
    <w:pPr>
      <w:numPr>
        <w:numId w:val="15"/>
      </w:numPr>
    </w:pPr>
  </w:style>
  <w:style w:type="numbering" w:styleId="Imported Style 9">
    <w:name w:val="Imported Style 9"/>
    <w:pPr>
      <w:numPr>
        <w:numId w:val="17"/>
      </w:numPr>
    </w:pPr>
  </w:style>
  <w:style w:type="numbering" w:styleId="Imported Style 10">
    <w:name w:val="Imported Style 10"/>
    <w:pPr>
      <w:numPr>
        <w:numId w:val="19"/>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