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59491">
      <w:pPr>
        <w:spacing w:before="0" w:beforeLines="0" w:after="0" w:afterLines="0" w:line="240" w:lineRule="auto"/>
        <w:ind w:left="0" w:leftChars="0" w:right="0" w:rightChars="0" w:firstLine="0" w:firstLineChars="0"/>
        <w:jc w:val="center"/>
      </w:pPr>
    </w:p>
    <w:p w14:paraId="221D931A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ind w:left="0" w:leftChars="0" w:right="0" w:rightChars="0"/>
        <w:jc w:val="center"/>
        <w:rPr>
          <w:rFonts w:hint="default" w:ascii="Times New Roman Bold" w:hAnsi="Times New Roman Bold" w:eastAsia="SimSun" w:cs="Times New Roman Bold"/>
          <w:bCs/>
          <w:kern w:val="0"/>
          <w:sz w:val="24"/>
          <w:szCs w:val="36"/>
          <w:lang w:val="en-US" w:eastAsia="zh-CN" w:bidi="ar"/>
        </w:rPr>
      </w:pPr>
      <w:r>
        <w:drawing>
          <wp:inline distT="0" distB="0" distL="114300" distR="114300">
            <wp:extent cx="5270500" cy="7023100"/>
            <wp:effectExtent l="0" t="0" r="12700" b="12700"/>
            <wp:docPr id="3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AAB9A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jc w:val="center"/>
        <w:rPr>
          <w:rFonts w:hint="default" w:ascii="Times New Roman Bold" w:hAnsi="Times New Roman Bold" w:eastAsia="SimSun" w:cs="Times New Roman Bold"/>
          <w:bCs/>
          <w:kern w:val="0"/>
          <w:sz w:val="24"/>
          <w:szCs w:val="36"/>
          <w:lang w:val="en-US" w:eastAsia="zh-CN" w:bidi="ar"/>
        </w:rPr>
      </w:pPr>
    </w:p>
    <w:p w14:paraId="190DDD49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jc w:val="center"/>
        <w:rPr>
          <w:rFonts w:hint="default" w:ascii="Times New Roman Bold" w:hAnsi="Times New Roman Bold" w:eastAsia="SimSun" w:cs="Times New Roman Bold"/>
          <w:bCs/>
          <w:kern w:val="0"/>
          <w:sz w:val="24"/>
          <w:szCs w:val="36"/>
          <w:lang w:val="en-US" w:eastAsia="zh-CN" w:bidi="ar"/>
        </w:rPr>
      </w:pPr>
    </w:p>
    <w:p w14:paraId="502DC5E2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jc w:val="center"/>
        <w:rPr>
          <w:rFonts w:hint="default" w:ascii="Times New Roman Bold" w:hAnsi="Times New Roman Bold" w:eastAsia="SimSun" w:cs="Times New Roman Bold"/>
          <w:bCs/>
          <w:kern w:val="0"/>
          <w:sz w:val="24"/>
          <w:szCs w:val="36"/>
          <w:lang w:val="en-US" w:eastAsia="zh-CN" w:bidi="ar"/>
        </w:rPr>
      </w:pPr>
    </w:p>
    <w:sdt>
      <w:sdtPr>
        <w:rPr>
          <w:rFonts w:ascii="SimSun" w:hAnsi="SimSun" w:eastAsia="SimSun" w:cstheme="minorBidi"/>
          <w:sz w:val="21"/>
          <w:lang w:val="en-US" w:eastAsia="zh-CN" w:bidi="ar-SA"/>
        </w:rPr>
        <w:id w:val="534648229"/>
        <w15:color w:val="DBDBDB"/>
        <w:docPartObj>
          <w:docPartGallery w:val="Table of Contents"/>
          <w:docPartUnique/>
        </w:docPartObj>
      </w:sdtPr>
      <w:sdtEndPr>
        <w:rPr>
          <w:rFonts w:hint="default" w:ascii="Times New Roman Bold" w:hAnsi="Times New Roman Bold" w:eastAsia="SimSun" w:cs="Times New Roman Bold"/>
          <w:bCs/>
          <w:kern w:val="0"/>
          <w:sz w:val="24"/>
          <w:szCs w:val="36"/>
          <w:lang w:val="en-US" w:eastAsia="zh-CN" w:bidi="ar"/>
        </w:rPr>
      </w:sdtEndPr>
      <w:sdtContent>
        <w:p w14:paraId="4137152C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SimSun" w:hAnsi="SimSun" w:eastAsia="SimSun"/>
              <w:sz w:val="21"/>
            </w:rPr>
            <w:t>Catalog</w:t>
          </w:r>
        </w:p>
        <w:p w14:paraId="000F5D57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 w:val="24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 w:val="24"/>
              <w:szCs w:val="36"/>
              <w:lang w:val="en-US" w:eastAsia="zh-CN" w:bidi="ar"/>
            </w:rPr>
            <w:instrText xml:space="preserve">TOC \o "1-1" \h \u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 w:val="24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_Toc2111048465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Chapter</w:t>
          </w:r>
          <w:r>
            <w:rPr>
              <w:rFonts w:hint="default" w:ascii="Times New Roman Bold" w:hAnsi="Times New Roman Bold" w:cs="Times New Roman Bold"/>
              <w:bCs w:val="0"/>
              <w:szCs w:val="36"/>
              <w:lang w:val="uk-UA"/>
            </w:rPr>
            <w:t xml:space="preserve"> 1</w:t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:</w:t>
          </w:r>
          <w:r>
            <w:tab/>
          </w:r>
          <w:r>
            <w:fldChar w:fldCharType="begin"/>
          </w:r>
          <w:r>
            <w:instrText xml:space="preserve"> PAGEREF _Toc2111048465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7AC3D6A3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_Toc1814219168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Methodology / Indicators Framework</w:t>
          </w:r>
          <w:r>
            <w:tab/>
          </w:r>
          <w:r>
            <w:fldChar w:fldCharType="begin"/>
          </w:r>
          <w:r>
            <w:instrText xml:space="preserve"> PAGEREF _Toc1814219168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3F8022FA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_Toc1608736470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KRA</w:t>
          </w:r>
          <w:r>
            <w:rPr>
              <w:rFonts w:hint="default" w:ascii="Times New Roman Bold" w:hAnsi="Times New Roman Bold" w:cs="Times New Roman Bold"/>
              <w:bCs w:val="0"/>
              <w:szCs w:val="36"/>
              <w:lang w:val="da-DK"/>
            </w:rPr>
            <w:t>G</w:t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 xml:space="preserve">H KPI </w:t>
          </w:r>
          <w:r>
            <w:rPr>
              <w:rFonts w:hint="default" w:ascii="Times New Roman Bold" w:hAnsi="Times New Roman Bold" w:cs="Times New Roman Bold"/>
              <w:bCs w:val="0"/>
              <w:szCs w:val="36"/>
              <w:lang w:val="da-DK"/>
            </w:rPr>
            <w:t>(</w:t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 xml:space="preserve"> English translation)</w:t>
          </w:r>
          <w:r>
            <w:tab/>
          </w:r>
          <w:r>
            <w:fldChar w:fldCharType="begin"/>
          </w:r>
          <w:r>
            <w:instrText xml:space="preserve"> PAGEREF _Toc1608736470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2B98DF14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_Toc1214735560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Chapter</w:t>
          </w:r>
          <w:r>
            <w:rPr>
              <w:rFonts w:hint="default" w:ascii="Times New Roman Bold" w:hAnsi="Times New Roman Bold" w:cs="Times New Roman Bold"/>
              <w:bCs w:val="0"/>
              <w:szCs w:val="36"/>
              <w:lang w:val="uk-UA"/>
            </w:rPr>
            <w:t xml:space="preserve"> 2</w:t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:</w:t>
          </w:r>
          <w:r>
            <w:tab/>
          </w:r>
          <w:r>
            <w:fldChar w:fldCharType="begin"/>
          </w:r>
          <w:r>
            <w:instrText xml:space="preserve"> PAGEREF _Toc1214735560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287BE5CE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_Toc2081008538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Methodology / Indicators Framework</w:t>
          </w:r>
          <w:r>
            <w:tab/>
          </w:r>
          <w:r>
            <w:fldChar w:fldCharType="begin"/>
          </w:r>
          <w:r>
            <w:instrText xml:space="preserve"> PAGEREF _Toc2081008538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57A0420F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_Toc1591823124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KRA</w:t>
          </w:r>
          <w:r>
            <w:rPr>
              <w:rFonts w:hint="default" w:ascii="Times New Roman Bold" w:hAnsi="Times New Roman Bold" w:cs="Times New Roman Bold"/>
              <w:bCs w:val="0"/>
              <w:szCs w:val="36"/>
              <w:lang w:val="en-US"/>
            </w:rPr>
            <w:t>G</w:t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H KPI — Detailed Indicator Breakdown</w:t>
          </w:r>
          <w:r>
            <w:tab/>
          </w:r>
          <w:r>
            <w:fldChar w:fldCharType="begin"/>
          </w:r>
          <w:r>
            <w:instrText xml:space="preserve"> PAGEREF _Toc1591823124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2BC4BEE6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_Toc419970742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Regular" w:hAnsi="Times New Roman Regular" w:cs="Times New Roman Regular"/>
              <w:szCs w:val="28"/>
            </w:rPr>
            <w:t>1.0 — clear criteria + mandatory reasoning</w:t>
          </w:r>
          <w:r>
            <w:tab/>
          </w:r>
          <w:r>
            <w:fldChar w:fldCharType="begin"/>
          </w:r>
          <w:r>
            <w:instrText xml:space="preserve"> PAGEREF _Toc419970742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4E33807B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_Toc1816996752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Regular" w:hAnsi="Times New Roman Regular" w:cs="Times New Roman Regular"/>
              <w:szCs w:val="28"/>
            </w:rPr>
            <w:t>1.0 — standards + pilot / live integration</w:t>
          </w:r>
          <w:r>
            <w:tab/>
          </w:r>
          <w:r>
            <w:fldChar w:fldCharType="begin"/>
          </w:r>
          <w:r>
            <w:instrText xml:space="preserve"> PAGEREF _Toc1816996752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514C0607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_Toc1046950524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CHAPTER 3:</w:t>
          </w:r>
          <w:r>
            <w:tab/>
          </w:r>
          <w:r>
            <w:fldChar w:fldCharType="begin"/>
          </w:r>
          <w:r>
            <w:instrText xml:space="preserve"> PAGEREF _Toc1046950524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1E301924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_Toc1763936997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Institutional Traceability Matrix and Automatic Rollback Mechanisms in the KRAGH</w:t>
          </w:r>
          <w:r>
            <w:rPr>
              <w:rFonts w:hint="default" w:ascii="Times New Roman Bold" w:hAnsi="Times New Roman Bold" w:cs="Times New Roman Bold"/>
              <w:bCs w:val="0"/>
              <w:szCs w:val="36"/>
              <w:lang w:val="en-US"/>
            </w:rPr>
            <w:t xml:space="preserve"> KPI </w:t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-</w:t>
          </w:r>
          <w:r>
            <w:rPr>
              <w:rFonts w:hint="default" w:ascii="Times New Roman Bold" w:hAnsi="Times New Roman Bold" w:cs="Times New Roman Bold"/>
              <w:bCs w:val="0"/>
              <w:szCs w:val="36"/>
              <w:lang w:val="en-US"/>
            </w:rPr>
            <w:t xml:space="preserve"> </w:t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CIRA System</w:t>
          </w:r>
          <w:r>
            <w:tab/>
          </w:r>
          <w:r>
            <w:fldChar w:fldCharType="begin"/>
          </w:r>
          <w:r>
            <w:instrText xml:space="preserve"> PAGEREF _Toc1763936997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25327315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_Toc477361744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eastAsia="sans-serif" w:cs="Times New Roman Bold"/>
              <w:bCs w:val="0"/>
              <w:i w:val="0"/>
              <w:iCs w:val="0"/>
              <w:caps w:val="0"/>
              <w:spacing w:val="0"/>
              <w:szCs w:val="28"/>
            </w:rPr>
            <w:t>Integrity Trigger:</w:t>
          </w:r>
          <w:r>
            <w:tab/>
          </w:r>
          <w:r>
            <w:fldChar w:fldCharType="begin"/>
          </w:r>
          <w:r>
            <w:instrText xml:space="preserve"> PAGEREF _Toc477361744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2FE6E3EF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_Toc19926216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cs="Times New Roman Bold"/>
              <w:bCs w:val="0"/>
              <w:szCs w:val="36"/>
              <w:lang w:val="en-US"/>
            </w:rPr>
            <w:t>CHAPTER 4:</w:t>
          </w:r>
          <w:r>
            <w:tab/>
          </w:r>
          <w:r>
            <w:fldChar w:fldCharType="begin"/>
          </w:r>
          <w:r>
            <w:instrText xml:space="preserve"> PAGEREF _Toc19926216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3BC92D58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_Toc2039947027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KRA</w:t>
          </w:r>
          <w:r>
            <w:rPr>
              <w:rFonts w:hint="default" w:ascii="Times New Roman Bold" w:hAnsi="Times New Roman Bold" w:cs="Times New Roman Bold"/>
              <w:bCs w:val="0"/>
              <w:szCs w:val="36"/>
              <w:lang w:val="en-US"/>
            </w:rPr>
            <w:t>G</w:t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H KPI — Anti-Corruption Authority</w:t>
          </w:r>
          <w:r>
            <w:tab/>
          </w:r>
          <w:r>
            <w:fldChar w:fldCharType="begin"/>
          </w:r>
          <w:r>
            <w:instrText xml:space="preserve"> PAGEREF _Toc2039947027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35A9F5F3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_Toc813258434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szCs w:val="28"/>
            </w:rPr>
            <w:t>1.0 — clear criteria + mandatory reasoning</w:t>
          </w:r>
          <w:r>
            <w:tab/>
          </w:r>
          <w:r>
            <w:fldChar w:fldCharType="begin"/>
          </w:r>
          <w:r>
            <w:instrText xml:space="preserve"> PAGEREF _Toc813258434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75A13EB5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_Toc1848570730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cs="Times New Roman Bold"/>
              <w:bCs w:val="0"/>
            </w:rPr>
            <w:t>KRA</w:t>
          </w:r>
          <w:r>
            <w:rPr>
              <w:rFonts w:hint="default" w:ascii="Times New Roman Bold" w:hAnsi="Times New Roman Bold" w:cs="Times New Roman Bold"/>
              <w:bCs w:val="0"/>
              <w:lang w:val="en-US"/>
            </w:rPr>
            <w:t>G</w:t>
          </w:r>
          <w:r>
            <w:rPr>
              <w:rFonts w:hint="default" w:ascii="Times New Roman Bold" w:hAnsi="Times New Roman Bold" w:cs="Times New Roman Bold"/>
              <w:bCs w:val="0"/>
            </w:rPr>
            <w:t>H KPI for the Judicial System</w:t>
          </w:r>
          <w:r>
            <w:tab/>
          </w:r>
          <w:r>
            <w:fldChar w:fldCharType="begin"/>
          </w:r>
          <w:r>
            <w:instrText xml:space="preserve"> PAGEREF _Toc1848570730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50E7014B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_Toc1282337961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cs="Times New Roman Bold"/>
              <w:bCs w:val="0"/>
            </w:rPr>
            <w:t>(Master-level, fully self-contained Methodology / Case Study block: Courts)</w:t>
          </w:r>
          <w:r>
            <w:tab/>
          </w:r>
          <w:r>
            <w:fldChar w:fldCharType="begin"/>
          </w:r>
          <w:r>
            <w:instrText xml:space="preserve"> PAGEREF _Toc1282337961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5C4B4314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_Toc108229235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cs="Times New Roman Bold"/>
              <w:bCs w:val="0"/>
            </w:rPr>
            <w:t>KRA</w:t>
          </w:r>
          <w:r>
            <w:rPr>
              <w:rFonts w:hint="default" w:ascii="Times New Roman Bold" w:hAnsi="Times New Roman Bold" w:cs="Times New Roman Bold"/>
              <w:bCs w:val="0"/>
              <w:lang w:val="en-US"/>
            </w:rPr>
            <w:t>G</w:t>
          </w:r>
          <w:r>
            <w:rPr>
              <w:rFonts w:hint="default" w:ascii="Times New Roman Bold" w:hAnsi="Times New Roman Bold" w:cs="Times New Roman Bold"/>
              <w:bCs w:val="0"/>
            </w:rPr>
            <w:t>H KPI — Judicial System</w:t>
          </w:r>
          <w:r>
            <w:tab/>
          </w:r>
          <w:r>
            <w:fldChar w:fldCharType="begin"/>
          </w:r>
          <w:r>
            <w:instrText xml:space="preserve"> PAGEREF _Toc108229235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427035AE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_Toc90103636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KRA</w:t>
          </w:r>
          <w:r>
            <w:rPr>
              <w:rFonts w:hint="default" w:ascii="Times New Roman Bold" w:hAnsi="Times New Roman Bold" w:cs="Times New Roman Bold"/>
              <w:bCs w:val="0"/>
              <w:szCs w:val="36"/>
              <w:lang w:val="en-US"/>
            </w:rPr>
            <w:t>G</w:t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H KRP —</w:t>
          </w:r>
          <w:r>
            <w:tab/>
          </w:r>
          <w:r>
            <w:fldChar w:fldCharType="begin"/>
          </w:r>
          <w:r>
            <w:instrText xml:space="preserve"> PAGEREF _Toc90103636 \h </w:instrText>
          </w:r>
          <w:r>
            <w:fldChar w:fldCharType="separate"/>
          </w:r>
          <w:r>
            <w:t>32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1882852D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_Toc395839117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Rollback Risk для судової системи</w:t>
          </w:r>
          <w:r>
            <w:tab/>
          </w:r>
          <w:r>
            <w:fldChar w:fldCharType="begin"/>
          </w:r>
          <w:r>
            <w:instrText xml:space="preserve"> PAGEREF _Toc395839117 \h </w:instrText>
          </w:r>
          <w:r>
            <w:fldChar w:fldCharType="separate"/>
          </w:r>
          <w:r>
            <w:t>32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7E813B83">
          <w:pPr>
            <w:pStyle w:val="17"/>
            <w:tabs>
              <w:tab w:val="right" w:leader="dot" w:pos="8306"/>
            </w:tabs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begin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instrText xml:space="preserve"> HYPERLINK \l _Toc2111184660 </w:instrText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separate"/>
          </w:r>
          <w:r>
            <w:rPr>
              <w:rFonts w:hint="default" w:ascii="Times New Roman Bold" w:hAnsi="Times New Roman Bold" w:cs="Times New Roman Bold"/>
              <w:bCs w:val="0"/>
              <w:szCs w:val="36"/>
            </w:rPr>
            <w:t>General Conclusion / Methodological Reflection</w:t>
          </w:r>
          <w:r>
            <w:tab/>
          </w:r>
          <w:r>
            <w:fldChar w:fldCharType="begin"/>
          </w:r>
          <w:r>
            <w:instrText xml:space="preserve"> PAGEREF _Toc2111184660 \h </w:instrText>
          </w:r>
          <w:r>
            <w:fldChar w:fldCharType="separate"/>
          </w:r>
          <w:r>
            <w:t>34</w:t>
          </w:r>
          <w:r>
            <w:fldChar w:fldCharType="end"/>
          </w: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  <w:p w14:paraId="1A33597D">
          <w:pPr>
            <w:pStyle w:val="14"/>
            <w:keepNext w:val="0"/>
            <w:keepLines w:val="0"/>
            <w:widowControl/>
            <w:suppressLineNumbers w:val="0"/>
            <w:pBdr>
              <w:bottom w:val="single" w:color="auto" w:sz="12" w:space="0"/>
            </w:pBdr>
            <w:jc w:val="center"/>
            <w:rPr>
              <w:rFonts w:hint="default" w:ascii="Times New Roman Bold" w:hAnsi="Times New Roman Bold" w:eastAsia="SimSun" w:cs="Times New Roman Bold"/>
              <w:bCs/>
              <w:kern w:val="0"/>
              <w:sz w:val="24"/>
              <w:szCs w:val="36"/>
              <w:lang w:val="en-US" w:eastAsia="zh-CN" w:bidi="ar"/>
            </w:rPr>
          </w:pPr>
          <w:r>
            <w:rPr>
              <w:rFonts w:hint="default" w:ascii="Times New Roman Bold" w:hAnsi="Times New Roman Bold" w:eastAsia="SimSun" w:cs="Times New Roman Bold"/>
              <w:bCs/>
              <w:kern w:val="0"/>
              <w:szCs w:val="36"/>
              <w:lang w:val="en-US" w:eastAsia="zh-CN" w:bidi="ar"/>
            </w:rPr>
            <w:fldChar w:fldCharType="end"/>
          </w:r>
        </w:p>
      </w:sdtContent>
    </w:sdt>
    <w:p w14:paraId="7486E32F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jc w:val="center"/>
        <w:rPr>
          <w:rFonts w:hint="default" w:ascii="Times New Roman Bold" w:hAnsi="Times New Roman Bold" w:eastAsia="SimSun" w:cs="Times New Roman Bold"/>
          <w:bCs/>
          <w:kern w:val="0"/>
          <w:sz w:val="24"/>
          <w:szCs w:val="36"/>
          <w:lang w:val="en-US" w:eastAsia="zh-CN" w:bidi="ar"/>
        </w:rPr>
      </w:pPr>
    </w:p>
    <w:p w14:paraId="7ED78558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jc w:val="center"/>
        <w:rPr>
          <w:rFonts w:hint="default" w:ascii="Times New Roman Bold" w:hAnsi="Times New Roman Bold" w:eastAsia="SimSun" w:cs="Times New Roman Bold"/>
          <w:bCs/>
          <w:kern w:val="0"/>
          <w:sz w:val="24"/>
          <w:szCs w:val="36"/>
          <w:lang w:val="en-US" w:eastAsia="zh-CN" w:bidi="ar"/>
        </w:rPr>
      </w:pPr>
    </w:p>
    <w:p w14:paraId="5651A34B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jc w:val="center"/>
        <w:rPr>
          <w:rFonts w:hint="default" w:ascii="Times New Roman Bold" w:hAnsi="Times New Roman Bold" w:eastAsia="SimSun" w:cs="Times New Roman Bold"/>
          <w:bCs/>
          <w:kern w:val="0"/>
          <w:sz w:val="24"/>
          <w:szCs w:val="36"/>
          <w:lang w:val="en-US" w:eastAsia="zh-CN" w:bidi="ar"/>
        </w:rPr>
      </w:pPr>
      <w:bookmarkStart w:id="39" w:name="_GoBack"/>
      <w:bookmarkEnd w:id="39"/>
    </w:p>
    <w:p w14:paraId="01C0BCD2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jc w:val="center"/>
        <w:rPr>
          <w:rFonts w:hint="default" w:ascii="Times New Roman Bold" w:hAnsi="Times New Roman Bold" w:eastAsia="SimSun" w:cs="Times New Roman Bold"/>
          <w:bCs/>
          <w:kern w:val="0"/>
          <w:sz w:val="24"/>
          <w:szCs w:val="36"/>
          <w:lang w:val="en-US" w:eastAsia="zh-CN" w:bidi="ar"/>
        </w:rPr>
      </w:pPr>
    </w:p>
    <w:p w14:paraId="7F6844AD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jc w:val="center"/>
        <w:rPr>
          <w:rFonts w:hint="default" w:ascii="Times New Roman Bold" w:hAnsi="Times New Roman Bold" w:eastAsia="SimSun" w:cs="Times New Roman Bold"/>
          <w:bCs/>
          <w:kern w:val="0"/>
          <w:sz w:val="24"/>
          <w:szCs w:val="36"/>
          <w:lang w:val="en-US" w:eastAsia="zh-CN" w:bidi="ar"/>
        </w:rPr>
      </w:pPr>
    </w:p>
    <w:p w14:paraId="29A523E6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jc w:val="center"/>
        <w:rPr>
          <w:rFonts w:hint="default" w:ascii="Times New Roman Bold" w:hAnsi="Times New Roman Bold" w:eastAsia="SimSun" w:cs="Times New Roman Bold"/>
          <w:bCs/>
          <w:kern w:val="0"/>
          <w:sz w:val="24"/>
          <w:szCs w:val="36"/>
          <w:lang w:val="en-US" w:eastAsia="zh-CN" w:bidi="ar"/>
        </w:rPr>
      </w:pPr>
    </w:p>
    <w:p w14:paraId="7885EF4D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jc w:val="center"/>
        <w:rPr>
          <w:rFonts w:hint="default" w:ascii="Times New Roman Bold" w:hAnsi="Times New Roman Bold" w:eastAsia="SimSun" w:cs="Times New Roman Bold"/>
          <w:bCs/>
          <w:kern w:val="0"/>
          <w:sz w:val="24"/>
          <w:szCs w:val="36"/>
          <w:lang w:val="en-US" w:eastAsia="zh-CN" w:bidi="ar"/>
        </w:rPr>
      </w:pPr>
    </w:p>
    <w:p w14:paraId="77FEFB21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jc w:val="center"/>
        <w:rPr>
          <w:rFonts w:hint="default" w:ascii="Times New Roman Bold" w:hAnsi="Times New Roman Bold" w:eastAsia="SimSun" w:cs="Times New Roman Bold"/>
          <w:bCs/>
          <w:kern w:val="0"/>
          <w:sz w:val="24"/>
          <w:szCs w:val="36"/>
          <w:lang w:val="en-US" w:eastAsia="zh-CN" w:bidi="ar"/>
        </w:rPr>
      </w:pPr>
    </w:p>
    <w:p w14:paraId="427FDE5C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jc w:val="center"/>
        <w:rPr>
          <w:rFonts w:hint="default" w:ascii="Times New Roman Bold" w:hAnsi="Times New Roman Bold" w:eastAsia="SimSun" w:cs="Times New Roman Bold"/>
          <w:bCs/>
          <w:kern w:val="0"/>
          <w:sz w:val="24"/>
          <w:szCs w:val="36"/>
          <w:lang w:val="en-US" w:eastAsia="zh-CN" w:bidi="ar"/>
        </w:rPr>
      </w:pPr>
    </w:p>
    <w:p w14:paraId="7A2D1B06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jc w:val="center"/>
        <w:rPr>
          <w:rFonts w:hint="default" w:ascii="Times New Roman Bold" w:hAnsi="Times New Roman Bold" w:eastAsia="SimSun" w:cs="Times New Roman Bold"/>
          <w:bCs/>
          <w:kern w:val="0"/>
          <w:sz w:val="24"/>
          <w:szCs w:val="36"/>
          <w:lang w:val="en-US" w:eastAsia="zh-CN" w:bidi="ar"/>
        </w:rPr>
      </w:pPr>
    </w:p>
    <w:p w14:paraId="28BC358F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jc w:val="center"/>
        <w:rPr>
          <w:rFonts w:hint="default" w:ascii="Times New Roman Bold" w:hAnsi="Times New Roman Bold" w:eastAsia="SimSun" w:cs="Times New Roman Bold"/>
          <w:bCs/>
          <w:kern w:val="0"/>
          <w:sz w:val="24"/>
          <w:szCs w:val="36"/>
          <w:lang w:val="en-US" w:eastAsia="zh-CN" w:bidi="ar"/>
        </w:rPr>
      </w:pPr>
    </w:p>
    <w:p w14:paraId="6659D604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jc w:val="both"/>
        <w:rPr>
          <w:rFonts w:hint="default" w:ascii="Times New Roman Bold" w:hAnsi="Times New Roman Bold" w:eastAsia="SimSun" w:cs="Times New Roman Bold"/>
          <w:bCs/>
          <w:kern w:val="0"/>
          <w:sz w:val="24"/>
          <w:szCs w:val="36"/>
          <w:lang w:val="en-US" w:eastAsia="zh-CN" w:bidi="ar"/>
        </w:rPr>
      </w:pPr>
    </w:p>
    <w:p w14:paraId="7B19F4B4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jc w:val="center"/>
        <w:rPr>
          <w:rFonts w:hint="default" w:ascii="Times New Roman Bold" w:hAnsi="Times New Roman Bold" w:cs="Times New Roman Bold"/>
          <w:b/>
          <w:bCs/>
          <w:sz w:val="36"/>
          <w:szCs w:val="36"/>
        </w:rPr>
      </w:pPr>
    </w:p>
    <w:p w14:paraId="7821209F">
      <w:pPr>
        <w:pStyle w:val="2"/>
        <w:bidi w:val="0"/>
        <w:jc w:val="center"/>
        <w:rPr>
          <w:rFonts w:hint="default" w:ascii="Times New Roman Bold" w:hAnsi="Times New Roman Bold" w:cs="Times New Roman Bold"/>
          <w:b/>
          <w:bCs w:val="0"/>
          <w:sz w:val="36"/>
          <w:szCs w:val="36"/>
        </w:rPr>
      </w:pPr>
      <w:bookmarkStart w:id="0" w:name="_Toc1455572065"/>
      <w:bookmarkStart w:id="1" w:name="_Toc2111048465"/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Chapter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  <w:lang w:val="uk-UA"/>
        </w:rPr>
        <w:t xml:space="preserve"> 1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:</w:t>
      </w:r>
      <w:bookmarkEnd w:id="0"/>
      <w:bookmarkEnd w:id="1"/>
    </w:p>
    <w:p w14:paraId="7712764B">
      <w:pPr>
        <w:pStyle w:val="2"/>
        <w:bidi w:val="0"/>
        <w:jc w:val="center"/>
        <w:rPr>
          <w:rFonts w:hint="default" w:ascii="Times New Roman Bold" w:hAnsi="Times New Roman Bold" w:cs="Times New Roman Bold"/>
          <w:b/>
          <w:bCs w:val="0"/>
          <w:sz w:val="36"/>
          <w:szCs w:val="36"/>
        </w:rPr>
      </w:pPr>
      <w:bookmarkStart w:id="2" w:name="_Toc1813473478"/>
      <w:bookmarkStart w:id="3" w:name="_Toc1814219168"/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Methodology / Indicators Framework</w:t>
      </w:r>
      <w:bookmarkEnd w:id="2"/>
      <w:bookmarkEnd w:id="3"/>
    </w:p>
    <w:p w14:paraId="29CC7917">
      <w:pPr>
        <w:pStyle w:val="2"/>
        <w:bidi w:val="0"/>
        <w:jc w:val="center"/>
        <w:rPr>
          <w:rFonts w:hint="default" w:ascii="Times New Roman Bold" w:hAnsi="Times New Roman Bold" w:cs="Times New Roman Bold"/>
          <w:b/>
          <w:bCs w:val="0"/>
          <w:sz w:val="36"/>
          <w:szCs w:val="36"/>
        </w:rPr>
      </w:pPr>
      <w:bookmarkStart w:id="4" w:name="_Toc1960826522"/>
      <w:bookmarkStart w:id="5" w:name="_Toc1608736470"/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KRA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  <w:lang w:val="da-DK"/>
        </w:rPr>
        <w:t>G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 xml:space="preserve">H KPI 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  <w:lang w:val="da-DK"/>
        </w:rPr>
        <w:t>(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 xml:space="preserve"> English translation)</w:t>
      </w:r>
      <w:bookmarkEnd w:id="4"/>
      <w:bookmarkEnd w:id="5"/>
    </w:p>
    <w:p w14:paraId="6831745D">
      <w:pPr>
        <w:pStyle w:val="3"/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 Bold" w:hAnsi="Times New Roman Bold" w:cs="Times New Roman Bold"/>
          <w:b/>
          <w:bCs/>
          <w:sz w:val="28"/>
          <w:szCs w:val="28"/>
        </w:rPr>
      </w:pPr>
      <w:r>
        <w:rPr>
          <w:rFonts w:hint="default" w:ascii="Times New Roman Bold" w:hAnsi="Times New Roman Bold" w:cs="Times New Roman Bold"/>
          <w:b/>
          <w:bCs/>
          <w:sz w:val="28"/>
          <w:szCs w:val="28"/>
        </w:rPr>
        <w:t>1) What is KRA</w:t>
      </w:r>
      <w:r>
        <w:rPr>
          <w:rFonts w:hint="default" w:ascii="Times New Roman Bold" w:hAnsi="Times New Roman Bold" w:cs="Times New Roman Bold"/>
          <w:b/>
          <w:bCs/>
          <w:sz w:val="28"/>
          <w:szCs w:val="28"/>
          <w:lang w:val="da-DK"/>
        </w:rPr>
        <w:t>G</w:t>
      </w:r>
      <w:r>
        <w:rPr>
          <w:rFonts w:hint="default" w:ascii="Times New Roman Bold" w:hAnsi="Times New Roman Bold" w:cs="Times New Roman Bold"/>
          <w:b/>
          <w:bCs/>
          <w:sz w:val="28"/>
          <w:szCs w:val="28"/>
        </w:rPr>
        <w:t xml:space="preserve">H KPI </w:t>
      </w:r>
    </w:p>
    <w:p w14:paraId="36A61EF3">
      <w:pPr>
        <w:pStyle w:val="14"/>
        <w:keepNext w:val="0"/>
        <w:keepLines w:val="0"/>
        <w:widowControl/>
        <w:suppressLineNumbers w:val="0"/>
        <w:spacing w:line="360" w:lineRule="auto"/>
        <w:ind w:firstLine="720" w:firstLineChars="0"/>
        <w:jc w:val="both"/>
        <w:rPr>
          <w:rFonts w:hint="default" w:ascii="Times New Roman Bold" w:hAnsi="Times New Roman Bold" w:cs="Times New Roman Bold"/>
          <w:b/>
          <w:bCs/>
          <w:sz w:val="28"/>
          <w:szCs w:val="28"/>
          <w:lang w:val="da-DK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KRA</w:t>
      </w:r>
      <w:r>
        <w:rPr>
          <w:rStyle w:val="15"/>
          <w:rFonts w:hint="default" w:ascii="Times New Roman Regular" w:hAnsi="Times New Roman Regular" w:cs="Times New Roman Regular"/>
          <w:sz w:val="28"/>
          <w:szCs w:val="28"/>
          <w:lang w:val="da-DK"/>
        </w:rPr>
        <w:t>C</w:t>
      </w: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H KPI</w:t>
      </w:r>
      <w:r>
        <w:rPr>
          <w:rFonts w:hint="default" w:ascii="Times New Roman Regular" w:hAnsi="Times New Roman Regular" w:cs="Times New Roman Regular"/>
          <w:sz w:val="28"/>
          <w:szCs w:val="28"/>
        </w:rPr>
        <w:t xml:space="preserve"> is a computational methodology for measuring the gap between legal norms and actual execution (normative–operational–computational–audit gap) in institutional systems. The KPI is constructed as an aggregated maturity/compliance index based on indicators, evidence, and a system of weights. The result is a numerically measurable compliance profile and set of failure points, suitable for comparative analysis and for transition to a risk model</w:t>
      </w:r>
      <w:r>
        <w:rPr>
          <w:rFonts w:hint="default" w:ascii="Times New Roman Regular" w:hAnsi="Times New Roman Regular" w:cs="Times New Roman Regular"/>
          <w:sz w:val="28"/>
          <w:szCs w:val="28"/>
          <w:lang w:val="da-DK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sz w:val="28"/>
          <w:szCs w:val="28"/>
        </w:rPr>
        <w:t>(KRP / rollback</w:t>
      </w:r>
      <w:r>
        <w:rPr>
          <w:rFonts w:hint="default" w:ascii="Times New Roman Regular" w:hAnsi="Times New Roman Regular" w:cs="Times New Roman Regular"/>
          <w:sz w:val="28"/>
          <w:szCs w:val="28"/>
          <w:lang w:val="da-DK"/>
        </w:rPr>
        <w:t xml:space="preserve"> - </w:t>
      </w:r>
      <w:r>
        <w:rPr>
          <w:rFonts w:hint="default" w:ascii="Times New Roman Regular" w:hAnsi="Times New Roman Regular" w:cs="Times New Roman Regular"/>
          <w:sz w:val="28"/>
          <w:szCs w:val="28"/>
          <w:lang w:val="uk-UA"/>
        </w:rPr>
        <w:t>формули відкату</w:t>
      </w:r>
      <w:r>
        <w:rPr>
          <w:rFonts w:hint="default" w:ascii="Times New Roman Regular" w:hAnsi="Times New Roman Regular" w:cs="Times New Roman Regular"/>
          <w:sz w:val="28"/>
          <w:szCs w:val="28"/>
        </w:rPr>
        <w:t>)</w:t>
      </w:r>
      <w:r>
        <w:rPr>
          <w:rFonts w:hint="default" w:ascii="Times New Roman Regular" w:hAnsi="Times New Roman Regular" w:cs="Times New Roman Regular"/>
          <w:sz w:val="28"/>
          <w:szCs w:val="28"/>
          <w:lang w:val="uk-UA"/>
        </w:rPr>
        <w:t xml:space="preserve"> до </w:t>
      </w:r>
      <w:r>
        <w:rPr>
          <w:rFonts w:hint="default" w:ascii="Times New Roman Bold" w:hAnsi="Times New Roman Bold" w:cs="Times New Roman Bold"/>
          <w:b/>
          <w:bCs/>
          <w:sz w:val="28"/>
          <w:szCs w:val="28"/>
          <w:lang w:val="da-DK"/>
        </w:rPr>
        <w:t>CIRA.</w:t>
      </w:r>
    </w:p>
    <w:p w14:paraId="36EDC877">
      <w:pPr>
        <w:pStyle w:val="14"/>
        <w:keepNext w:val="0"/>
        <w:keepLines w:val="0"/>
        <w:widowControl/>
        <w:suppressLineNumbers w:val="0"/>
        <w:spacing w:line="360" w:lineRule="auto"/>
        <w:ind w:firstLine="1429" w:firstLineChars="510"/>
        <w:jc w:val="both"/>
        <w:rPr>
          <w:rFonts w:hint="default" w:ascii="Times New Roman Regular" w:hAnsi="Times New Roman Regular" w:cs="Times New Roman Regular"/>
          <w:sz w:val="28"/>
          <w:szCs w:val="28"/>
          <w:lang w:val="uk-UA"/>
        </w:rPr>
      </w:pPr>
      <w:r>
        <w:rPr>
          <w:rStyle w:val="15"/>
          <w:rFonts w:hint="default" w:ascii="Times New Roman Bold" w:hAnsi="Times New Roman Bold" w:cs="Times New Roman Bold"/>
          <w:b/>
          <w:bCs/>
          <w:sz w:val="28"/>
          <w:szCs w:val="28"/>
        </w:rPr>
        <w:t>KRA</w:t>
      </w:r>
      <w:r>
        <w:rPr>
          <w:rStyle w:val="15"/>
          <w:rFonts w:hint="default" w:ascii="Times New Roman Bold" w:hAnsi="Times New Roman Bold" w:cs="Times New Roman Bold"/>
          <w:b/>
          <w:bCs/>
          <w:sz w:val="28"/>
          <w:szCs w:val="28"/>
          <w:lang w:val="da-DK"/>
        </w:rPr>
        <w:t>G</w:t>
      </w:r>
      <w:r>
        <w:rPr>
          <w:rStyle w:val="15"/>
          <w:rFonts w:hint="default" w:ascii="Times New Roman Bold" w:hAnsi="Times New Roman Bold" w:cs="Times New Roman Bold"/>
          <w:b/>
          <w:bCs/>
          <w:sz w:val="28"/>
          <w:szCs w:val="28"/>
        </w:rPr>
        <w:t>H KPI</w:t>
      </w:r>
      <w:r>
        <w:rPr>
          <w:rStyle w:val="15"/>
          <w:rFonts w:hint="default" w:ascii="Times New Roman Bold" w:hAnsi="Times New Roman Bold" w:cs="Times New Roman Bold"/>
          <w:b/>
          <w:bCs/>
          <w:sz w:val="28"/>
          <w:szCs w:val="28"/>
          <w:lang w:val="da-DK"/>
        </w:rPr>
        <w:t xml:space="preserve"> - KRAGH </w:t>
      </w:r>
      <w:r>
        <w:rPr>
          <w:rFonts w:hint="default" w:ascii="Times New Roman Bold" w:hAnsi="Times New Roman Bold" w:cs="Times New Roman Bold"/>
          <w:b/>
          <w:bCs/>
          <w:sz w:val="28"/>
          <w:szCs w:val="28"/>
        </w:rPr>
        <w:t>KRP / rollback</w:t>
      </w:r>
      <w:r>
        <w:rPr>
          <w:rFonts w:hint="default" w:ascii="Times New Roman Bold" w:hAnsi="Times New Roman Bold" w:cs="Times New Roman Bold"/>
          <w:b/>
          <w:bCs/>
          <w:sz w:val="28"/>
          <w:szCs w:val="28"/>
          <w:lang w:val="da-DK"/>
        </w:rPr>
        <w:t xml:space="preserve"> + CIRA</w:t>
      </w:r>
    </w:p>
    <w:p w14:paraId="1E53FCF5">
      <w:pPr>
        <w:pStyle w:val="14"/>
        <w:keepNext w:val="0"/>
        <w:keepLines w:val="0"/>
        <w:widowControl/>
        <w:suppressLineNumbers w:val="0"/>
        <w:ind w:firstLine="720" w:firstLineChars="0"/>
        <w:jc w:val="center"/>
        <w:rPr>
          <w:rFonts w:hint="default" w:ascii="Times New Roman Regular" w:hAnsi="Times New Roman Regular" w:cs="Times New Roman Regular"/>
          <w:sz w:val="28"/>
          <w:szCs w:val="28"/>
        </w:rPr>
      </w:pPr>
      <w:r>
        <w:drawing>
          <wp:inline distT="0" distB="0" distL="114300" distR="114300">
            <wp:extent cx="2626360" cy="2971165"/>
            <wp:effectExtent l="0" t="0" r="15240" b="635"/>
            <wp:docPr id="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97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4E3CE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</w:p>
    <w:p w14:paraId="0221B3ED">
      <w:pPr>
        <w:pStyle w:val="3"/>
        <w:keepNext w:val="0"/>
        <w:keepLines w:val="0"/>
        <w:widowControl/>
        <w:suppressLineNumbers w:val="0"/>
        <w:spacing w:line="360" w:lineRule="auto"/>
        <w:outlineLvl w:val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2) Unit of analysis: what exactly is measured</w:t>
      </w:r>
    </w:p>
    <w:p w14:paraId="50590D9F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Define the object (u). It must be unambiguously measurable:</w:t>
      </w:r>
    </w:p>
    <w:p w14:paraId="30133456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an institution (e.g., an anti-corruption authority),</w:t>
      </w:r>
    </w:p>
    <w:p w14:paraId="21F83841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a procedure (e.g., procurement + e-sign),</w:t>
      </w:r>
    </w:p>
    <w:p w14:paraId="4F71B443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a digital service (EUDI onboarding),</w:t>
      </w:r>
    </w:p>
    <w:p w14:paraId="021886BA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a reform module (judicial integrity + oversight).</w:t>
      </w:r>
    </w:p>
    <w:p w14:paraId="12291A62">
      <w:pPr>
        <w:pStyle w:val="3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3) Model layers (CIRA-compatible)</w:t>
      </w:r>
    </w:p>
    <w:p w14:paraId="6824FDED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The KPI is calculated across four layers (L):</w:t>
      </w:r>
    </w:p>
    <w:p w14:paraId="6927A28E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N (Normative)</w:t>
      </w:r>
      <w:r>
        <w:rPr>
          <w:rFonts w:hint="default" w:ascii="Times New Roman Regular" w:hAnsi="Times New Roman Regular" w:cs="Times New Roman Regular"/>
          <w:sz w:val="28"/>
          <w:szCs w:val="28"/>
        </w:rPr>
        <w:t xml:space="preserve"> — legal norms, obligations, legal requirements</w:t>
      </w:r>
    </w:p>
    <w:p w14:paraId="60045B53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O (Operational)</w:t>
      </w:r>
      <w:r>
        <w:rPr>
          <w:rFonts w:hint="default" w:ascii="Times New Roman Regular" w:hAnsi="Times New Roman Regular" w:cs="Times New Roman Regular"/>
          <w:sz w:val="28"/>
          <w:szCs w:val="28"/>
        </w:rPr>
        <w:t xml:space="preserve"> — processes, institutions, human execution</w:t>
      </w:r>
    </w:p>
    <w:p w14:paraId="7A233071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C (Computational)</w:t>
      </w:r>
      <w:r>
        <w:rPr>
          <w:rFonts w:hint="default" w:ascii="Times New Roman Regular" w:hAnsi="Times New Roman Regular" w:cs="Times New Roman Regular"/>
          <w:sz w:val="28"/>
          <w:szCs w:val="28"/>
        </w:rPr>
        <w:t xml:space="preserve"> — digital infrastructure and technical controls</w:t>
      </w:r>
    </w:p>
    <w:p w14:paraId="2F014766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F (Feedback)</w:t>
      </w:r>
      <w:r>
        <w:rPr>
          <w:rFonts w:hint="default" w:ascii="Times New Roman Regular" w:hAnsi="Times New Roman Regular" w:cs="Times New Roman Regular"/>
          <w:sz w:val="28"/>
          <w:szCs w:val="28"/>
        </w:rPr>
        <w:t xml:space="preserve"> — audit, traceability, monitoring, rollback</w:t>
      </w:r>
    </w:p>
    <w:p w14:paraId="693B9D8F">
      <w:pPr>
        <w:pStyle w:val="3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4) Indicators and scales</w:t>
      </w:r>
    </w:p>
    <w:p w14:paraId="3B951B91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For each layer (L), a set of indicators (i = 1..m_L) is defined.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Each indicator must include:</w:t>
      </w:r>
    </w:p>
    <w:p w14:paraId="3985AE6F">
      <w:pPr>
        <w:pStyle w:val="14"/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description,</w:t>
      </w:r>
    </w:p>
    <w:p w14:paraId="656AAD63">
      <w:pPr>
        <w:pStyle w:val="14"/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source of evidence,</w:t>
      </w:r>
    </w:p>
    <w:p w14:paraId="742958F0">
      <w:pPr>
        <w:pStyle w:val="14"/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calculation rule.</w:t>
      </w:r>
    </w:p>
    <w:p w14:paraId="02AE0A08">
      <w:pPr>
        <w:pStyle w:val="14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 w:line="360" w:lineRule="auto"/>
        <w:ind w:right="0" w:rightChars="0"/>
        <w:jc w:val="left"/>
        <w:rPr>
          <w:rFonts w:hint="default" w:ascii="Times New Roman Regular" w:hAnsi="Times New Roman Regular" w:cs="Times New Roman Regular"/>
          <w:sz w:val="28"/>
          <w:szCs w:val="28"/>
        </w:rPr>
      </w:pPr>
    </w:p>
    <w:p w14:paraId="711A8D17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4.1 Indicator normalization in [0,1]</w:t>
      </w:r>
    </w:p>
    <w:p w14:paraId="3170565E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Each indicator is transformed into a numerical value:</w:t>
      </w:r>
    </w:p>
    <w:p w14:paraId="515AF7CE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x_{u,L,i}\in[0,1]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3D1CE729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Typical rules:</w:t>
      </w:r>
    </w:p>
    <w:p w14:paraId="7FB0C381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Binary: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x=\begin{cases}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1,&amp; \text{if the condition is fulfilled}\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0,&amp; \text{otherwise}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\end{cases}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263DD46B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Ratio: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x = \min\left(1,\frac{\text{observed}}{\text{target}}\right)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4F4DB331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Penalty for delay: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x=\exp(-\lambda\cdot d)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01DDE6D7">
      <w:pPr>
        <w:pStyle w:val="3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5) Evidence coefficient</w:t>
      </w:r>
    </w:p>
    <w:p w14:paraId="63B83404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An evidence confidence coefficient is introduced:</w:t>
      </w:r>
    </w:p>
    <w:p w14:paraId="196AFD6F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c_{u,L,i}\in[0,1]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29874299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Weighted indicator value: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\tilde{x}</w:t>
      </w:r>
      <w:r>
        <w:rPr>
          <w:rStyle w:val="9"/>
          <w:rFonts w:hint="default" w:ascii="Times New Roman Regular" w:hAnsi="Times New Roman Regular" w:cs="Times New Roman Regular"/>
          <w:sz w:val="28"/>
          <w:szCs w:val="28"/>
        </w:rPr>
        <w:t>{u,L,i}=c</w:t>
      </w:r>
      <w:r>
        <w:rPr>
          <w:rFonts w:hint="default" w:ascii="Times New Roman Regular" w:hAnsi="Times New Roman Regular" w:cs="Times New Roman Regular"/>
          <w:sz w:val="28"/>
          <w:szCs w:val="28"/>
        </w:rPr>
        <w:t>{u,L,i}\cdot x_{u,L,i}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36F81B26">
      <w:pPr>
        <w:pStyle w:val="3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6) Weights</w:t>
      </w:r>
    </w:p>
    <w:p w14:paraId="44B6F6FB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Indicator weights: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\sum_{i=1}^{m_L} w_{L,i}=1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5B425F14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Layer weights: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\sum_{L\in{N,O,C,F}}\alpha_L = 1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26DB3B2B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Baseline: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\alpha_N=0.20,;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\alpha_O=0.25,;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\alpha_C=0.30,;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\alpha_F=0.25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622FDC11">
      <w:pPr>
        <w:pStyle w:val="3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7) KPI calculation</w:t>
      </w:r>
    </w:p>
    <w:p w14:paraId="57CE332A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Layer score: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S_{u,L}=\sum_{i} w_{L,i}\cdot \tilde{x}_{u,L,i}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2EFB6B6A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Overall KPI: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KPI_u=\sum_L \alpha_L\cdot S_{u,L}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02DC9B9F">
      <w:pPr>
        <w:pStyle w:val="3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8) Gap logic</w:t>
      </w:r>
    </w:p>
    <w:p w14:paraId="2C11FC48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KPI_u^{(p)}=\left(\sum_L \alpha_L\cdot S_{u,L}^{p}\right)^{1/p}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575938D0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G_u=1-KPI_u^{(p)}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3CC21865">
      <w:pPr>
        <w:pStyle w:val="3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9) KPI profile</w:t>
      </w:r>
    </w:p>
    <w:p w14:paraId="18EA520F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(S_{u,N}, S_{u,O}, S_{u,C}, S_{u,F})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46174A28">
      <w:pPr>
        <w:pStyle w:val="3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10) Indicator starter pack</w:t>
      </w:r>
    </w:p>
    <w:p w14:paraId="153B04B8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N (Normative)</w:t>
      </w:r>
    </w:p>
    <w:p w14:paraId="4A45692C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Coverage of obligations</w:t>
      </w:r>
    </w:p>
    <w:p w14:paraId="0B2F6AC9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Procedural safeguards defined</w:t>
      </w:r>
    </w:p>
    <w:p w14:paraId="011988DD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Clarity / low discretion</w:t>
      </w:r>
    </w:p>
    <w:p w14:paraId="60512487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O (Operational)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SOP implemented + used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Oversight effectiveness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Remedies / appeals working in practice</w:t>
      </w:r>
    </w:p>
    <w:p w14:paraId="6B911D76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C (Computational)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Strong auth / EUDI readiness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Digital signatures adoption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Cross-border interoperability</w:t>
      </w:r>
    </w:p>
    <w:p w14:paraId="767560C6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F (Feedback)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Audit log coverage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Real-time monitoring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Traceability + evidentiary chain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Rollback policy readiness</w:t>
      </w:r>
    </w:p>
    <w:p w14:paraId="5C1B098B">
      <w:pPr>
        <w:pStyle w:val="3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11) Transition to KRP and CIRA</w:t>
      </w:r>
    </w:p>
    <w:p w14:paraId="5F2CD377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KPI → maturity and gap</w:t>
      </w:r>
    </w:p>
    <w:p w14:paraId="5110F47A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KRP → rollback probability</w:t>
      </w:r>
    </w:p>
    <w:p w14:paraId="5F0A7E5F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CIRA → operational resilience architecture</w:t>
      </w:r>
    </w:p>
    <w:p w14:paraId="17D30871">
      <w:pPr>
        <w:keepNext w:val="0"/>
        <w:keepLines w:val="0"/>
        <w:widowControl/>
        <w:suppressLineNumbers w:val="0"/>
        <w:rPr>
          <w:rFonts w:hint="default" w:ascii="Times New Roman Regular" w:hAnsi="Times New Roman Regular" w:cs="Times New Roman Regular"/>
          <w:sz w:val="24"/>
          <w:szCs w:val="24"/>
        </w:rPr>
      </w:pPr>
    </w:p>
    <w:p w14:paraId="13F35363">
      <w:pPr>
        <w:keepNext w:val="0"/>
        <w:keepLines w:val="0"/>
        <w:widowControl/>
        <w:suppressLineNumbers w:val="0"/>
      </w:pPr>
    </w:p>
    <w:p w14:paraId="051E9763">
      <w:pPr>
        <w:keepNext w:val="0"/>
        <w:keepLines w:val="0"/>
        <w:widowControl/>
        <w:suppressLineNumbers w:val="0"/>
      </w:pPr>
    </w:p>
    <w:p w14:paraId="177DA7AF">
      <w:pPr>
        <w:keepNext w:val="0"/>
        <w:keepLines w:val="0"/>
        <w:widowControl/>
        <w:suppressLineNumbers w:val="0"/>
      </w:pPr>
    </w:p>
    <w:p w14:paraId="4C7366B6">
      <w:pPr>
        <w:keepNext w:val="0"/>
        <w:keepLines w:val="0"/>
        <w:widowControl/>
        <w:suppressLineNumbers w:val="0"/>
      </w:pPr>
    </w:p>
    <w:p w14:paraId="1E0BCB93">
      <w:pPr>
        <w:keepNext w:val="0"/>
        <w:keepLines w:val="0"/>
        <w:widowControl/>
        <w:suppressLineNumbers w:val="0"/>
      </w:pPr>
    </w:p>
    <w:p w14:paraId="62BF4C4B">
      <w:pPr>
        <w:keepNext w:val="0"/>
        <w:keepLines w:val="0"/>
        <w:widowControl/>
        <w:suppressLineNumbers w:val="0"/>
      </w:pPr>
    </w:p>
    <w:p w14:paraId="4EE1B8A6">
      <w:pPr>
        <w:keepNext w:val="0"/>
        <w:keepLines w:val="0"/>
        <w:widowControl/>
        <w:suppressLineNumbers w:val="0"/>
      </w:pPr>
    </w:p>
    <w:p w14:paraId="39702FFE">
      <w:pPr>
        <w:keepNext w:val="0"/>
        <w:keepLines w:val="0"/>
        <w:widowControl/>
        <w:suppressLineNumbers w:val="0"/>
      </w:pPr>
    </w:p>
    <w:p w14:paraId="08EB2583">
      <w:pPr>
        <w:keepNext w:val="0"/>
        <w:keepLines w:val="0"/>
        <w:widowControl/>
        <w:suppressLineNumbers w:val="0"/>
      </w:pPr>
    </w:p>
    <w:p w14:paraId="5B0C6B70">
      <w:pPr>
        <w:keepNext w:val="0"/>
        <w:keepLines w:val="0"/>
        <w:widowControl/>
        <w:suppressLineNumbers w:val="0"/>
      </w:pPr>
    </w:p>
    <w:p w14:paraId="4452A1A5">
      <w:pPr>
        <w:keepNext w:val="0"/>
        <w:keepLines w:val="0"/>
        <w:widowControl/>
        <w:suppressLineNumbers w:val="0"/>
      </w:pPr>
    </w:p>
    <w:p w14:paraId="71AD7662">
      <w:pPr>
        <w:keepNext w:val="0"/>
        <w:keepLines w:val="0"/>
        <w:widowControl/>
        <w:suppressLineNumbers w:val="0"/>
      </w:pPr>
    </w:p>
    <w:p w14:paraId="0EE6F720">
      <w:pPr>
        <w:pStyle w:val="2"/>
        <w:bidi w:val="0"/>
        <w:jc w:val="center"/>
        <w:rPr>
          <w:rFonts w:hint="default" w:ascii="Times New Roman Bold" w:hAnsi="Times New Roman Bold" w:cs="Times New Roman Bold"/>
          <w:b/>
          <w:bCs w:val="0"/>
          <w:sz w:val="36"/>
          <w:szCs w:val="36"/>
        </w:rPr>
      </w:pPr>
      <w:bookmarkStart w:id="6" w:name="_Toc327308392"/>
      <w:bookmarkStart w:id="7" w:name="_Toc1214735560"/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Chapter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  <w:lang w:val="uk-UA"/>
        </w:rPr>
        <w:t xml:space="preserve"> 2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:</w:t>
      </w:r>
      <w:bookmarkEnd w:id="6"/>
      <w:bookmarkEnd w:id="7"/>
    </w:p>
    <w:p w14:paraId="46E17DF1">
      <w:pPr>
        <w:pStyle w:val="2"/>
        <w:bidi w:val="0"/>
        <w:jc w:val="center"/>
        <w:rPr>
          <w:rFonts w:hint="default" w:ascii="Times New Roman Bold" w:hAnsi="Times New Roman Bold" w:cs="Times New Roman Bold"/>
          <w:b/>
          <w:bCs w:val="0"/>
          <w:sz w:val="36"/>
          <w:szCs w:val="36"/>
        </w:rPr>
      </w:pPr>
      <w:bookmarkStart w:id="8" w:name="_Toc1366524377"/>
      <w:bookmarkStart w:id="9" w:name="_Toc2081008538"/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Methodology / Indicators Framework</w:t>
      </w:r>
      <w:bookmarkEnd w:id="8"/>
      <w:bookmarkEnd w:id="9"/>
    </w:p>
    <w:p w14:paraId="1E1A27C3">
      <w:pPr>
        <w:pStyle w:val="2"/>
        <w:bidi w:val="0"/>
        <w:jc w:val="center"/>
        <w:rPr>
          <w:rStyle w:val="15"/>
          <w:rFonts w:hint="default" w:ascii="Times New Roman Bold" w:hAnsi="Times New Roman Bold" w:cs="Times New Roman Bold"/>
          <w:b/>
          <w:bCs/>
          <w:szCs w:val="32"/>
        </w:rPr>
      </w:pPr>
      <w:bookmarkStart w:id="10" w:name="_Toc1985083221"/>
      <w:bookmarkStart w:id="11" w:name="_Toc1591823124"/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KRA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  <w:lang w:val="en-US"/>
        </w:rPr>
        <w:t>G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H KPI — Detailed Indicator Breakdown</w:t>
      </w:r>
      <w:bookmarkEnd w:id="10"/>
      <w:bookmarkEnd w:id="11"/>
    </w:p>
    <w:p w14:paraId="18D50EFD">
      <w:pPr>
        <w:pStyle w:val="3"/>
        <w:keepNext w:val="0"/>
        <w:keepLines w:val="0"/>
        <w:widowControl/>
        <w:suppressLineNumbers w:val="0"/>
        <w:spacing w:line="360" w:lineRule="auto"/>
        <w:ind w:left="720" w:leftChars="0" w:firstLine="720" w:firstLineChars="0"/>
        <w:rPr>
          <w:rFonts w:hint="default" w:ascii="Times New Roman Regular" w:hAnsi="Times New Roman Regular" w:cs="Times New Roman Regular"/>
          <w:b/>
          <w:bCs/>
          <w:sz w:val="28"/>
          <w:szCs w:val="28"/>
        </w:rPr>
      </w:pPr>
      <w:r>
        <w:rPr>
          <w:rFonts w:hint="default" w:ascii="Times New Roman Regular" w:hAnsi="Times New Roman Regular" w:cs="Times New Roman Regular"/>
          <w:b/>
          <w:bCs/>
          <w:sz w:val="28"/>
          <w:szCs w:val="28"/>
        </w:rPr>
        <w:t>General Logic (to keep the reader oriented)</w:t>
      </w:r>
    </w:p>
    <w:p w14:paraId="0F9A4A2C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Each indicator is described using the same structure:</w:t>
      </w:r>
    </w:p>
    <w:p w14:paraId="00CEAA69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What it measures</w:t>
      </w:r>
    </w:p>
    <w:p w14:paraId="7A3803A1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Why it matters (link to rule of law / anti-corruption)</w:t>
      </w:r>
    </w:p>
    <w:p w14:paraId="4F6FB1F8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Evidence (data sources)</w:t>
      </w:r>
    </w:p>
    <w:p w14:paraId="3C703280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How it is normalized to 0..1</w:t>
      </w:r>
    </w:p>
    <w:p w14:paraId="443712D8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Typical errors / risks of manipulation</w:t>
      </w:r>
    </w:p>
    <w:p w14:paraId="41181EDE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Mini-example (anti-corruption authority / courts)</w:t>
      </w:r>
    </w:p>
    <w:p w14:paraId="538C556C">
      <w:pPr>
        <w:pStyle w:val="3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LAYER N — Normative</w:t>
      </w:r>
    </w:p>
    <w:p w14:paraId="77894697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N1) Coverage of obligations</w:t>
      </w:r>
    </w:p>
    <w:p w14:paraId="031A9964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What it measures: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The extent to which legal and regulatory frameworks comprehensively establish the obligations required to ensure the proper functioning of the institution (e.g., independence, powers, procedural transparency).</w:t>
      </w:r>
    </w:p>
    <w:p w14:paraId="00371D4F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Why it matters: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A common reform failure occurs when an institution is formally established, but its legal mandate is fragmented or incomplete (missing powers, procedures, or safeguards).</w:t>
      </w:r>
    </w:p>
    <w:p w14:paraId="334CD63F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Evidence:</w:t>
      </w:r>
    </w:p>
    <w:p w14:paraId="296FA10A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laws governing the relevant authority or court (framework law and amendments),</w:t>
      </w:r>
    </w:p>
    <w:p w14:paraId="44575C0C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secondary legislation (regulations, procedural rules),</w:t>
      </w:r>
    </w:p>
    <w:p w14:paraId="7F35EEDA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obligations derived from EU acquis and international standards (used as a “requirements checklist”).</w:t>
      </w:r>
    </w:p>
    <w:p w14:paraId="0F7FB306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Normalization (example):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A checklist of (k) obligations is constructed (e.g., 20 requirements related to independence and procedures):</w:t>
      </w:r>
    </w:p>
    <w:p w14:paraId="368CA60B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x=\frac{#\text{fulfilled requirements}}{k}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611D0A98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The value is capped within the 0..1 range.</w:t>
      </w:r>
    </w:p>
    <w:p w14:paraId="12BDD385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Risks of manipulation: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A provision may be formally included in law but lack any enforcement mechanism (this gap is captured at the Operational and Feedback layers).</w:t>
      </w:r>
    </w:p>
    <w:p w14:paraId="1E65684D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Mini-example (anti-corruption authority):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A law guarantees independence, but no clear procedure exists for appointment or dismissal of the leadership → coverage is not 1.0 but, for instance, 0.75.</w:t>
      </w:r>
    </w:p>
    <w:p w14:paraId="35324970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N2) Procedural safeguards defined</w:t>
      </w:r>
    </w:p>
    <w:p w14:paraId="6894E341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What it measures: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Whether clear procedural safeguards are legally established, including parties’ rights, deadlines, reasoning of decisions, appeal mechanisms, and standards of proof.</w:t>
      </w:r>
    </w:p>
    <w:p w14:paraId="2286E61E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Why it matters: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The rule of law is not about “well-written laws” but about due process and protection against arbitrariness.</w:t>
      </w:r>
    </w:p>
    <w:p w14:paraId="18E37184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Evidence: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Procedural codes, internal regulations, procedural guidelines, and judicial practice concerning annulments due to procedural violations.</w:t>
      </w:r>
    </w:p>
    <w:p w14:paraId="061E390A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Normalization: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A set of 10–15 mandatory safeguard elements is defined, and the proportion of clearly regulated elements is calculated:</w:t>
      </w:r>
    </w:p>
    <w:p w14:paraId="2552BA59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x=\frac{#\text{elements with clear regulation}}{k}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244BA976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Penalties may be applied for the absence of critical elements (e.g., right to appeal or obligation to provide reasoning).</w:t>
      </w:r>
    </w:p>
    <w:p w14:paraId="558F12F2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Mini-example (courts):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If there are no formal requirements for decision reasoning or publicity, the indicator score decreases significantly.</w:t>
      </w:r>
    </w:p>
    <w:p w14:paraId="6D277FBB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N3) Clarity / low discretion</w:t>
      </w:r>
    </w:p>
    <w:p w14:paraId="3EF79220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What it measures: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The extent to which legal norms reduce discretionary decision-making by establishing clear criteria (e.g., eligibility rules, conflict-of-interest standards, decision-making benchmarks).</w:t>
      </w:r>
    </w:p>
    <w:p w14:paraId="463127D4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Why it matters: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Corruption frequently emerges in “grey zones” created by vague or undefined criteria.</w:t>
      </w:r>
    </w:p>
    <w:p w14:paraId="14CF3938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Evidence: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Legal texts, official interpretative guidelines, existence of closed lists of grounds, and judicial annulments based on findings of arbitrariness.</w:t>
      </w:r>
    </w:p>
    <w:p w14:paraId="3B855B01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Normalization (practical approach):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The presence of objective criteria is assessed for key decision types (appointments, disciplinary actions, case allocation, access to data).</w:t>
      </w:r>
    </w:p>
    <w:p w14:paraId="25FA372B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Scoring system:</w:t>
      </w:r>
    </w:p>
    <w:p w14:paraId="23EFFF95">
      <w:pPr>
        <w:pStyle w:val="14"/>
        <w:keepNext w:val="0"/>
        <w:keepLines w:val="0"/>
        <w:widowControl/>
        <w:suppressLineNumbers w:val="0"/>
        <w:spacing w:line="360" w:lineRule="auto"/>
        <w:ind w:left="720"/>
        <w:outlineLvl w:val="0"/>
        <w:rPr>
          <w:rFonts w:hint="default" w:ascii="Times New Roman Regular" w:hAnsi="Times New Roman Regular" w:cs="Times New Roman Regular"/>
          <w:sz w:val="28"/>
          <w:szCs w:val="28"/>
        </w:rPr>
      </w:pPr>
      <w:bookmarkStart w:id="12" w:name="_Toc2135239202"/>
      <w:bookmarkStart w:id="13" w:name="_Toc419970742"/>
      <w:r>
        <w:rPr>
          <w:rFonts w:hint="default" w:ascii="Times New Roman Regular" w:hAnsi="Times New Roman Regular" w:cs="Times New Roman Regular"/>
          <w:sz w:val="28"/>
          <w:szCs w:val="28"/>
        </w:rPr>
        <w:t>1.0 — clear criteria + mandatory reasoning</w:t>
      </w:r>
      <w:bookmarkEnd w:id="12"/>
      <w:bookmarkEnd w:id="13"/>
    </w:p>
    <w:p w14:paraId="776C4EEE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0.5 — partially defined criteria</w:t>
      </w:r>
    </w:p>
    <w:p w14:paraId="0DF6D857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0.0 — “at discretion” with no objective criteria</w:t>
      </w:r>
    </w:p>
    <w:p w14:paraId="061CEA52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The final score is averaged across decision categories.</w:t>
      </w:r>
    </w:p>
    <w:p w14:paraId="65A29D5C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Mini-example (anti-corruption):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Disciplinary decisions taken without predefined criteria indicate a high level of discretion.</w:t>
      </w:r>
    </w:p>
    <w:p w14:paraId="69DEAAFB">
      <w:pPr>
        <w:pStyle w:val="3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LAYER O — Operational</w:t>
      </w:r>
    </w:p>
    <w:p w14:paraId="7B775922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O1) SOP implemented and used</w:t>
      </w:r>
    </w:p>
    <w:p w14:paraId="4B4AAF2D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What it measures: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Not merely the existence of procedures, but their actual operational application.</w:t>
      </w:r>
    </w:p>
    <w:p w14:paraId="7C0F6F17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Why it matters: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“Paper reforms” occur when SOPs exist formally, but decisions are taken manually or informally.</w:t>
      </w:r>
    </w:p>
    <w:p w14:paraId="49172EC6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Evidence:</w:t>
      </w:r>
    </w:p>
    <w:p w14:paraId="1FB23BDF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internal orders and instructions,</w:t>
      </w:r>
    </w:p>
    <w:p w14:paraId="3B9BA9E7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case management logs,</w:t>
      </w:r>
    </w:p>
    <w:p w14:paraId="2D0DF342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sampled decisions demonstrating compliance with SOP steps,</w:t>
      </w:r>
    </w:p>
    <w:p w14:paraId="4B51B23C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staff interviews or surveys (used as supplementary evidence with lower confidence).</w:t>
      </w:r>
    </w:p>
    <w:p w14:paraId="425769EB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Normalization: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A sample of (n) cases is selected. For each case, the proportion of mandatory SOP steps actually performed is calculated:</w:t>
      </w:r>
    </w:p>
    <w:p w14:paraId="4E64AA43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x=\frac{1}{n}\sum_{j=1}^{n}\frac{#\text{completed steps in case }j}{#\text{mandatory steps}}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7AFD3CF8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Mini-example (anti-corruption authority):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If SOPs require conflict-of-interest checks, but 40% of cases lack any record of such checks → (x \approx 0.6).</w:t>
      </w:r>
    </w:p>
    <w:p w14:paraId="6E3C850C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O2) Oversight effectiveness</w:t>
      </w:r>
    </w:p>
    <w:p w14:paraId="6B987ABC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What it measures: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Whether internal and/or external oversight mechanisms function effectively by detecting violations, applying measures, publishing reports, and ensuring implementation of recommendations.</w:t>
      </w:r>
    </w:p>
    <w:p w14:paraId="1D4C67AB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Why it matters: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Without oversight, institutional systems do not self-correct.</w:t>
      </w:r>
    </w:p>
    <w:p w14:paraId="65FB244E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Evidence: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Oversight reports, inspection outcomes, number and type of sanctions, implementation rates of recommendations, and public reporting practices.</w:t>
      </w:r>
    </w:p>
    <w:p w14:paraId="5580CD62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Normalization (composite example):</w:t>
      </w:r>
    </w:p>
    <w:p w14:paraId="5FED49D9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(a) — existence of regular inspections (0/1),</w:t>
      </w:r>
    </w:p>
    <w:p w14:paraId="157A8969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(b) — proportion of recommendations implemented (0..1),</w:t>
      </w:r>
    </w:p>
    <w:p w14:paraId="63AA63CF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(c) — publication of results (0/1).</w:t>
      </w:r>
    </w:p>
    <w:p w14:paraId="0ECB79F0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x=0.3a+0.5b+0.2c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599FB091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Mini-example (courts):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A judicial council exists, but its recommendations are not implemented → low indicator score.</w:t>
      </w:r>
    </w:p>
    <w:p w14:paraId="33E1D8CC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O3) Remedies / appeals working in practice</w:t>
      </w:r>
    </w:p>
    <w:p w14:paraId="51E3A5B0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What it measures: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The availability and effectiveness of remedies and appeals, including timelines, accessibility, success rates, and execution of appeal decisions.</w:t>
      </w:r>
    </w:p>
    <w:p w14:paraId="1F9F7153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Why it matters: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This indicator functions as a core safeguard of the rule of law.</w:t>
      </w:r>
    </w:p>
    <w:p w14:paraId="4129C63D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Evidence: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Appeal statistics, appellate decisions, duration of proceedings, and enforcement data.</w:t>
      </w:r>
    </w:p>
    <w:p w14:paraId="3E7BC90C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Normalization:</w:t>
      </w:r>
    </w:p>
    <w:p w14:paraId="58D7F8CC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x = 0.5\cdot \text{on-time rate} + 0.5\cdot \text{execution rate}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0A119573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Mini-example (anti-corruption authority):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An appeal is upheld, but the resulting decision is not enforced → execution rate drops → the indicator score decreases.</w:t>
      </w:r>
    </w:p>
    <w:p w14:paraId="43B116AC">
      <w:pPr>
        <w:pStyle w:val="3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LAYER C — Computational</w:t>
      </w:r>
    </w:p>
    <w:p w14:paraId="31AC0F27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C1) Strong authentication / EUDI readiness</w:t>
      </w:r>
    </w:p>
    <w:p w14:paraId="597E51BA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What it measures: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The existence of strong identity management and controlled access mechanisms determining who performs actions and on what legal basis.</w:t>
      </w:r>
    </w:p>
    <w:p w14:paraId="71309227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Why it matters: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Without strong authentication, legally reliable traceability is impossible (any “admin” effectively becomes sovereign).</w:t>
      </w:r>
    </w:p>
    <w:p w14:paraId="6260B96C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Evidence: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IAM/SSO systems, MFA, access control policies, authentication logs, EUDI integration plans, pilots, and system architecture.</w:t>
      </w:r>
    </w:p>
    <w:p w14:paraId="0D718214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Normalization:</w:t>
      </w:r>
    </w:p>
    <w:p w14:paraId="76D4EDEB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1.0 — MFA + role-based access + login logging + access policies</w:t>
      </w:r>
    </w:p>
    <w:p w14:paraId="336D5153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0.7 — MFA present, but roles/logs incomplete</w:t>
      </w:r>
    </w:p>
    <w:p w14:paraId="2BF6D440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0.4 — password-based access with weak controls</w:t>
      </w:r>
    </w:p>
    <w:p w14:paraId="68381C83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0.0 — shared accounts</w:t>
      </w:r>
    </w:p>
    <w:p w14:paraId="7240701B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Mini-example: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An anti-corruption case database without login logging → 0.4.</w:t>
      </w:r>
    </w:p>
    <w:p w14:paraId="295BAB42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C2) Digital signatures adoption</w:t>
      </w:r>
    </w:p>
    <w:p w14:paraId="21BE59EA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What it measures: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The use of electronic signatures in legally significant actions: decisions, acts, requests, and sanctions.</w:t>
      </w:r>
    </w:p>
    <w:p w14:paraId="14EB60F0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Why it matters: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A digital signature creates a legally binding link between a decision and its author.</w:t>
      </w:r>
    </w:p>
    <w:p w14:paraId="3011C650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Evidence: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E-signature systems, signed document registries, signature procedures, and the share of electronic document workflows.</w:t>
      </w:r>
    </w:p>
    <w:p w14:paraId="4ADA9EDA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Normalization:</w:t>
      </w:r>
    </w:p>
    <w:p w14:paraId="009ADCD7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x=\frac{#\text{documents signed electronically}}{#\text{all key documents}}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2CC20F6D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Mini-example (courts):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Decisions are published, but lack digital signatures or metadata → weak evidentiary value.</w:t>
      </w:r>
    </w:p>
    <w:p w14:paraId="25FFBB26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C3) Cross-border interoperability</w:t>
      </w:r>
    </w:p>
    <w:p w14:paraId="071B3CDD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What it measures: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The ability to recognize and exchange data, identities, and trust services, particularly relevant for EU members and candidate countries.</w:t>
      </w:r>
    </w:p>
    <w:p w14:paraId="02B1B703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Why it matters: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European integration is not about internal formal compliance, but about interoperability within the EU legal and digital space.</w:t>
      </w:r>
    </w:p>
    <w:p w14:paraId="1EE5379F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Evidence: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Compatibility with eIDAS approaches, interfaces and standards, pilots, APIs, and technical documentation.</w:t>
      </w:r>
    </w:p>
    <w:p w14:paraId="5AF904CC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Normalization (simplified):</w:t>
      </w:r>
    </w:p>
    <w:p w14:paraId="65D5632A">
      <w:pPr>
        <w:pStyle w:val="14"/>
        <w:keepNext w:val="0"/>
        <w:keepLines w:val="0"/>
        <w:widowControl/>
        <w:suppressLineNumbers w:val="0"/>
        <w:spacing w:line="360" w:lineRule="auto"/>
        <w:ind w:left="720"/>
        <w:outlineLvl w:val="0"/>
        <w:rPr>
          <w:rFonts w:hint="default" w:ascii="Times New Roman Regular" w:hAnsi="Times New Roman Regular" w:cs="Times New Roman Regular"/>
          <w:sz w:val="28"/>
          <w:szCs w:val="28"/>
        </w:rPr>
      </w:pPr>
      <w:bookmarkStart w:id="14" w:name="_Toc366042997"/>
      <w:bookmarkStart w:id="15" w:name="_Toc1816996752"/>
      <w:r>
        <w:rPr>
          <w:rFonts w:hint="default" w:ascii="Times New Roman Regular" w:hAnsi="Times New Roman Regular" w:cs="Times New Roman Regular"/>
          <w:sz w:val="28"/>
          <w:szCs w:val="28"/>
        </w:rPr>
        <w:t>1.0 — standards + pilot / live integration</w:t>
      </w:r>
      <w:bookmarkEnd w:id="14"/>
      <w:bookmarkEnd w:id="15"/>
    </w:p>
    <w:p w14:paraId="3F160DAD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0.6 — standards or plans exist, no integration</w:t>
      </w:r>
    </w:p>
    <w:p w14:paraId="03902CA2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0.3 — conceptual stage without standardization</w:t>
      </w:r>
    </w:p>
    <w:p w14:paraId="502E0E75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0.0 — absent</w:t>
      </w:r>
    </w:p>
    <w:p w14:paraId="748FC917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Mini-example: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An EUDI concept exists, but no pilot has been launched → 0.6.</w:t>
      </w:r>
    </w:p>
    <w:p w14:paraId="6B5205E8">
      <w:pPr>
        <w:pStyle w:val="3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LAYER F — Feedback</w:t>
      </w:r>
    </w:p>
    <w:p w14:paraId="5791A105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F1) Audit log coverage</w:t>
      </w:r>
    </w:p>
    <w:p w14:paraId="366AC1B1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What it measures: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The proportion of critical events that are actually logged and available for audit.</w:t>
      </w:r>
    </w:p>
    <w:p w14:paraId="3344F866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Why it matters: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“No logs = no state.”</w:t>
      </w:r>
    </w:p>
    <w:p w14:paraId="6B7895F4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Evidence: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Audit log schemas, storage systems, sample logs, retention policies, and event samples.</w:t>
      </w:r>
    </w:p>
    <w:p w14:paraId="7C60FEC4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Normalization:</w:t>
      </w:r>
    </w:p>
    <w:p w14:paraId="52DCE895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x=\frac{#\text{critical events with logs}}{#\text{total critical events}}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48777899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Mini-example: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If 70% of decisions are logged → 0.7.</w:t>
      </w:r>
    </w:p>
    <w:p w14:paraId="73A6CFAA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F2) Real-time monitoring</w:t>
      </w:r>
    </w:p>
    <w:p w14:paraId="26C4B0B3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What it measures: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The existence of real-time monitoring for anomalies (spikes in rejections, mass changes, suspicious actions).</w:t>
      </w:r>
    </w:p>
    <w:p w14:paraId="617C86F8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Why it matters: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Without monitoring, rollback always occurs “after the fire.”</w:t>
      </w:r>
    </w:p>
    <w:p w14:paraId="3BC49E52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Evidence: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Alerts, dashboards, response SOPs, and incident logs.</w:t>
      </w:r>
    </w:p>
    <w:p w14:paraId="75116AE9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F3) Traceability and evidentiary chain</w:t>
      </w:r>
    </w:p>
    <w:p w14:paraId="74267757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What it measures: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The ability to reconstruct “who did what, when, and on what legal basis,” including documents, access rights, and data versions.</w:t>
      </w:r>
    </w:p>
    <w:p w14:paraId="52308C2B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Evidence: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Links between decision ID → user ID → legal basis → dataset version → signature → timestamp.</w:t>
      </w:r>
    </w:p>
    <w:p w14:paraId="120D3887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Normalization:</w:t>
      </w:r>
    </w:p>
    <w:p w14:paraId="39017F4D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x=\frac{#\text{cases with a complete evidentiary chain}}{#\text{cases in the sample}}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36103E01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F4) Rollback policy readiness</w:t>
      </w:r>
    </w:p>
    <w:p w14:paraId="6F6347AC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What it measures: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The existence of a formalized rollback mechanism to the last legitimate state, both legally and technically.</w:t>
      </w:r>
    </w:p>
    <w:p w14:paraId="2A26C59D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Evidence: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Rollback policies, trigger criteria, review procedures, state recovery mechanisms, and immutable logs.</w:t>
      </w:r>
    </w:p>
    <w:p w14:paraId="656E1025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Normalization:</w:t>
      </w:r>
    </w:p>
    <w:p w14:paraId="3264B52B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1.0 — defined trigger + procedure + technical capability + audit trail</w:t>
      </w:r>
    </w:p>
    <w:p w14:paraId="5681EDF0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0.7 — procedure exists, technical implementation partial</w:t>
      </w:r>
    </w:p>
    <w:p w14:paraId="3707EB9D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0.4 — conceptual stage</w:t>
      </w:r>
    </w:p>
    <w:p w14:paraId="2CBD9A70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0.0 — absent</w:t>
      </w:r>
    </w:p>
    <w:p w14:paraId="2BE17D96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Mini-example: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A decision can be annulled, but the evidentiary chain cannot be proven → maximum score 0.4–0.7.</w:t>
      </w:r>
    </w:p>
    <w:p w14:paraId="2C0C020D">
      <w:pPr>
        <w:pStyle w:val="3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b/>
          <w:bCs/>
          <w:sz w:val="28"/>
          <w:szCs w:val="28"/>
        </w:rPr>
        <w:t>Closing the chapter (transition to KRP and CIRA)</w:t>
      </w:r>
    </w:p>
    <w:p w14:paraId="6BAE9045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After calculating:</w:t>
      </w:r>
    </w:p>
    <w:p w14:paraId="2C3BA6AD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[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S_{u,N}, S_{u,O}, S_{u,C}, S_{u,F} \rightarrow KPI_u \rightarrow G_u</w:t>
      </w:r>
      <w:r>
        <w:rPr>
          <w:rFonts w:hint="default" w:ascii="Times New Roman Regular" w:hAnsi="Times New Roman Regular" w:cs="Times New Roman Regular"/>
          <w:sz w:val="28"/>
          <w:szCs w:val="28"/>
        </w:rPr>
        <w:br w:type="textWrapping"/>
      </w:r>
      <w:r>
        <w:rPr>
          <w:rFonts w:hint="default" w:ascii="Times New Roman Regular" w:hAnsi="Times New Roman Regular" w:cs="Times New Roman Regular"/>
          <w:sz w:val="28"/>
          <w:szCs w:val="28"/>
        </w:rPr>
        <w:t>]</w:t>
      </w:r>
    </w:p>
    <w:p w14:paraId="25D9E200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b/>
          <w:bCs/>
          <w:sz w:val="28"/>
          <w:szCs w:val="28"/>
        </w:rPr>
      </w:pPr>
      <w:r>
        <w:rPr>
          <w:rFonts w:hint="default" w:ascii="Times New Roman Regular" w:hAnsi="Times New Roman Regular" w:cs="Times New Roman Regular"/>
          <w:b/>
          <w:bCs/>
          <w:sz w:val="28"/>
          <w:szCs w:val="28"/>
        </w:rPr>
        <w:t>the analysis concludes that:</w:t>
      </w:r>
    </w:p>
    <w:p w14:paraId="10499DE5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the gap identifies structural weaknesses,</w:t>
      </w:r>
    </w:p>
    <w:p w14:paraId="71D083B5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feedback and rollback constitute the critical layer of institutional resilience,</w:t>
      </w:r>
    </w:p>
    <w:p w14:paraId="19064A7A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the next step is the construction of Rollback Risk (KRP) and the CIRA architectural framework.</w:t>
      </w:r>
    </w:p>
    <w:p w14:paraId="701C8B16">
      <w:pPr>
        <w:keepNext w:val="0"/>
        <w:keepLines w:val="0"/>
        <w:widowControl/>
        <w:suppressLineNumbers w:val="0"/>
        <w:rPr>
          <w:rFonts w:hint="default" w:ascii="Times New Roman Regular" w:hAnsi="Times New Roman Regular" w:cs="Times New Roman Regular"/>
          <w:sz w:val="24"/>
          <w:szCs w:val="24"/>
        </w:rPr>
      </w:pPr>
    </w:p>
    <w:p w14:paraId="59A44A35">
      <w:pPr>
        <w:keepNext w:val="0"/>
        <w:keepLines w:val="0"/>
        <w:widowControl/>
        <w:suppressLineNumbers w:val="0"/>
        <w:rPr>
          <w:rFonts w:hint="default" w:ascii="Times New Roman Regular" w:hAnsi="Times New Roman Regular" w:cs="Times New Roman Regular"/>
          <w:sz w:val="24"/>
          <w:szCs w:val="24"/>
        </w:rPr>
      </w:pPr>
    </w:p>
    <w:p w14:paraId="59344DE4">
      <w:pPr>
        <w:pStyle w:val="14"/>
        <w:keepNext w:val="0"/>
        <w:keepLines w:val="0"/>
        <w:widowControl/>
        <w:suppressLineNumbers w:val="0"/>
        <w:spacing w:before="0" w:beforeAutospacing="0" w:line="23" w:lineRule="atLeast"/>
        <w:rPr>
          <w:rFonts w:ascii="sans-serif" w:hAnsi="sans-serif" w:eastAsia="sans-serif" w:cs="sans-serif"/>
        </w:rPr>
      </w:pPr>
    </w:p>
    <w:p w14:paraId="0BDD54A1">
      <w:pPr>
        <w:pStyle w:val="14"/>
        <w:keepNext w:val="0"/>
        <w:keepLines w:val="0"/>
        <w:widowControl/>
        <w:suppressLineNumbers w:val="0"/>
        <w:spacing w:before="0" w:beforeAutospacing="0" w:line="23" w:lineRule="atLeast"/>
        <w:rPr>
          <w:rFonts w:ascii="sans-serif" w:hAnsi="sans-serif" w:eastAsia="sans-serif" w:cs="sans-serif"/>
        </w:rPr>
      </w:pPr>
    </w:p>
    <w:p w14:paraId="03A4B584">
      <w:pPr>
        <w:pStyle w:val="14"/>
        <w:keepNext w:val="0"/>
        <w:keepLines w:val="0"/>
        <w:widowControl/>
        <w:suppressLineNumbers w:val="0"/>
        <w:spacing w:before="0" w:beforeAutospacing="0" w:line="23" w:lineRule="atLeast"/>
        <w:rPr>
          <w:rFonts w:ascii="sans-serif" w:hAnsi="sans-serif" w:eastAsia="sans-serif" w:cs="sans-serif"/>
        </w:rPr>
      </w:pPr>
    </w:p>
    <w:p w14:paraId="5F29B307">
      <w:pPr>
        <w:pStyle w:val="14"/>
        <w:keepNext w:val="0"/>
        <w:keepLines w:val="0"/>
        <w:widowControl/>
        <w:suppressLineNumbers w:val="0"/>
        <w:spacing w:before="0" w:beforeAutospacing="0" w:line="23" w:lineRule="atLeast"/>
        <w:rPr>
          <w:rFonts w:ascii="sans-serif" w:hAnsi="sans-serif" w:eastAsia="sans-serif" w:cs="sans-serif"/>
        </w:rPr>
      </w:pPr>
    </w:p>
    <w:p w14:paraId="189C07D4">
      <w:pPr>
        <w:keepNext w:val="0"/>
        <w:keepLines w:val="0"/>
        <w:widowControl/>
        <w:suppressLineNumbers w:val="0"/>
        <w:spacing w:before="0" w:beforeAutospacing="0" w:line="23" w:lineRule="atLeast"/>
        <w:rPr>
          <w:rFonts w:hint="default" w:ascii="sans-serif" w:hAnsi="sans-serif" w:eastAsia="sans-serif" w:cs="sans-serif"/>
        </w:rPr>
      </w:pPr>
    </w:p>
    <w:p w14:paraId="7116598E">
      <w:pPr>
        <w:pStyle w:val="2"/>
        <w:bidi w:val="0"/>
        <w:jc w:val="center"/>
        <w:rPr>
          <w:rFonts w:hint="default" w:ascii="Times New Roman Bold" w:hAnsi="Times New Roman Bold" w:cs="Times New Roman Bold"/>
          <w:b/>
          <w:bCs w:val="0"/>
          <w:sz w:val="36"/>
          <w:szCs w:val="36"/>
        </w:rPr>
      </w:pPr>
      <w:bookmarkStart w:id="16" w:name="_Toc1691485571"/>
      <w:bookmarkStart w:id="17" w:name="_Toc1046950524"/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CHAPTER 3:</w:t>
      </w:r>
      <w:bookmarkEnd w:id="16"/>
      <w:bookmarkEnd w:id="17"/>
    </w:p>
    <w:p w14:paraId="5EB9E0A0">
      <w:pPr>
        <w:pStyle w:val="2"/>
        <w:bidi w:val="0"/>
        <w:jc w:val="center"/>
        <w:rPr>
          <w:rFonts w:hint="default" w:ascii="Times New Roman Bold" w:hAnsi="Times New Roman Bold" w:cs="Times New Roman Bold"/>
          <w:b/>
          <w:bCs w:val="0"/>
          <w:sz w:val="36"/>
          <w:szCs w:val="36"/>
        </w:rPr>
      </w:pPr>
      <w:bookmarkStart w:id="18" w:name="_Toc409472811"/>
      <w:bookmarkStart w:id="19" w:name="_Toc1763936997"/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Institutional Traceability Matrix and Automatic Rollback Mechanisms in the KRAGH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  <w:lang w:val="en-US"/>
        </w:rPr>
        <w:t xml:space="preserve"> KPI 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-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  <w:lang w:val="en-US"/>
        </w:rPr>
        <w:t xml:space="preserve"> 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CIRA System</w:t>
      </w:r>
      <w:bookmarkEnd w:id="18"/>
      <w:bookmarkEnd w:id="19"/>
    </w:p>
    <w:p w14:paraId="2C1F1D45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To bridge the gap between normative design and operational reality, the concept of the 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"Chain of Institutional Evidence"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is introduced. This concept allows for the transformation of abstract Rule of Law principles into verified digital facts.</w:t>
      </w:r>
    </w:p>
    <w:p w14:paraId="23B73567">
      <w:pPr>
        <w:pStyle w:val="5"/>
        <w:keepNext w:val="0"/>
        <w:keepLines w:val="0"/>
        <w:widowControl/>
        <w:suppressLineNumbers w:val="0"/>
        <w:spacing w:before="0" w:beforeAutospacing="0" w:line="360" w:lineRule="auto"/>
        <w:jc w:val="both"/>
        <w:rPr>
          <w:rFonts w:hint="default" w:ascii="Times New Roman Regular" w:hAnsi="Times New Roman Regular" w:eastAsia="sans-serif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1. KRAGH Layer Alignment Matrix (Evidence-Based Logic)</w:t>
      </w:r>
    </w:p>
    <w:p w14:paraId="6BB0D5D4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This matrix demonstrates the vertical integration of the model: from the legislative norm (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N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) through the operational step (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O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) and technical implementation (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C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) to the irrefutable audit evidence (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F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).</w:t>
      </w:r>
    </w:p>
    <w:tbl>
      <w:tblPr>
        <w:tblW w:w="0" w:type="auto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21"/>
        <w:gridCol w:w="2019"/>
        <w:gridCol w:w="2253"/>
        <w:gridCol w:w="2323"/>
      </w:tblGrid>
      <w:tr w14:paraId="5488E889">
        <w:trPr>
          <w:tblHeader/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7F7C6A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Style w:val="15"/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Legal Requirement (Normative - N)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C67109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Style w:val="15"/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Procedural Step (Operational - O)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94F27B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Style w:val="15"/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Digital Trace (Computational - C)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AB577A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Style w:val="15"/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Audit Evidence (Feedback - F)</w:t>
            </w:r>
          </w:p>
        </w:tc>
      </w:tr>
      <w:tr w14:paraId="1A2B26D8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F88CE7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bCs/>
                <w:kern w:val="0"/>
                <w:sz w:val="22"/>
                <w:szCs w:val="22"/>
                <w:lang w:val="en-US" w:eastAsia="zh-CN" w:bidi="ar"/>
              </w:rPr>
              <w:t>Independence and Impartiality of Case Allocation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D2933C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Automated assignment of a judge or inspector without the possibility of subjective interference.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4E7070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System log of the randomization algorithm, recording input parameters and selection metadata.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550C28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bCs/>
                <w:kern w:val="0"/>
                <w:sz w:val="22"/>
                <w:szCs w:val="22"/>
                <w:lang w:val="en-US" w:eastAsia="zh-CN" w:bidi="ar"/>
              </w:rPr>
              <w:t>Queue Hash Code:</w:t>
            </w: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 A cryptographic proof of the sequence's immutability over time.</w:t>
            </w:r>
          </w:p>
        </w:tc>
      </w:tr>
      <w:tr w14:paraId="57DC6B78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392925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bCs/>
                <w:kern w:val="0"/>
                <w:sz w:val="22"/>
                <w:szCs w:val="22"/>
                <w:lang w:val="en-US" w:eastAsia="zh-CN" w:bidi="ar"/>
              </w:rPr>
              <w:t>Guarantee of the Right to Defense (Proper Notification)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7A2087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Timely and verified notification of parties regarding the date and time of procedural actions.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E57BC6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bCs/>
                <w:kern w:val="0"/>
                <w:sz w:val="22"/>
                <w:szCs w:val="22"/>
                <w:lang w:val="en-US" w:eastAsia="zh-CN" w:bidi="ar"/>
              </w:rPr>
              <w:t>RFC 3161 Time-stamp:</w:t>
            </w: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 A digital time-stamp of data transmission to the user’s system/app.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D9288B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bCs/>
                <w:kern w:val="0"/>
                <w:sz w:val="22"/>
                <w:szCs w:val="22"/>
                <w:lang w:val="en-US" w:eastAsia="zh-CN" w:bidi="ar"/>
              </w:rPr>
              <w:t>E-delivery confirmation:</w:t>
            </w: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 A legally significant delivery receipt from the server signed with a QES.</w:t>
            </w:r>
          </w:p>
        </w:tc>
      </w:tr>
      <w:tr w14:paraId="2D81FFFB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9E0955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bCs/>
                <w:kern w:val="0"/>
                <w:sz w:val="22"/>
                <w:szCs w:val="22"/>
                <w:lang w:val="en-US" w:eastAsia="zh-CN" w:bidi="ar"/>
              </w:rPr>
              <w:t>Immutability and Publicity of Judicial Decisions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1C2C6B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Recording the final version of the decision and its signing by an authorized official.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264B9E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Qualified Electronic Signature (</w:t>
            </w:r>
            <w:r>
              <w:rPr>
                <w:rFonts w:hint="default" w:ascii="Times New Roman Regular" w:hAnsi="Times New Roman Regular" w:eastAsia="sans-serif" w:cs="Times New Roman Regular"/>
                <w:b w:val="0"/>
                <w:bCs/>
                <w:kern w:val="0"/>
                <w:sz w:val="22"/>
                <w:szCs w:val="22"/>
                <w:lang w:val="en-US" w:eastAsia="zh-CN" w:bidi="ar"/>
              </w:rPr>
              <w:t>QES</w:t>
            </w: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) of the judge, applied directly to the document.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E6EC38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Transaction record of the decision registration in a distributed ledger (</w:t>
            </w:r>
            <w:r>
              <w:rPr>
                <w:rFonts w:hint="default" w:ascii="Times New Roman Regular" w:hAnsi="Times New Roman Regular" w:eastAsia="sans-serif" w:cs="Times New Roman Regular"/>
                <w:b w:val="0"/>
                <w:bCs/>
                <w:kern w:val="0"/>
                <w:sz w:val="22"/>
                <w:szCs w:val="22"/>
                <w:lang w:val="en-US" w:eastAsia="zh-CN" w:bidi="ar"/>
              </w:rPr>
              <w:t>Immutable Ledger</w:t>
            </w: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).</w:t>
            </w:r>
          </w:p>
        </w:tc>
      </w:tr>
      <w:tr w14:paraId="4F2DB85F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E9D5C1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bCs/>
                <w:kern w:val="0"/>
                <w:sz w:val="22"/>
                <w:szCs w:val="22"/>
                <w:lang w:val="en-US" w:eastAsia="zh-CN" w:bidi="ar"/>
              </w:rPr>
              <w:t>Transparency and Accountability of Authority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38E012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Verification of the absence of conflict of interest through automated registry queries.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E82426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Role-Based Access Control (</w:t>
            </w:r>
            <w:r>
              <w:rPr>
                <w:rFonts w:hint="default" w:ascii="Times New Roman Regular" w:hAnsi="Times New Roman Regular" w:eastAsia="sans-serif" w:cs="Times New Roman Regular"/>
                <w:b w:val="0"/>
                <w:bCs/>
                <w:kern w:val="0"/>
                <w:sz w:val="22"/>
                <w:szCs w:val="22"/>
                <w:lang w:val="en-US" w:eastAsia="zh-CN" w:bidi="ar"/>
              </w:rPr>
              <w:t>RBAC</w:t>
            </w: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), logging of API requests to external databases.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CD7634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bCs/>
                <w:kern w:val="0"/>
                <w:sz w:val="22"/>
                <w:szCs w:val="22"/>
                <w:lang w:val="en-US" w:eastAsia="zh-CN" w:bidi="ar"/>
              </w:rPr>
              <w:t>Audit Trail report:</w:t>
            </w: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 A full trajectory of data access requests preceding the decision.</w:t>
            </w:r>
          </w:p>
        </w:tc>
      </w:tr>
    </w:tbl>
    <w:p w14:paraId="730D330D">
      <w:pPr>
        <w:pStyle w:val="5"/>
        <w:keepNext w:val="0"/>
        <w:keepLines w:val="0"/>
        <w:widowControl/>
        <w:suppressLineNumbers w:val="0"/>
        <w:spacing w:before="0" w:beforeAutospacing="0" w:line="23" w:lineRule="atLeast"/>
        <w:jc w:val="both"/>
        <w:outlineLvl w:val="9"/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</w:pPr>
    </w:p>
    <w:p w14:paraId="34534FBB">
      <w:pPr>
        <w:pStyle w:val="5"/>
        <w:keepNext w:val="0"/>
        <w:keepLines w:val="0"/>
        <w:widowControl/>
        <w:suppressLineNumbers w:val="0"/>
        <w:spacing w:before="0" w:beforeAutospacing="0" w:line="23" w:lineRule="atLeast"/>
        <w:ind w:firstLine="801" w:firstLineChars="250"/>
        <w:jc w:val="both"/>
        <w:rPr>
          <w:rFonts w:hint="default" w:ascii="Times New Roman Bold" w:hAnsi="Times New Roman Bold" w:eastAsia="sans-serif" w:cs="Times New Roman Bold"/>
          <w:b/>
          <w:bCs w:val="0"/>
          <w:sz w:val="32"/>
          <w:szCs w:val="32"/>
        </w:rPr>
      </w:pPr>
      <w:r>
        <w:rPr>
          <w:rFonts w:hint="default" w:ascii="Times New Roman Bold" w:hAnsi="Times New Roman Bold" w:eastAsia="sans-serif" w:cs="Times New Roman Bold"/>
          <w:b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  <w:t>2. Automatic Rollback Trigger Mechanisms</w:t>
      </w:r>
    </w:p>
    <w:p w14:paraId="7192B316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</w:rPr>
      </w:pP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Within the 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CIRA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 architecture, the 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Rollback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 mechanism (reverting the system to the last legitimate state) is initiated automatically upon the detection of a critical 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Gap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 between layers. This ensures system resilience against illegitimate manipulations.</w:t>
      </w:r>
    </w:p>
    <w:p w14:paraId="323C8E0F">
      <w:pPr>
        <w:pStyle w:val="6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Bold" w:hAnsi="Times New Roman Bold" w:eastAsia="sans-serif" w:cs="Times New Roman Bold"/>
          <w:b/>
          <w:bCs w:val="0"/>
          <w:sz w:val="28"/>
          <w:szCs w:val="28"/>
        </w:rPr>
      </w:pPr>
      <w:r>
        <w:rPr>
          <w:rFonts w:hint="default" w:ascii="Times New Roman Bold" w:hAnsi="Times New Roman Bold" w:eastAsia="sans-serif" w:cs="Times New Roman Bold"/>
          <w:b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2.1. Algorithmic Anomaly Identification</w:t>
      </w:r>
    </w:p>
    <w:p w14:paraId="225B2792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left="720"/>
        <w:jc w:val="both"/>
        <w:outlineLvl w:val="0"/>
        <w:rPr>
          <w:rFonts w:hint="default" w:ascii="Times New Roman Bold" w:hAnsi="Times New Roman Bold" w:eastAsia="sans-serif" w:cs="Times New Roman Bold"/>
          <w:b/>
          <w:bCs w:val="0"/>
          <w:sz w:val="28"/>
          <w:szCs w:val="28"/>
        </w:rPr>
      </w:pPr>
      <w:bookmarkStart w:id="20" w:name="_Toc1471929489"/>
      <w:bookmarkStart w:id="21" w:name="_Toc477361744"/>
      <w:r>
        <w:rPr>
          <w:rFonts w:hint="default" w:ascii="Times New Roman Bold" w:hAnsi="Times New Roman Bold" w:eastAsia="sans-serif" w:cs="Times New Roman Bold"/>
          <w:b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Integrity Trigger:</w:t>
      </w:r>
      <w:bookmarkEnd w:id="20"/>
      <w:bookmarkEnd w:id="21"/>
    </w:p>
    <w:p w14:paraId="675635C9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jc w:val="both"/>
        <w:rPr>
          <w:rFonts w:hint="default" w:ascii="Times New Roman Regular" w:hAnsi="Times New Roman Regular" w:eastAsia="sans-serif" w:cs="Times New Roman Regular"/>
          <w:b w:val="0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Condition: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 </w:t>
      </w:r>
      <w:r>
        <w:rPr>
          <w:rStyle w:val="12"/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Hash(Current_State) != Hash(Stored_Audit_Record)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.</w:t>
      </w:r>
    </w:p>
    <w:p w14:paraId="0531AE8B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Description: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 If the Hash code of the current case state (e.g., case allocation queue) does not match the cryptographic imprint in the Feedback layer, the system identifies this as unauthorized interference.</w:t>
      </w:r>
    </w:p>
    <w:p w14:paraId="1788FDD5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Consequence: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 Automatic blocking of the operation and initiation of a full evidence chain verification.</w:t>
      </w:r>
    </w:p>
    <w:p w14:paraId="7816FACE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left="720"/>
        <w:jc w:val="both"/>
        <w:rPr>
          <w:rFonts w:hint="default" w:ascii="Times New Roman Regular" w:hAnsi="Times New Roman Regular" w:eastAsia="sans-serif" w:cs="Times New Roman Regular"/>
          <w:b w:val="0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Authenticity Trigger:</w:t>
      </w:r>
    </w:p>
    <w:p w14:paraId="57840A9D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Condition: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 Execution of an operation in the (O) layer without a valid Qualified Electronic Signature (QES) in the (C) layer.</w:t>
      </w:r>
    </w:p>
    <w:p w14:paraId="0A9AF28E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Description: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 If a decision is uploaded to the system, but the metadata lacks the judge’s QES or a trusted center’s time-stamp.</w:t>
      </w:r>
    </w:p>
    <w:p w14:paraId="2225EC87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Consequence: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 The decision automatically acquires a "Non-evidentiary" status, rendering it invalid for further execution until the anomaly is corrected.</w:t>
      </w:r>
    </w:p>
    <w:p w14:paraId="3D3D996E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left="720"/>
        <w:jc w:val="both"/>
        <w:rPr>
          <w:rFonts w:hint="default" w:ascii="Times New Roman Regular" w:hAnsi="Times New Roman Regular" w:eastAsia="sans-serif" w:cs="Times New Roman Regular"/>
          <w:b w:val="0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Traceability Trigger:</w:t>
      </w:r>
    </w:p>
    <w:p w14:paraId="2FC43306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Condition: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 </w:t>
      </w:r>
      <w:r>
        <w:rPr>
          <w:rStyle w:val="12"/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Audit_Log_Coverage &lt; 100%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 for a critical business process.</w:t>
      </w:r>
    </w:p>
    <w:p w14:paraId="590090FC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Description: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 Detection of steps in a procedure that are not accompanied by a digital trace (e.g., manual change of case status without registering the reason).</w:t>
      </w:r>
    </w:p>
    <w:p w14:paraId="57407136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Consequence: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 The system generates a signal of high 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Fragility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, increasing the 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KRP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 risk index and requiring administrative intervention or automatic cancellation of the action.</w:t>
      </w:r>
    </w:p>
    <w:p w14:paraId="6D2004A2">
      <w:pPr>
        <w:pStyle w:val="5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Bold" w:hAnsi="Times New Roman Bold" w:eastAsia="sans-serif" w:cs="Times New Roman Bold"/>
          <w:b/>
          <w:bCs w:val="0"/>
          <w:sz w:val="28"/>
          <w:szCs w:val="28"/>
        </w:rPr>
      </w:pPr>
      <w:r>
        <w:rPr>
          <w:rFonts w:hint="default" w:ascii="Times New Roman Bold" w:hAnsi="Times New Roman Bold" w:eastAsia="sans-serif" w:cs="Times New Roman Bold"/>
          <w:b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3. Methodological Conclusion</w:t>
      </w:r>
    </w:p>
    <w:p w14:paraId="0879BFBF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</w:rPr>
      </w:pP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The integration of this matrix and trigger mechanisms enables the realization of the 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"Compliance by Design"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 concept. In this model, the Rule of Law is maintained not only through external oversight but through an internal architectural inability to perform an illegitimate action without leaving a destructive trace.</w:t>
      </w:r>
    </w:p>
    <w:p w14:paraId="6DD06CA8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Bold" w:hAnsi="Times New Roman Bold" w:eastAsia="sans-serif" w:cs="Times New Roman Bold"/>
          <w:b/>
          <w:bCs w:val="0"/>
          <w:i w:val="0"/>
          <w:iCs w:val="0"/>
          <w:caps w:val="0"/>
          <w:color w:val="000000"/>
          <w:spacing w:val="0"/>
          <w:u w:val="none"/>
        </w:rPr>
      </w:pP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Mathematical discrepancy between the digital trace (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C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) and audit evidence (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F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) becomes an objective impulse for a protective 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u w:val="none"/>
        </w:rPr>
        <w:t>Rollback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u w:val="none"/>
        </w:rPr>
        <w:t>. This minimizes the "human factor" and guarantees that any institutional outcome is derived from a transparent, traceable, and legally flawless process.</w:t>
      </w:r>
    </w:p>
    <w:p w14:paraId="2699DF65">
      <w:pPr>
        <w:pStyle w:val="4"/>
        <w:keepNext w:val="0"/>
        <w:keepLines w:val="0"/>
        <w:widowControl/>
        <w:suppressLineNumbers w:val="0"/>
        <w:spacing w:before="0" w:beforeAutospacing="0" w:line="23" w:lineRule="atLeast"/>
        <w:jc w:val="both"/>
        <w:outlineLvl w:val="0"/>
        <w:rPr>
          <w:rFonts w:hint="default" w:ascii="Times New Roman Bold" w:hAnsi="Times New Roman Bold" w:eastAsia="sans-serif" w:cs="Times New Roman Bold"/>
          <w:b/>
          <w:bCs w:val="0"/>
        </w:rPr>
      </w:pPr>
      <w:r>
        <w:rPr>
          <w:rFonts w:hint="default" w:ascii="Times New Roman Bold" w:hAnsi="Times New Roman Bold" w:eastAsia="sans-serif" w:cs="Times New Roman Bold"/>
          <w:b/>
          <w:bCs w:val="0"/>
          <w:i w:val="0"/>
          <w:iCs w:val="0"/>
          <w:caps w:val="0"/>
          <w:color w:val="000000"/>
          <w:spacing w:val="0"/>
          <w:u w:val="none"/>
        </w:rPr>
        <w:t>Final Components of the KRAGH Methodology</w:t>
      </w:r>
    </w:p>
    <w:p w14:paraId="31A61C3F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These components close the cycle from mathematical risk calculation to practical mitigation through the 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CIRA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architecture and legislative changes.</w:t>
      </w:r>
    </w:p>
    <w:p w14:paraId="2F4A4F98">
      <w:pPr>
        <w:pStyle w:val="5"/>
        <w:keepNext w:val="0"/>
        <w:keepLines w:val="0"/>
        <w:widowControl/>
        <w:suppressLineNumbers w:val="0"/>
        <w:spacing w:before="0" w:beforeAutospacing="0" w:line="360" w:lineRule="auto"/>
        <w:jc w:val="both"/>
        <w:rPr>
          <w:rFonts w:hint="default" w:ascii="Times New Roman Bold" w:hAnsi="Times New Roman Bold" w:eastAsia="sans-serif" w:cs="Times New Roman Bold"/>
          <w:b/>
          <w:bCs w:val="0"/>
          <w:sz w:val="28"/>
          <w:szCs w:val="28"/>
        </w:rPr>
      </w:pPr>
      <w:r>
        <w:rPr>
          <w:rFonts w:hint="default" w:ascii="Times New Roman Bold" w:hAnsi="Times New Roman Bold" w:eastAsia="sans-serif" w:cs="Times New Roman Bold"/>
          <w:b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1. Trigger Sensitivity: Response Levels and Thresholds</w:t>
      </w:r>
    </w:p>
    <w:p w14:paraId="4AD9CB5E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The system should not cease operation due to every minor technical error. We implement a three-tier trigger sensitivity model where the response depends on the critical impact on the 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evidentiary chain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.</w:t>
      </w:r>
    </w:p>
    <w:tbl>
      <w:tblPr>
        <w:tblW w:w="0" w:type="auto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3"/>
        <w:gridCol w:w="2514"/>
        <w:gridCol w:w="3010"/>
        <w:gridCol w:w="1969"/>
      </w:tblGrid>
      <w:tr w14:paraId="75492D99">
        <w:trPr>
          <w:tblHeader/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3C9F3A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Style w:val="15"/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Risk Level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918545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Style w:val="15"/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Event (Trigger)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243AB3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Style w:val="15"/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System Action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B4D675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Style w:val="15"/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Impact on KPI/KRP</w:t>
            </w:r>
          </w:p>
        </w:tc>
      </w:tr>
      <w:tr w14:paraId="0CEBED95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F549BF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bCs/>
                <w:kern w:val="0"/>
                <w:sz w:val="22"/>
                <w:szCs w:val="22"/>
                <w:lang w:val="en-US" w:eastAsia="zh-CN" w:bidi="ar"/>
              </w:rPr>
              <w:t>Critical (L3)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D53049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Violation of log integrity, absence of QES on a decision, manipulation of the allocation algorithm.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5E599E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bCs/>
                <w:kern w:val="0"/>
                <w:sz w:val="22"/>
                <w:szCs w:val="22"/>
                <w:lang w:val="en-US" w:eastAsia="zh-CN" w:bidi="ar"/>
              </w:rPr>
              <w:t>Instant Rollback:</w:t>
            </w: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 Automatic cancellation of the transaction, access blocking, and alert to the oversight body.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21048F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$P_{rollback} \to 1.0$(Irreversible).</w:t>
            </w:r>
          </w:p>
        </w:tc>
      </w:tr>
      <w:tr w14:paraId="32893A90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E69DC2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bCs/>
                <w:kern w:val="0"/>
                <w:sz w:val="22"/>
                <w:szCs w:val="22"/>
                <w:lang w:val="en-US" w:eastAsia="zh-CN" w:bidi="ar"/>
              </w:rPr>
              <w:t>Medium (L2)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37A330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Violation of deadlines (SOP), absence of e-delivery confirmation despite successful transmission.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B7AE69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bCs/>
                <w:kern w:val="0"/>
                <w:sz w:val="22"/>
                <w:szCs w:val="22"/>
                <w:lang w:val="en-US" w:eastAsia="zh-CN" w:bidi="ar"/>
              </w:rPr>
              <w:t>Warning and Blocking of Next Step:</w:t>
            </w: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 The system allows data saving but prevents process finalization.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EA9B36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Increase in $G_u$ (Gap) and Fragility.</w:t>
            </w:r>
          </w:p>
        </w:tc>
      </w:tr>
      <w:tr w14:paraId="3A074710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5973A7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bCs/>
                <w:kern w:val="0"/>
                <w:sz w:val="22"/>
                <w:szCs w:val="22"/>
                <w:lang w:val="en-US" w:eastAsia="zh-CN" w:bidi="ar"/>
              </w:rPr>
              <w:t>Low (L1)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AA09DD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Technical synchronization failures, login without MFA from a trusted IP, metadata errors.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A51D98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bCs/>
                <w:kern w:val="0"/>
                <w:sz w:val="22"/>
                <w:szCs w:val="22"/>
                <w:lang w:val="en-US" w:eastAsia="zh-CN" w:bidi="ar"/>
              </w:rPr>
              <w:t>Incident Registration:</w:t>
            </w: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 Only a system warning and entry into the audit log without process interruption.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F71C75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line="23" w:lineRule="atLeast"/>
              <w:jc w:val="both"/>
              <w:rPr>
                <w:rFonts w:hint="default" w:ascii="Times New Roman Regular" w:hAnsi="Times New Roman Regular" w:eastAsia="sans-serif" w:cs="Times New Roman Regular"/>
                <w:b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sans-serif" w:cs="Times New Roman Regular"/>
                <w:b w:val="0"/>
                <w:kern w:val="0"/>
                <w:sz w:val="22"/>
                <w:szCs w:val="22"/>
                <w:lang w:val="en-US" w:eastAsia="zh-CN" w:bidi="ar"/>
              </w:rPr>
              <w:t>Decrease in Confidence ($c_{u,L,i}$).</w:t>
            </w:r>
          </w:p>
        </w:tc>
      </w:tr>
    </w:tbl>
    <w:p w14:paraId="29168BAC">
      <w:pPr>
        <w:pStyle w:val="5"/>
        <w:keepNext w:val="0"/>
        <w:keepLines w:val="0"/>
        <w:widowControl/>
        <w:suppressLineNumbers w:val="0"/>
        <w:spacing w:before="0" w:beforeAutospacing="0" w:line="23" w:lineRule="atLeast"/>
        <w:jc w:val="both"/>
        <w:outlineLvl w:val="9"/>
        <w:rPr>
          <w:rFonts w:hint="default" w:ascii="Times New Roman Bold" w:hAnsi="Times New Roman Bold" w:eastAsia="sans-serif" w:cs="Times New Roman Bold"/>
          <w:b/>
          <w:bCs w:val="0"/>
          <w:i w:val="0"/>
          <w:iCs w:val="0"/>
          <w:caps w:val="0"/>
          <w:color w:val="000000"/>
          <w:spacing w:val="0"/>
          <w:u w:val="none"/>
        </w:rPr>
      </w:pPr>
    </w:p>
    <w:p w14:paraId="2242C2A1">
      <w:pPr>
        <w:pStyle w:val="5"/>
        <w:keepNext w:val="0"/>
        <w:keepLines w:val="0"/>
        <w:widowControl/>
        <w:suppressLineNumbers w:val="0"/>
        <w:spacing w:before="0" w:beforeAutospacing="0" w:line="23" w:lineRule="atLeast"/>
        <w:jc w:val="both"/>
        <w:rPr>
          <w:rFonts w:hint="default" w:ascii="Times New Roman Bold" w:hAnsi="Times New Roman Bold" w:eastAsia="sans-serif" w:cs="Times New Roman Bold"/>
          <w:b/>
          <w:bCs w:val="0"/>
        </w:rPr>
      </w:pPr>
      <w:r>
        <w:rPr>
          <w:rFonts w:hint="default" w:ascii="Times New Roman Bold" w:hAnsi="Times New Roman Bold" w:eastAsia="sans-serif" w:cs="Times New Roman Bold"/>
          <w:b/>
          <w:bCs w:val="0"/>
          <w:i w:val="0"/>
          <w:iCs w:val="0"/>
          <w:caps w:val="0"/>
          <w:color w:val="000000"/>
          <w:spacing w:val="0"/>
          <w:u w:val="none"/>
        </w:rPr>
        <w:t>2. CIRA Architecture: Data Flows through Model Layers</w:t>
      </w:r>
    </w:p>
    <w:p w14:paraId="2E9DC2E0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The 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CIRA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(Computational Institutional Resilience Architecture) ensures data flows such that every step of the operational layer is inextricably linked to digital and audit evidence.</w:t>
      </w:r>
    </w:p>
    <w:p w14:paraId="244A96BD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Bold" w:hAnsi="Times New Roman Bold" w:eastAsia="sans-serif" w:cs="Times New Roman Bold"/>
          <w:b/>
          <w:bCs w:val="0"/>
          <w:sz w:val="28"/>
          <w:szCs w:val="28"/>
        </w:rPr>
      </w:pPr>
      <w:r>
        <w:rPr>
          <w:rFonts w:hint="default" w:ascii="Times New Roman Bold" w:hAnsi="Times New Roman Bold" w:eastAsia="sans-serif" w:cs="Times New Roman Bold"/>
          <w:b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Data Flow Mechanics:</w:t>
      </w:r>
    </w:p>
    <w:p w14:paraId="4FB96723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left="720"/>
        <w:jc w:val="both"/>
        <w:rPr>
          <w:rFonts w:hint="default" w:ascii="Times New Roman Regular" w:hAnsi="Times New Roman Regular" w:eastAsia="sans-serif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Normative (N):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Loading "Smart Rules" (discretion criteria, deadlines, mandates).</w:t>
      </w:r>
    </w:p>
    <w:p w14:paraId="0A025267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Operational (O):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Execution of an action by a user (e.g., filing a lawsuit or issuing an order).</w:t>
      </w:r>
    </w:p>
    <w:p w14:paraId="1CABE4B5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Computational (C):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The system automatically applies a time-stamp, verifies access rights via EUDI, and validates the QES.</w:t>
      </w:r>
    </w:p>
    <w:p w14:paraId="469B8031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Feedback (F):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Generation of the operation’s Hash code and entry into the 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Immutable Ledger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. If data at this stage contradicts the rules from layer (N), a 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Rollback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is triggered.</w:t>
      </w:r>
    </w:p>
    <w:p w14:paraId="4E2BA0BE">
      <w:pPr>
        <w:pStyle w:val="5"/>
        <w:keepNext w:val="0"/>
        <w:keepLines w:val="0"/>
        <w:widowControl/>
        <w:suppressLineNumbers w:val="0"/>
        <w:spacing w:before="0" w:beforeAutospacing="0" w:line="360" w:lineRule="auto"/>
        <w:jc w:val="both"/>
        <w:rPr>
          <w:rFonts w:hint="default" w:ascii="Times New Roman Bold" w:hAnsi="Times New Roman Bold" w:eastAsia="sans-serif" w:cs="Times New Roman Bold"/>
          <w:b/>
          <w:bCs w:val="0"/>
          <w:sz w:val="28"/>
          <w:szCs w:val="28"/>
        </w:rPr>
      </w:pPr>
      <w:r>
        <w:rPr>
          <w:rFonts w:hint="default" w:ascii="Times New Roman Bold" w:hAnsi="Times New Roman Bold" w:eastAsia="sans-serif" w:cs="Times New Roman Bold"/>
          <w:b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3. Policy Recommendations: Implementation into Legislation</w:t>
      </w:r>
    </w:p>
    <w:p w14:paraId="77C85BA7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To legalize the 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KRAGH-CIRA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model, amendments must be made to procedural codes (Civil, Commercial, Criminal) and laws regulating anti-corruption bodies.</w:t>
      </w:r>
    </w:p>
    <w:p w14:paraId="08E5EFEE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jc w:val="both"/>
        <w:rPr>
          <w:rFonts w:hint="default" w:ascii="Times New Roman Bold" w:hAnsi="Times New Roman Bold" w:eastAsia="sans-serif" w:cs="Times New Roman Bold"/>
          <w:b/>
          <w:bCs w:val="0"/>
          <w:sz w:val="28"/>
          <w:szCs w:val="28"/>
        </w:rPr>
      </w:pPr>
      <w:r>
        <w:rPr>
          <w:rFonts w:hint="default" w:ascii="Times New Roman Bold" w:hAnsi="Times New Roman Bold" w:eastAsia="sans-serif" w:cs="Times New Roman Bold"/>
          <w:b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Key Proposals:</w:t>
      </w:r>
    </w:p>
    <w:p w14:paraId="7E258858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Principle of "Technological Legitimacy":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Establish a norm stating that a procedural action is considered performed only if a corresponding entry exists in the automated logging system with a verified time-stamp.</w:t>
      </w:r>
    </w:p>
    <w:p w14:paraId="605528C6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Regular" w:hAnsi="Times New Roman Regular" w:eastAsia="sans-serif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Legalization of Automatic Rollback (Procedural Rollback):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Define the detection of a system data integrity error (Integrity Trigger) as an absolute ground for decision review or the automatic return of the process to the stage preceding the failure.</w:t>
      </w:r>
    </w:p>
    <w:p w14:paraId="0F977D5D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jc w:val="both"/>
        <w:rPr>
          <w:rFonts w:hint="default" w:ascii="Times New Roman Regular" w:hAnsi="Times New Roman Regular" w:eastAsia="sans-serif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Status of "Hash Evidence":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Grant cryptographic hash codes of audit logs the status of primary evidence when verifying procedural compliance (e.g., when challenging case allocation results).</w:t>
      </w:r>
    </w:p>
    <w:p w14:paraId="7CDD73AE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jc w:val="both"/>
        <w:rPr>
          <w:rFonts w:hint="default" w:ascii="Times New Roman Regular" w:hAnsi="Times New Roman Regular" w:eastAsia="sans-serif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Mandatory EUDI/Strong Auth: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Prohibit the execution of significant legal actions in state registries without using high-level identification tools compatible with EU standards (eIDAS).</w:t>
      </w:r>
    </w:p>
    <w:p w14:paraId="7E8078C6">
      <w:pPr>
        <w:pStyle w:val="5"/>
        <w:keepNext w:val="0"/>
        <w:keepLines w:val="0"/>
        <w:widowControl/>
        <w:suppressLineNumbers w:val="0"/>
        <w:spacing w:before="0" w:beforeAutospacing="0" w:line="360" w:lineRule="auto"/>
        <w:ind w:firstLine="720" w:firstLineChars="0"/>
        <w:jc w:val="both"/>
        <w:rPr>
          <w:rFonts w:hint="default" w:ascii="Times New Roman Bold" w:hAnsi="Times New Roman Bold" w:eastAsia="sans-serif" w:cs="Times New Roman Bold"/>
          <w:b/>
          <w:bCs w:val="0"/>
          <w:sz w:val="28"/>
          <w:szCs w:val="28"/>
        </w:rPr>
      </w:pPr>
      <w:r>
        <w:rPr>
          <w:rFonts w:hint="default" w:ascii="Times New Roman Bold" w:hAnsi="Times New Roman Bold" w:eastAsia="sans-serif" w:cs="Times New Roman Bold"/>
          <w:b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Final Formulation for the Dissertation:</w:t>
      </w:r>
    </w:p>
    <w:p w14:paraId="5075B2E1">
      <w:pPr>
        <w:pStyle w:val="14"/>
        <w:keepNext w:val="0"/>
        <w:keepLines w:val="0"/>
        <w:widowControl/>
        <w:suppressLineNumbers w:val="0"/>
        <w:spacing w:before="0" w:beforeAutospacing="0" w:line="360" w:lineRule="auto"/>
        <w:ind w:right="103" w:rightChars="0" w:firstLine="720" w:firstLineChars="0"/>
        <w:jc w:val="both"/>
        <w:rPr>
          <w:rStyle w:val="15"/>
          <w:rFonts w:hint="default" w:ascii="Times New Roman Bold" w:hAnsi="Times New Roman Bold" w:cs="Times New Roman Bold"/>
          <w:b/>
          <w:bCs w:val="0"/>
        </w:rPr>
      </w:pP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"The proposed 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CIRA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architecture, combined with calibrated 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Trigger Sensitivity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thresholds, creates a self-regulating environment. This enables a shift from reactive oversight (ex-post) to the preventive enforcement of the Rule of Law, where any deviation from the normative algorithm initiates a legal and technical </w:t>
      </w:r>
      <w:r>
        <w:rPr>
          <w:rFonts w:hint="default" w:ascii="Times New Roman Regular" w:hAnsi="Times New Roman Regular" w:eastAsia="sans-serif" w:cs="Times New Roman Regular"/>
          <w:b w:val="0"/>
          <w:bCs/>
          <w:i w:val="0"/>
          <w:iCs w:val="0"/>
          <w:caps w:val="0"/>
          <w:color w:val="000000"/>
          <w:spacing w:val="0"/>
          <w:sz w:val="28"/>
          <w:szCs w:val="28"/>
          <w:u w:val="none"/>
        </w:rPr>
        <w:t>Rollback</w:t>
      </w:r>
      <w:r>
        <w:rPr>
          <w:rFonts w:hint="default" w:ascii="Times New Roman Regular" w:hAnsi="Times New Roman Regular" w:eastAsia="sans-serif" w:cs="Times New Roman Regular"/>
          <w:b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, preventing the legalization of unlawful decisions."</w:t>
      </w:r>
    </w:p>
    <w:p w14:paraId="067CB444">
      <w:pPr>
        <w:pStyle w:val="2"/>
        <w:bidi w:val="0"/>
        <w:jc w:val="center"/>
        <w:rPr>
          <w:rFonts w:hint="default" w:ascii="Times New Roman Bold" w:hAnsi="Times New Roman Bold" w:cs="Times New Roman Bold"/>
          <w:b/>
          <w:bCs w:val="0"/>
          <w:sz w:val="36"/>
          <w:szCs w:val="36"/>
          <w:lang w:val="en-US"/>
        </w:rPr>
      </w:pPr>
      <w:bookmarkStart w:id="22" w:name="_Toc1854791830"/>
      <w:bookmarkStart w:id="23" w:name="_Toc19926216"/>
      <w:r>
        <w:rPr>
          <w:rFonts w:hint="default" w:ascii="Times New Roman Bold" w:hAnsi="Times New Roman Bold" w:cs="Times New Roman Bold"/>
          <w:b/>
          <w:bCs w:val="0"/>
          <w:sz w:val="36"/>
          <w:szCs w:val="36"/>
          <w:lang w:val="en-US"/>
        </w:rPr>
        <w:t>CHAPTER 4:</w:t>
      </w:r>
      <w:bookmarkEnd w:id="22"/>
      <w:bookmarkEnd w:id="23"/>
    </w:p>
    <w:p w14:paraId="0A29B788">
      <w:pPr>
        <w:pStyle w:val="2"/>
        <w:bidi w:val="0"/>
        <w:jc w:val="center"/>
        <w:rPr>
          <w:rFonts w:hint="default" w:ascii="Times New Roman Bold" w:hAnsi="Times New Roman Bold" w:cs="Times New Roman Bold"/>
          <w:b/>
          <w:bCs w:val="0"/>
          <w:sz w:val="36"/>
          <w:szCs w:val="36"/>
        </w:rPr>
      </w:pPr>
      <w:bookmarkStart w:id="24" w:name="_Toc613666958"/>
      <w:bookmarkStart w:id="25" w:name="_Toc2039947027"/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KRA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  <w:lang w:val="en-US"/>
        </w:rPr>
        <w:t>G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H KPI — Anti-Corruption Authority</w:t>
      </w:r>
      <w:bookmarkEnd w:id="24"/>
      <w:bookmarkEnd w:id="25"/>
    </w:p>
    <w:p w14:paraId="1F150BCD">
      <w:pPr>
        <w:pStyle w:val="14"/>
        <w:keepNext w:val="0"/>
        <w:keepLines w:val="0"/>
        <w:widowControl/>
        <w:suppressLineNumbers w:val="0"/>
        <w:rPr>
          <w:sz w:val="28"/>
          <w:szCs w:val="28"/>
        </w:rPr>
      </w:pPr>
      <w:r>
        <w:rPr>
          <w:rStyle w:val="9"/>
          <w:sz w:val="28"/>
          <w:szCs w:val="28"/>
        </w:rPr>
        <w:t>(Master-level, methodology + examples)</w:t>
      </w:r>
    </w:p>
    <w:p w14:paraId="24E6AAE9">
      <w:pPr>
        <w:pStyle w:val="3"/>
        <w:keepNext w:val="0"/>
        <w:keepLines w:val="0"/>
        <w:widowControl/>
        <w:suppressLineNumbers w:val="0"/>
        <w:rPr>
          <w:rFonts w:hint="default" w:ascii="Times New Roman Bold" w:hAnsi="Times New Roman Bold" w:cs="Times New Roman Bold"/>
          <w:b/>
          <w:bCs w:val="0"/>
        </w:rPr>
      </w:pPr>
      <w:r>
        <w:rPr>
          <w:rFonts w:hint="default" w:ascii="Times New Roman Bold" w:hAnsi="Times New Roman Bold" w:cs="Times New Roman Bold"/>
          <w:b/>
          <w:bCs w:val="0"/>
        </w:rPr>
        <w:t>Unit of analysis (u)</w:t>
      </w:r>
    </w:p>
    <w:p w14:paraId="1B246FB8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u = National Anti-Corruption Authority (NACA)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(no country specification — the method is universally applicable)</w:t>
      </w:r>
    </w:p>
    <w:p w14:paraId="53B8A061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Bold" w:hAnsi="Times New Roman Bold" w:cs="Times New Roman Bold"/>
          <w:b/>
          <w:bCs w:val="0"/>
          <w:sz w:val="28"/>
          <w:szCs w:val="28"/>
        </w:rPr>
      </w:pPr>
      <w:r>
        <w:rPr>
          <w:rFonts w:hint="default" w:ascii="Times New Roman Bold" w:hAnsi="Times New Roman Bold" w:cs="Times New Roman Bold"/>
          <w:b/>
          <w:bCs w:val="0"/>
          <w:sz w:val="28"/>
          <w:szCs w:val="28"/>
        </w:rPr>
        <w:t>Institutional functions:</w:t>
      </w:r>
    </w:p>
    <w:p w14:paraId="343EF34F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prevention of corruption,</w:t>
      </w:r>
    </w:p>
    <w:p w14:paraId="4B4E5D8B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control of asset declarations / conflicts of interest,</w:t>
      </w:r>
    </w:p>
    <w:p w14:paraId="6784C1B6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investigation or referral of cases,</w:t>
      </w:r>
    </w:p>
    <w:p w14:paraId="1103776E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sanctions / recommendations,</w:t>
      </w:r>
    </w:p>
    <w:p w14:paraId="72048F3F"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interaction with courts and oversight bodies.</w:t>
      </w:r>
    </w:p>
    <w:p w14:paraId="60F5E597">
      <w:pPr>
        <w:pStyle w:val="3"/>
        <w:keepNext w:val="0"/>
        <w:keepLines w:val="0"/>
        <w:widowControl/>
        <w:suppressLineNumbers w:val="0"/>
        <w:rPr>
          <w:rFonts w:hint="default" w:ascii="Times New Roman Bold" w:hAnsi="Times New Roman Bold" w:cs="Times New Roman Bold"/>
          <w:b/>
          <w:bCs w:val="0"/>
        </w:rPr>
      </w:pPr>
      <w:r>
        <w:rPr>
          <w:rStyle w:val="15"/>
          <w:rFonts w:hint="default" w:ascii="Times New Roman Bold" w:hAnsi="Times New Roman Bold" w:cs="Times New Roman Bold"/>
          <w:b/>
          <w:bCs w:val="0"/>
        </w:rPr>
        <w:t>LAYER N — Normative</w:t>
      </w:r>
    </w:p>
    <w:p w14:paraId="5B18DF2F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Bold" w:hAnsi="Times New Roman Bold" w:cs="Times New Roman Bold"/>
          <w:b/>
          <w:bCs w:val="0"/>
          <w:sz w:val="28"/>
          <w:szCs w:val="28"/>
        </w:rPr>
      </w:pPr>
      <w:r>
        <w:rPr>
          <w:rStyle w:val="15"/>
          <w:rFonts w:hint="default" w:ascii="Times New Roman Bold" w:hAnsi="Times New Roman Bold" w:cs="Times New Roman Bold"/>
          <w:b/>
          <w:bCs w:val="0"/>
          <w:sz w:val="28"/>
          <w:szCs w:val="28"/>
        </w:rPr>
        <w:t>N1) Coverage of anti-corruption obligations</w:t>
      </w:r>
    </w:p>
    <w:p w14:paraId="01C89C87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What it measures: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The extent to which core anti-corruption functions and safeguards are legally established.</w:t>
      </w:r>
    </w:p>
    <w:p w14:paraId="66F7A49F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Obligations checklist (example):</w:t>
      </w:r>
    </w:p>
    <w:p w14:paraId="1ED38E1B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Legal mandate of the authority</w:t>
      </w:r>
    </w:p>
    <w:p w14:paraId="1CA2EB5F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Independence from the executive</w:t>
      </w:r>
    </w:p>
    <w:p w14:paraId="66DADCA4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Clear investigative powers</w:t>
      </w:r>
    </w:p>
    <w:p w14:paraId="4DA78BDF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Access to registers / data</w:t>
      </w:r>
    </w:p>
    <w:p w14:paraId="5EFB7F09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Obligation of inter-agency cooperation</w:t>
      </w:r>
    </w:p>
    <w:p w14:paraId="1E515712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Sanctioning mechanisms</w:t>
      </w:r>
    </w:p>
    <w:p w14:paraId="19D6CD4A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Whistleblower protection</w:t>
      </w:r>
    </w:p>
    <w:p w14:paraId="0CFFE24E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Conflict-of-interest procedures</w:t>
      </w:r>
    </w:p>
    <w:p w14:paraId="19933E7B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Mandatory asset declarations</w:t>
      </w:r>
    </w:p>
    <w:p w14:paraId="0ED521FF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Public reporting</w:t>
      </w:r>
    </w:p>
    <w:p w14:paraId="6DFA4BEC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Total:</w:t>
      </w:r>
      <w:r>
        <w:rPr>
          <w:sz w:val="28"/>
          <w:szCs w:val="28"/>
        </w:rPr>
        <w:t xml:space="preserve"> k=10k = 10k=10</w:t>
      </w:r>
    </w:p>
    <w:p w14:paraId="36087964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Formula:</w:t>
      </w:r>
    </w:p>
    <w:p w14:paraId="590193CA">
      <w:pPr>
        <w:keepNext w:val="0"/>
        <w:keepLines w:val="0"/>
        <w:widowControl/>
        <w:suppressLineNumbers w:val="0"/>
        <w:spacing w:line="360" w:lineRule="auto"/>
        <w:jc w:val="left"/>
        <w:rPr>
          <w:sz w:val="28"/>
          <w:szCs w:val="28"/>
        </w:rPr>
      </w:pPr>
      <w:r>
        <w:rPr>
          <w:rFonts w:ascii="SimSun" w:hAnsi="SimSun" w:eastAsia="SimSun" w:cs="SimSun"/>
          <w:kern w:val="0"/>
          <w:sz w:val="28"/>
          <w:szCs w:val="28"/>
          <w:lang w:val="en-US" w:eastAsia="zh-CN" w:bidi="ar"/>
        </w:rPr>
        <w:t xml:space="preserve">xN1=#fulfilled obligations10x_{N1}=\frac{\#\text{fulfilled obligations}}{10}xN1​=10#fulfilled obligations​ </w:t>
      </w:r>
    </w:p>
    <w:p w14:paraId="222CD15C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Example: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8 of 10 fulfilled:</w:t>
      </w:r>
    </w:p>
    <w:p w14:paraId="00A806FB">
      <w:pPr>
        <w:keepNext w:val="0"/>
        <w:keepLines w:val="0"/>
        <w:widowControl/>
        <w:suppressLineNumbers w:val="0"/>
        <w:spacing w:line="360" w:lineRule="auto"/>
        <w:jc w:val="left"/>
        <w:rPr>
          <w:sz w:val="28"/>
          <w:szCs w:val="28"/>
        </w:rPr>
      </w:pPr>
      <w:r>
        <w:rPr>
          <w:rFonts w:ascii="SimSun" w:hAnsi="SimSun" w:eastAsia="SimSun" w:cs="SimSun"/>
          <w:kern w:val="0"/>
          <w:sz w:val="28"/>
          <w:szCs w:val="28"/>
          <w:lang w:val="en-US" w:eastAsia="zh-CN" w:bidi="ar"/>
        </w:rPr>
        <w:t xml:space="preserve">xN1=0.8x_{N1}=0.8xN1​=0.8 </w:t>
      </w:r>
    </w:p>
    <w:p w14:paraId="5C5C8022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Evidence:</w:t>
      </w:r>
    </w:p>
    <w:p w14:paraId="6950EB72">
      <w:pPr>
        <w:pStyle w:val="14"/>
        <w:keepNext w:val="0"/>
        <w:keepLines w:val="0"/>
        <w:widowControl/>
        <w:numPr>
          <w:ilvl w:val="0"/>
          <w:numId w:val="4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law on the authority,</w:t>
      </w:r>
    </w:p>
    <w:p w14:paraId="715C2582">
      <w:pPr>
        <w:pStyle w:val="14"/>
        <w:keepNext w:val="0"/>
        <w:keepLines w:val="0"/>
        <w:widowControl/>
        <w:numPr>
          <w:ilvl w:val="0"/>
          <w:numId w:val="4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national anti-corruption strategy,</w:t>
      </w:r>
    </w:p>
    <w:p w14:paraId="7D140E62">
      <w:pPr>
        <w:pStyle w:val="14"/>
        <w:keepNext w:val="0"/>
        <w:keepLines w:val="0"/>
        <w:widowControl/>
        <w:numPr>
          <w:ilvl w:val="0"/>
          <w:numId w:val="4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related legislation (declarations, whistleblowers).</w:t>
      </w:r>
    </w:p>
    <w:p w14:paraId="6223D745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Typical problem: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Formal powers exist without data-access procedures → formally “present” but operationally unenforceable (captured at O and C layers).</w:t>
      </w:r>
    </w:p>
    <w:p w14:paraId="1D12E641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Bold" w:hAnsi="Times New Roman Bold" w:cs="Times New Roman Bold"/>
          <w:b/>
          <w:bCs w:val="0"/>
          <w:sz w:val="28"/>
          <w:szCs w:val="28"/>
        </w:rPr>
      </w:pPr>
      <w:r>
        <w:rPr>
          <w:rStyle w:val="15"/>
          <w:rFonts w:hint="default" w:ascii="Times New Roman Bold" w:hAnsi="Times New Roman Bold" w:cs="Times New Roman Bold"/>
          <w:b/>
          <w:bCs w:val="0"/>
          <w:sz w:val="28"/>
          <w:szCs w:val="28"/>
        </w:rPr>
        <w:t>N2) Procedural safeguards defined</w:t>
      </w:r>
    </w:p>
    <w:p w14:paraId="3712BAC5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What it measures: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The extent to which procedures protect against arbitrariness during:</w:t>
      </w:r>
    </w:p>
    <w:p w14:paraId="55174A6B">
      <w:pPr>
        <w:pStyle w:val="14"/>
        <w:keepNext w:val="0"/>
        <w:keepLines w:val="0"/>
        <w:widowControl/>
        <w:numPr>
          <w:ilvl w:val="0"/>
          <w:numId w:val="5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inspections,</w:t>
      </w:r>
    </w:p>
    <w:p w14:paraId="5A3727E8">
      <w:pPr>
        <w:pStyle w:val="14"/>
        <w:keepNext w:val="0"/>
        <w:keepLines w:val="0"/>
        <w:widowControl/>
        <w:numPr>
          <w:ilvl w:val="0"/>
          <w:numId w:val="5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information requests,</w:t>
      </w:r>
    </w:p>
    <w:p w14:paraId="4F3A7D04">
      <w:pPr>
        <w:pStyle w:val="14"/>
        <w:keepNext w:val="0"/>
        <w:keepLines w:val="0"/>
        <w:widowControl/>
        <w:numPr>
          <w:ilvl w:val="0"/>
          <w:numId w:val="5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decision-making,</w:t>
      </w:r>
    </w:p>
    <w:p w14:paraId="081C6B6B">
      <w:pPr>
        <w:pStyle w:val="14"/>
        <w:keepNext w:val="0"/>
        <w:keepLines w:val="0"/>
        <w:widowControl/>
        <w:numPr>
          <w:ilvl w:val="0"/>
          <w:numId w:val="5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sanctioning.</w:t>
      </w:r>
    </w:p>
    <w:p w14:paraId="517EAB93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 xml:space="preserve">Mandatory safeguards (example, </w:t>
      </w:r>
      <w:r>
        <w:rPr>
          <w:sz w:val="28"/>
          <w:szCs w:val="28"/>
        </w:rPr>
        <w:t>k=8k=8k=8</w:t>
      </w:r>
      <w:r>
        <w:rPr>
          <w:rStyle w:val="15"/>
          <w:sz w:val="28"/>
          <w:szCs w:val="28"/>
        </w:rPr>
        <w:t>):</w:t>
      </w:r>
    </w:p>
    <w:p w14:paraId="4402DE61">
      <w:pPr>
        <w:pStyle w:val="14"/>
        <w:keepNext w:val="0"/>
        <w:keepLines w:val="0"/>
        <w:widowControl/>
        <w:numPr>
          <w:ilvl w:val="0"/>
          <w:numId w:val="6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Clear procedural deadlines</w:t>
      </w:r>
    </w:p>
    <w:p w14:paraId="29A08407">
      <w:pPr>
        <w:pStyle w:val="14"/>
        <w:keepNext w:val="0"/>
        <w:keepLines w:val="0"/>
        <w:widowControl/>
        <w:numPr>
          <w:ilvl w:val="0"/>
          <w:numId w:val="6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Right to be heard</w:t>
      </w:r>
    </w:p>
    <w:p w14:paraId="52FD71CD">
      <w:pPr>
        <w:pStyle w:val="14"/>
        <w:keepNext w:val="0"/>
        <w:keepLines w:val="0"/>
        <w:widowControl/>
        <w:numPr>
          <w:ilvl w:val="0"/>
          <w:numId w:val="6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Obligation to provide reasoning</w:t>
      </w:r>
    </w:p>
    <w:p w14:paraId="450ACE24">
      <w:pPr>
        <w:pStyle w:val="14"/>
        <w:keepNext w:val="0"/>
        <w:keepLines w:val="0"/>
        <w:widowControl/>
        <w:numPr>
          <w:ilvl w:val="0"/>
          <w:numId w:val="6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Evidence recording</w:t>
      </w:r>
    </w:p>
    <w:p w14:paraId="7D193277">
      <w:pPr>
        <w:pStyle w:val="14"/>
        <w:keepNext w:val="0"/>
        <w:keepLines w:val="0"/>
        <w:widowControl/>
        <w:numPr>
          <w:ilvl w:val="0"/>
          <w:numId w:val="6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Right to appeal</w:t>
      </w:r>
    </w:p>
    <w:p w14:paraId="3816D262">
      <w:pPr>
        <w:pStyle w:val="14"/>
        <w:keepNext w:val="0"/>
        <w:keepLines w:val="0"/>
        <w:widowControl/>
        <w:numPr>
          <w:ilvl w:val="0"/>
          <w:numId w:val="6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Proportionality principle</w:t>
      </w:r>
    </w:p>
    <w:p w14:paraId="30098B50">
      <w:pPr>
        <w:pStyle w:val="14"/>
        <w:keepNext w:val="0"/>
        <w:keepLines w:val="0"/>
        <w:widowControl/>
        <w:numPr>
          <w:ilvl w:val="0"/>
          <w:numId w:val="6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Staff conflict-of-interest rules</w:t>
      </w:r>
    </w:p>
    <w:p w14:paraId="57558CBE">
      <w:pPr>
        <w:pStyle w:val="14"/>
        <w:keepNext w:val="0"/>
        <w:keepLines w:val="0"/>
        <w:widowControl/>
        <w:numPr>
          <w:ilvl w:val="0"/>
          <w:numId w:val="6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Publicity of outcomes (within lawful limits)</w:t>
      </w:r>
    </w:p>
    <w:p w14:paraId="3EDBB656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Formula:</w:t>
      </w:r>
    </w:p>
    <w:p w14:paraId="52749584">
      <w:pPr>
        <w:keepNext w:val="0"/>
        <w:keepLines w:val="0"/>
        <w:widowControl/>
        <w:suppressLineNumbers w:val="0"/>
        <w:spacing w:line="360" w:lineRule="auto"/>
        <w:jc w:val="left"/>
        <w:rPr>
          <w:sz w:val="28"/>
          <w:szCs w:val="28"/>
        </w:rPr>
      </w:pPr>
      <w:r>
        <w:rPr>
          <w:rFonts w:ascii="SimSun" w:hAnsi="SimSun" w:eastAsia="SimSun" w:cs="SimSun"/>
          <w:kern w:val="0"/>
          <w:sz w:val="28"/>
          <w:szCs w:val="28"/>
          <w:lang w:val="en-US" w:eastAsia="zh-CN" w:bidi="ar"/>
        </w:rPr>
        <w:t xml:space="preserve">xN2=#defined safeguards8x_{N2}=\frac{\#\text{defined safeguards}}{8}xN2=8#defined safeguards​ </w:t>
      </w:r>
    </w:p>
    <w:p w14:paraId="55C4D079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Example: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6 of 8 → xN2=0.75x_{N2}=0.75xN2​=0.75</w:t>
      </w:r>
    </w:p>
    <w:p w14:paraId="549D7747">
      <w:pPr>
        <w:pStyle w:val="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b/>
          <w:bCs/>
          <w:sz w:val="28"/>
          <w:szCs w:val="28"/>
        </w:rPr>
        <w:t>N3) Clarity / Low discretion</w:t>
      </w:r>
    </w:p>
    <w:p w14:paraId="20892E61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What it measures: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The degree to which decisions are based on objective criteria rather than individual discretion.</w:t>
      </w:r>
    </w:p>
    <w:p w14:paraId="5E8EB323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Key discretion points:</w:t>
      </w:r>
    </w:p>
    <w:p w14:paraId="50E9E025">
      <w:pPr>
        <w:pStyle w:val="14"/>
        <w:keepNext w:val="0"/>
        <w:keepLines w:val="0"/>
        <w:widowControl/>
        <w:numPr>
          <w:ilvl w:val="0"/>
          <w:numId w:val="7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case selection,</w:t>
      </w:r>
    </w:p>
    <w:p w14:paraId="6A9FA1E5">
      <w:pPr>
        <w:pStyle w:val="14"/>
        <w:keepNext w:val="0"/>
        <w:keepLines w:val="0"/>
        <w:widowControl/>
        <w:numPr>
          <w:ilvl w:val="0"/>
          <w:numId w:val="7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depth of investigation,</w:t>
      </w:r>
    </w:p>
    <w:p w14:paraId="22F16BB7">
      <w:pPr>
        <w:pStyle w:val="14"/>
        <w:keepNext w:val="0"/>
        <w:keepLines w:val="0"/>
        <w:widowControl/>
        <w:numPr>
          <w:ilvl w:val="0"/>
          <w:numId w:val="7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choice of sanctions,</w:t>
      </w:r>
    </w:p>
    <w:p w14:paraId="42685F5F">
      <w:pPr>
        <w:pStyle w:val="14"/>
        <w:keepNext w:val="0"/>
        <w:keepLines w:val="0"/>
        <w:widowControl/>
        <w:numPr>
          <w:ilvl w:val="0"/>
          <w:numId w:val="7"/>
        </w:numPr>
        <w:suppressLineNumbers w:val="0"/>
        <w:spacing w:line="360" w:lineRule="auto"/>
        <w:ind w:left="420" w:leftChars="0" w:hanging="420" w:firstLineChars="0"/>
        <w:rPr>
          <w:sz w:val="28"/>
          <w:szCs w:val="28"/>
        </w:rPr>
      </w:pPr>
      <w:r>
        <w:rPr>
          <w:sz w:val="28"/>
          <w:szCs w:val="28"/>
        </w:rPr>
        <w:t>case closure.</w:t>
      </w:r>
    </w:p>
    <w:p w14:paraId="33F09788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Scale:</w:t>
      </w:r>
    </w:p>
    <w:p w14:paraId="73977CC7">
      <w:pPr>
        <w:pStyle w:val="14"/>
        <w:keepNext w:val="0"/>
        <w:keepLines w:val="0"/>
        <w:widowControl/>
        <w:suppressLineNumbers w:val="0"/>
        <w:spacing w:line="360" w:lineRule="auto"/>
        <w:ind w:left="720"/>
        <w:outlineLvl w:val="0"/>
        <w:rPr>
          <w:sz w:val="28"/>
          <w:szCs w:val="28"/>
        </w:rPr>
      </w:pPr>
      <w:bookmarkStart w:id="26" w:name="_Toc1684090212"/>
      <w:bookmarkStart w:id="27" w:name="_Toc813258434"/>
      <w:r>
        <w:rPr>
          <w:sz w:val="28"/>
          <w:szCs w:val="28"/>
        </w:rPr>
        <w:t>1.0 — clear criteria + mandatory reasoning</w:t>
      </w:r>
      <w:bookmarkEnd w:id="26"/>
      <w:bookmarkEnd w:id="27"/>
    </w:p>
    <w:p w14:paraId="096E9856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0.5 — partially defined criteria</w:t>
      </w:r>
    </w:p>
    <w:p w14:paraId="7584AB46">
      <w:pPr>
        <w:pStyle w:val="14"/>
        <w:keepNext w:val="0"/>
        <w:keepLines w:val="0"/>
        <w:widowControl/>
        <w:suppressLineNumbers w:val="0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0.0 — discretionary decisions</w:t>
      </w:r>
    </w:p>
    <w:p w14:paraId="236BDDD0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Example:</w:t>
      </w:r>
    </w:p>
    <w:p w14:paraId="1A49BAE7">
      <w:pPr>
        <w:keepNext w:val="0"/>
        <w:keepLines w:val="0"/>
        <w:widowControl/>
        <w:suppressLineNumbers w:val="0"/>
        <w:jc w:val="left"/>
      </w:pP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t xml:space="preserve">xN3=0.5x_{N3}=0.5xN3​=0.5 </w:t>
      </w:r>
    </w:p>
    <w:p w14:paraId="623E3B83">
      <w:pPr>
        <w:pStyle w:val="4"/>
        <w:keepNext w:val="0"/>
        <w:keepLines w:val="0"/>
        <w:widowControl/>
        <w:suppressLineNumbers w:val="0"/>
        <w:outlineLvl w:val="0"/>
        <w:rPr>
          <w:rFonts w:hint="default" w:ascii="Times New Roman Bold" w:hAnsi="Times New Roman Bold" w:cs="Times New Roman Bold"/>
          <w:b/>
          <w:bCs w:val="0"/>
        </w:rPr>
      </w:pPr>
      <w:r>
        <w:rPr>
          <w:rStyle w:val="15"/>
          <w:rFonts w:hint="default" w:ascii="Times New Roman Bold" w:hAnsi="Times New Roman Bold" w:cs="Times New Roman Bold"/>
          <w:b/>
          <w:bCs w:val="0"/>
        </w:rPr>
        <w:t>Normative Score</w:t>
      </w:r>
    </w:p>
    <w:p w14:paraId="043A5EE0">
      <w:pPr>
        <w:keepNext w:val="0"/>
        <w:keepLines w:val="0"/>
        <w:widowControl/>
        <w:suppressLineNumbers w:val="0"/>
        <w:jc w:val="left"/>
      </w:pP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t xml:space="preserve">SN=0.69S_N=0.69SN​=0.69 </w:t>
      </w:r>
    </w:p>
    <w:p w14:paraId="4EC097A6">
      <w:pPr>
        <w:keepNext w:val="0"/>
        <w:keepLines w:val="0"/>
        <w:widowControl/>
        <w:suppressLineNumbers w:val="0"/>
      </w:pPr>
    </w:p>
    <w:p w14:paraId="4EBDA5E1">
      <w:pPr>
        <w:pStyle w:val="3"/>
        <w:keepNext w:val="0"/>
        <w:keepLines w:val="0"/>
        <w:widowControl/>
        <w:suppressLineNumbers w:val="0"/>
        <w:rPr>
          <w:rFonts w:hint="default" w:ascii="Times New Roman Bold" w:hAnsi="Times New Roman Bold" w:cs="Times New Roman Bold"/>
          <w:b/>
          <w:bCs w:val="0"/>
        </w:rPr>
      </w:pPr>
      <w:r>
        <w:rPr>
          <w:rStyle w:val="15"/>
          <w:rFonts w:hint="default" w:ascii="Times New Roman Bold" w:hAnsi="Times New Roman Bold" w:cs="Times New Roman Bold"/>
          <w:b/>
          <w:bCs w:val="0"/>
        </w:rPr>
        <w:t>LAYER O — Operational</w:t>
      </w:r>
    </w:p>
    <w:p w14:paraId="3EE2D7F3">
      <w:pPr>
        <w:pStyle w:val="4"/>
        <w:keepNext w:val="0"/>
        <w:keepLines w:val="0"/>
        <w:widowControl/>
        <w:suppressLineNumbers w:val="0"/>
      </w:pPr>
      <w:r>
        <w:rPr>
          <w:rStyle w:val="15"/>
          <w:b/>
          <w:bCs/>
        </w:rPr>
        <w:t>O1) SOP implemented and used</w:t>
      </w:r>
    </w:p>
    <w:p w14:paraId="3201C57E">
      <w:pPr>
        <w:keepNext w:val="0"/>
        <w:keepLines w:val="0"/>
        <w:widowControl/>
        <w:suppressLineNumbers w:val="0"/>
        <w:jc w:val="left"/>
      </w:pP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t xml:space="preserve">xO1=0.65x_{O1}=0.65xO1​=0.65 </w:t>
      </w:r>
    </w:p>
    <w:p w14:paraId="7604D157">
      <w:pPr>
        <w:pStyle w:val="4"/>
        <w:keepNext w:val="0"/>
        <w:keepLines w:val="0"/>
        <w:widowControl/>
        <w:suppressLineNumbers w:val="0"/>
      </w:pPr>
      <w:r>
        <w:rPr>
          <w:rStyle w:val="15"/>
          <w:b/>
          <w:bCs/>
        </w:rPr>
        <w:t>O2) Oversight effectiveness</w:t>
      </w:r>
    </w:p>
    <w:p w14:paraId="0A99A54D">
      <w:pPr>
        <w:keepNext w:val="0"/>
        <w:keepLines w:val="0"/>
        <w:widowControl/>
        <w:suppressLineNumbers w:val="0"/>
        <w:jc w:val="left"/>
      </w:pP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t xml:space="preserve">xO2=0.7x_{O2}=0.7xO2​=0.7 </w:t>
      </w:r>
    </w:p>
    <w:p w14:paraId="7BDA7EB8">
      <w:pPr>
        <w:pStyle w:val="4"/>
        <w:keepNext w:val="0"/>
        <w:keepLines w:val="0"/>
        <w:widowControl/>
        <w:suppressLineNumbers w:val="0"/>
      </w:pPr>
      <w:r>
        <w:rPr>
          <w:rStyle w:val="15"/>
          <w:b/>
          <w:bCs/>
        </w:rPr>
        <w:t>O3) Remedies / appeals in practice</w:t>
      </w:r>
    </w:p>
    <w:p w14:paraId="12E6E138">
      <w:pPr>
        <w:keepNext w:val="0"/>
        <w:keepLines w:val="0"/>
        <w:widowControl/>
        <w:suppressLineNumbers w:val="0"/>
        <w:jc w:val="left"/>
      </w:pP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t xml:space="preserve">xO3=0.55x_{O3}=0.55xO3​=0.55 SO=0.64S_O=0.64SO​=0.64 </w:t>
      </w:r>
    </w:p>
    <w:p w14:paraId="212F2108">
      <w:pPr>
        <w:keepNext w:val="0"/>
        <w:keepLines w:val="0"/>
        <w:widowControl/>
        <w:suppressLineNumbers w:val="0"/>
      </w:pPr>
    </w:p>
    <w:p w14:paraId="756CAAA6">
      <w:pPr>
        <w:pStyle w:val="3"/>
        <w:keepNext w:val="0"/>
        <w:keepLines w:val="0"/>
        <w:widowControl/>
        <w:suppressLineNumbers w:val="0"/>
        <w:rPr>
          <w:rFonts w:hint="default" w:ascii="Times New Roman Bold" w:hAnsi="Times New Roman Bold" w:cs="Times New Roman Bold"/>
          <w:b/>
          <w:bCs w:val="0"/>
        </w:rPr>
      </w:pPr>
      <w:r>
        <w:rPr>
          <w:rStyle w:val="15"/>
          <w:rFonts w:hint="default" w:ascii="Times New Roman Bold" w:hAnsi="Times New Roman Bold" w:cs="Times New Roman Bold"/>
          <w:b/>
          <w:bCs w:val="0"/>
        </w:rPr>
        <w:t>LAYER C — Computational</w:t>
      </w:r>
    </w:p>
    <w:p w14:paraId="28F72C48">
      <w:pPr>
        <w:keepNext w:val="0"/>
        <w:keepLines w:val="0"/>
        <w:widowControl/>
        <w:suppressLineNumbers w:val="0"/>
        <w:jc w:val="left"/>
      </w:pP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t xml:space="preserve">SC=0.63S_C=0.63SC​=0.63 </w:t>
      </w:r>
    </w:p>
    <w:p w14:paraId="6096EE59">
      <w:pPr>
        <w:keepNext w:val="0"/>
        <w:keepLines w:val="0"/>
        <w:widowControl/>
        <w:suppressLineNumbers w:val="0"/>
      </w:pPr>
    </w:p>
    <w:p w14:paraId="33DBAEB0">
      <w:pPr>
        <w:pStyle w:val="3"/>
        <w:keepNext w:val="0"/>
        <w:keepLines w:val="0"/>
        <w:widowControl/>
        <w:suppressLineNumbers w:val="0"/>
        <w:rPr>
          <w:rFonts w:hint="default" w:ascii="Times New Roman Bold" w:hAnsi="Times New Roman Bold" w:cs="Times New Roman Bold"/>
          <w:b/>
          <w:bCs w:val="0"/>
        </w:rPr>
      </w:pPr>
      <w:r>
        <w:rPr>
          <w:rStyle w:val="15"/>
          <w:rFonts w:hint="default" w:ascii="Times New Roman Bold" w:hAnsi="Times New Roman Bold" w:cs="Times New Roman Bold"/>
          <w:b/>
          <w:bCs w:val="0"/>
        </w:rPr>
        <w:t>LAYER F — Feedback</w:t>
      </w:r>
    </w:p>
    <w:p w14:paraId="5A8C4312">
      <w:pPr>
        <w:keepNext w:val="0"/>
        <w:keepLines w:val="0"/>
        <w:widowControl/>
        <w:suppressLineNumbers w:val="0"/>
        <w:jc w:val="left"/>
      </w:pP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t xml:space="preserve">SF=0.575S_F=0.575SF​=0.575 </w:t>
      </w:r>
    </w:p>
    <w:p w14:paraId="5AEC1962">
      <w:pPr>
        <w:keepNext w:val="0"/>
        <w:keepLines w:val="0"/>
        <w:widowControl/>
        <w:suppressLineNumbers w:val="0"/>
      </w:pPr>
    </w:p>
    <w:p w14:paraId="605A52DE">
      <w:pPr>
        <w:pStyle w:val="3"/>
        <w:keepNext w:val="0"/>
        <w:keepLines w:val="0"/>
        <w:widowControl/>
        <w:suppressLineNumbers w:val="0"/>
        <w:rPr>
          <w:rFonts w:hint="default" w:ascii="Times New Roman Bold" w:hAnsi="Times New Roman Bold" w:cs="Times New Roman Bold"/>
          <w:b/>
          <w:bCs w:val="0"/>
        </w:rPr>
      </w:pPr>
      <w:r>
        <w:rPr>
          <w:rStyle w:val="15"/>
          <w:rFonts w:hint="default" w:ascii="Times New Roman Bold" w:hAnsi="Times New Roman Bold" w:cs="Times New Roman Bold"/>
          <w:b/>
          <w:bCs w:val="0"/>
        </w:rPr>
        <w:t>Overall KRA</w:t>
      </w:r>
      <w:r>
        <w:rPr>
          <w:rStyle w:val="15"/>
          <w:rFonts w:hint="default" w:ascii="Times New Roman Bold" w:hAnsi="Times New Roman Bold" w:cs="Times New Roman Bold"/>
          <w:b/>
          <w:bCs w:val="0"/>
          <w:lang w:val="en-US"/>
        </w:rPr>
        <w:t>G</w:t>
      </w:r>
      <w:r>
        <w:rPr>
          <w:rStyle w:val="15"/>
          <w:rFonts w:hint="default" w:ascii="Times New Roman Bold" w:hAnsi="Times New Roman Bold" w:cs="Times New Roman Bold"/>
          <w:b/>
          <w:bCs w:val="0"/>
        </w:rPr>
        <w:t>H KPI (Anti-corruption)</w:t>
      </w:r>
    </w:p>
    <w:p w14:paraId="3B7E71A2">
      <w:pPr>
        <w:keepNext w:val="0"/>
        <w:keepLines w:val="0"/>
        <w:widowControl/>
        <w:suppressLineNumbers w:val="0"/>
        <w:spacing w:line="360" w:lineRule="auto"/>
        <w:jc w:val="left"/>
        <w:rPr>
          <w:sz w:val="28"/>
          <w:szCs w:val="28"/>
        </w:rPr>
      </w:pPr>
      <w:r>
        <w:rPr>
          <w:rFonts w:ascii="SimSun" w:hAnsi="SimSun" w:eastAsia="SimSun" w:cs="SimSun"/>
          <w:kern w:val="0"/>
          <w:sz w:val="28"/>
          <w:szCs w:val="28"/>
          <w:lang w:val="en-US" w:eastAsia="zh-CN" w:bidi="ar"/>
        </w:rPr>
        <w:t xml:space="preserve">KPI≈0.63KPI\approx0.63KPI≈0.63 </w:t>
      </w:r>
    </w:p>
    <w:p w14:paraId="739026A6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Interpretation: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The anti-corruption authority demonstrates a moderate level of normative and operational maturity; however, limited digital traceability and insufficient rollback readiness significantly reduce institutional resilience.</w:t>
      </w:r>
    </w:p>
    <w:p w14:paraId="38555A57">
      <w:pPr>
        <w:pStyle w:val="3"/>
        <w:keepNext w:val="0"/>
        <w:keepLines w:val="0"/>
        <w:widowControl/>
        <w:suppressLineNumbers w:val="0"/>
        <w:rPr>
          <w:rFonts w:hint="default" w:ascii="Times New Roman Bold" w:hAnsi="Times New Roman Bold" w:cs="Times New Roman Bold"/>
          <w:b/>
          <w:bCs w:val="0"/>
        </w:rPr>
      </w:pPr>
      <w:r>
        <w:rPr>
          <w:rFonts w:hint="default" w:ascii="Times New Roman Bold" w:hAnsi="Times New Roman Bold" w:cs="Times New Roman Bold"/>
          <w:b/>
          <w:bCs w:val="0"/>
        </w:rPr>
        <w:t>Next step</w:t>
      </w:r>
    </w:p>
    <w:p w14:paraId="38BC1825">
      <w:pPr>
        <w:pStyle w:val="14"/>
        <w:keepNext w:val="0"/>
        <w:keepLines w:val="0"/>
        <w:widowControl/>
        <w:suppressLineNumbers w:val="0"/>
        <w:rPr>
          <w:sz w:val="28"/>
          <w:szCs w:val="28"/>
        </w:rPr>
      </w:pPr>
      <w:r>
        <w:rPr>
          <w:sz w:val="28"/>
          <w:szCs w:val="28"/>
        </w:rPr>
        <w:t xml:space="preserve">The next analytical step is the calculation of </w:t>
      </w:r>
      <w:r>
        <w:rPr>
          <w:rStyle w:val="15"/>
          <w:sz w:val="28"/>
          <w:szCs w:val="28"/>
        </w:rPr>
        <w:t>KRP (Rollback Risk)</w:t>
      </w:r>
      <w:r>
        <w:rPr>
          <w:sz w:val="28"/>
          <w:szCs w:val="28"/>
        </w:rPr>
        <w:t xml:space="preserve"> for this authority:</w:t>
      </w:r>
    </w:p>
    <w:p w14:paraId="2E15C9A4">
      <w:pPr>
        <w:pStyle w:val="14"/>
        <w:keepNext w:val="0"/>
        <w:keepLines w:val="0"/>
        <w:widowControl/>
        <w:suppressLineNumbers w:val="0"/>
        <w:ind w:left="720"/>
        <w:rPr>
          <w:sz w:val="28"/>
          <w:szCs w:val="28"/>
        </w:rPr>
      </w:pPr>
      <w:r>
        <w:rPr>
          <w:sz w:val="28"/>
          <w:szCs w:val="28"/>
        </w:rPr>
        <w:t>derived from Gu=1−KPI(p)G_u=1-KPI^{(p)}Gu=1−KPI(p),</w:t>
      </w:r>
    </w:p>
    <w:p w14:paraId="0277795B">
      <w:pPr>
        <w:pStyle w:val="14"/>
        <w:keepNext w:val="0"/>
        <w:keepLines w:val="0"/>
        <w:widowControl/>
        <w:suppressLineNumbers w:val="0"/>
        <w:ind w:left="720"/>
        <w:rPr>
          <w:sz w:val="28"/>
          <w:szCs w:val="28"/>
        </w:rPr>
      </w:pPr>
      <w:r>
        <w:rPr>
          <w:sz w:val="28"/>
          <w:szCs w:val="28"/>
        </w:rPr>
        <w:t>amplified by weak feedback mechanisms,</w:t>
      </w:r>
    </w:p>
    <w:p w14:paraId="386B8569">
      <w:pPr>
        <w:pStyle w:val="14"/>
        <w:keepNext w:val="0"/>
        <w:keepLines w:val="0"/>
        <w:widowControl/>
        <w:suppressLineNumbers w:val="0"/>
        <w:ind w:left="720"/>
        <w:rPr>
          <w:sz w:val="28"/>
          <w:szCs w:val="28"/>
        </w:rPr>
      </w:pPr>
      <w:r>
        <w:rPr>
          <w:sz w:val="28"/>
          <w:szCs w:val="28"/>
        </w:rPr>
        <w:t>resulting in a high probability of forced decision rollback.</w:t>
      </w:r>
    </w:p>
    <w:p w14:paraId="06D12799"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 w14:paraId="53EC5D33"/>
    <w:p w14:paraId="0B5302A8"/>
    <w:p w14:paraId="5931C956"/>
    <w:p w14:paraId="71025293"/>
    <w:p w14:paraId="3528392E"/>
    <w:p w14:paraId="2442A46F"/>
    <w:p w14:paraId="5E64BB9C"/>
    <w:p w14:paraId="2F1D5AA2"/>
    <w:p w14:paraId="431945AF"/>
    <w:p w14:paraId="493521D5"/>
    <w:p w14:paraId="66C47CCF"/>
    <w:p w14:paraId="4F726C67"/>
    <w:p w14:paraId="0B9894EB"/>
    <w:p w14:paraId="40385145"/>
    <w:p w14:paraId="4AD65A13"/>
    <w:p w14:paraId="6C7A927B"/>
    <w:p w14:paraId="3769634E"/>
    <w:p w14:paraId="3D62A5A6"/>
    <w:p w14:paraId="61D7E639">
      <w:pPr>
        <w:pStyle w:val="2"/>
        <w:bidi w:val="0"/>
        <w:jc w:val="center"/>
        <w:rPr>
          <w:rFonts w:hint="default" w:ascii="Times New Roman Bold" w:hAnsi="Times New Roman Bold" w:cs="Times New Roman Bold"/>
          <w:b/>
          <w:bCs w:val="0"/>
        </w:rPr>
      </w:pPr>
      <w:bookmarkStart w:id="28" w:name="_Toc669725624"/>
      <w:bookmarkStart w:id="29" w:name="_Toc1848570730"/>
      <w:r>
        <w:rPr>
          <w:rFonts w:hint="default" w:ascii="Times New Roman Bold" w:hAnsi="Times New Roman Bold" w:cs="Times New Roman Bold"/>
          <w:b/>
          <w:bCs w:val="0"/>
        </w:rPr>
        <w:t>KRA</w:t>
      </w:r>
      <w:r>
        <w:rPr>
          <w:rFonts w:hint="default" w:ascii="Times New Roman Bold" w:hAnsi="Times New Roman Bold" w:cs="Times New Roman Bold"/>
          <w:b/>
          <w:bCs w:val="0"/>
          <w:lang w:val="en-US"/>
        </w:rPr>
        <w:t>G</w:t>
      </w:r>
      <w:r>
        <w:rPr>
          <w:rFonts w:hint="default" w:ascii="Times New Roman Bold" w:hAnsi="Times New Roman Bold" w:cs="Times New Roman Bold"/>
          <w:b/>
          <w:bCs w:val="0"/>
        </w:rPr>
        <w:t>H KPI for the Judicial System</w:t>
      </w:r>
      <w:bookmarkEnd w:id="28"/>
      <w:bookmarkEnd w:id="29"/>
    </w:p>
    <w:p w14:paraId="775D397F">
      <w:pPr>
        <w:pStyle w:val="2"/>
        <w:bidi w:val="0"/>
        <w:jc w:val="center"/>
        <w:rPr>
          <w:rFonts w:hint="default" w:ascii="Times New Roman Bold" w:hAnsi="Times New Roman Bold" w:cs="Times New Roman Bold"/>
          <w:b/>
          <w:bCs w:val="0"/>
        </w:rPr>
      </w:pPr>
      <w:bookmarkStart w:id="30" w:name="_Toc1116768641"/>
      <w:bookmarkStart w:id="31" w:name="_Toc1282337961"/>
      <w:r>
        <w:rPr>
          <w:rFonts w:hint="default" w:ascii="Times New Roman Bold" w:hAnsi="Times New Roman Bold" w:cs="Times New Roman Bold"/>
          <w:b/>
          <w:bCs w:val="0"/>
        </w:rPr>
        <w:t>(Master-level, fully self-contained Methodology / Case Study block: Courts)</w:t>
      </w:r>
      <w:bookmarkEnd w:id="30"/>
      <w:bookmarkEnd w:id="31"/>
    </w:p>
    <w:p w14:paraId="40C98702">
      <w:pPr>
        <w:pStyle w:val="2"/>
        <w:bidi w:val="0"/>
        <w:jc w:val="center"/>
        <w:rPr>
          <w:rFonts w:hint="default" w:ascii="Times New Roman Bold" w:hAnsi="Times New Roman Bold" w:cs="Times New Roman Bold"/>
          <w:b/>
          <w:bCs w:val="0"/>
        </w:rPr>
      </w:pPr>
      <w:bookmarkStart w:id="32" w:name="_Toc523474507"/>
      <w:bookmarkStart w:id="33" w:name="_Toc108229235"/>
      <w:r>
        <w:rPr>
          <w:rFonts w:hint="default" w:ascii="Times New Roman Bold" w:hAnsi="Times New Roman Bold" w:cs="Times New Roman Bold"/>
          <w:b/>
          <w:bCs w:val="0"/>
        </w:rPr>
        <w:t>KRA</w:t>
      </w:r>
      <w:r>
        <w:rPr>
          <w:rFonts w:hint="default" w:ascii="Times New Roman Bold" w:hAnsi="Times New Roman Bold" w:cs="Times New Roman Bold"/>
          <w:b/>
          <w:bCs w:val="0"/>
          <w:lang w:val="en-US"/>
        </w:rPr>
        <w:t>G</w:t>
      </w:r>
      <w:r>
        <w:rPr>
          <w:rFonts w:hint="default" w:ascii="Times New Roman Bold" w:hAnsi="Times New Roman Bold" w:cs="Times New Roman Bold"/>
          <w:b/>
          <w:bCs w:val="0"/>
        </w:rPr>
        <w:t>H KPI — Judicial System</w:t>
      </w:r>
      <w:bookmarkEnd w:id="32"/>
      <w:bookmarkEnd w:id="33"/>
    </w:p>
    <w:p w14:paraId="549DE304">
      <w:pPr>
        <w:pStyle w:val="14"/>
        <w:keepNext w:val="0"/>
        <w:keepLines w:val="0"/>
        <w:widowControl/>
        <w:suppressLineNumbers w:val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9"/>
          <w:rFonts w:hint="default" w:ascii="Times New Roman Regular" w:hAnsi="Times New Roman Regular" w:cs="Times New Roman Regular"/>
          <w:sz w:val="28"/>
          <w:szCs w:val="28"/>
        </w:rPr>
        <w:t>(Rule of Law, judicial integrity, rollback sensitivity)</w:t>
      </w:r>
    </w:p>
    <w:p w14:paraId="308C4E56">
      <w:pPr>
        <w:pStyle w:val="4"/>
        <w:keepNext w:val="0"/>
        <w:keepLines w:val="0"/>
        <w:widowControl/>
        <w:suppressLineNumbers w:val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Unit of analysis (u)</w:t>
      </w:r>
    </w:p>
    <w:p w14:paraId="6D7E8355">
      <w:pPr>
        <w:pStyle w:val="14"/>
        <w:keepNext w:val="0"/>
        <w:keepLines w:val="0"/>
        <w:widowControl/>
        <w:suppressLineNumbers w:val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u = Judicial System / Court Instance</w:t>
      </w:r>
    </w:p>
    <w:p w14:paraId="18939B86">
      <w:pPr>
        <w:pStyle w:val="4"/>
        <w:keepNext w:val="0"/>
        <w:keepLines w:val="0"/>
        <w:widowControl/>
        <w:suppressLineNumbers w:val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Functions:</w:t>
      </w:r>
    </w:p>
    <w:p w14:paraId="4CB2F627">
      <w:pPr>
        <w:pStyle w:val="14"/>
        <w:keepNext w:val="0"/>
        <w:keepLines w:val="0"/>
        <w:widowControl/>
        <w:numPr>
          <w:ilvl w:val="0"/>
          <w:numId w:val="7"/>
        </w:numPr>
        <w:suppressLineNumbers w:val="0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dispute resolution,</w:t>
      </w:r>
    </w:p>
    <w:p w14:paraId="24CF3D56">
      <w:pPr>
        <w:pStyle w:val="14"/>
        <w:keepNext w:val="0"/>
        <w:keepLines w:val="0"/>
        <w:widowControl/>
        <w:numPr>
          <w:ilvl w:val="0"/>
          <w:numId w:val="7"/>
        </w:numPr>
        <w:suppressLineNumbers w:val="0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protection of rights,</w:t>
      </w:r>
    </w:p>
    <w:p w14:paraId="22E118C6">
      <w:pPr>
        <w:pStyle w:val="14"/>
        <w:keepNext w:val="0"/>
        <w:keepLines w:val="0"/>
        <w:widowControl/>
        <w:numPr>
          <w:ilvl w:val="0"/>
          <w:numId w:val="7"/>
        </w:numPr>
        <w:suppressLineNumbers w:val="0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formation of legal certainty,</w:t>
      </w:r>
    </w:p>
    <w:p w14:paraId="2A74C2AE">
      <w:pPr>
        <w:pStyle w:val="14"/>
        <w:keepNext w:val="0"/>
        <w:keepLines w:val="0"/>
        <w:widowControl/>
        <w:numPr>
          <w:ilvl w:val="0"/>
          <w:numId w:val="7"/>
        </w:numPr>
        <w:suppressLineNumbers w:val="0"/>
        <w:ind w:left="420" w:leftChars="0" w:hanging="420" w:firstLineChars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review of legality of decisions of other authorities (including anti-corruption bodies).</w:t>
      </w:r>
    </w:p>
    <w:p w14:paraId="17E5D3CA">
      <w:pPr>
        <w:pStyle w:val="4"/>
        <w:keepNext w:val="0"/>
        <w:keepLines w:val="0"/>
        <w:widowControl/>
        <w:suppressLineNumbers w:val="0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Core premise</w:t>
      </w:r>
    </w:p>
    <w:p w14:paraId="62B63F41">
      <w:pPr>
        <w:pStyle w:val="14"/>
        <w:keepNext w:val="0"/>
        <w:keepLines w:val="0"/>
        <w:widowControl/>
        <w:suppressLineNumbers w:val="0"/>
        <w:ind w:left="720" w:right="720"/>
        <w:rPr>
          <w:rStyle w:val="9"/>
          <w:rFonts w:hint="eastAsia" w:ascii="SimSun" w:hAnsi="SimSun" w:eastAsia="SimSun" w:cs="SimSun"/>
          <w:sz w:val="28"/>
          <w:szCs w:val="28"/>
        </w:rPr>
      </w:pPr>
      <w:r>
        <w:rPr>
          <w:rStyle w:val="9"/>
          <w:rFonts w:hint="eastAsia" w:ascii="SimSun" w:hAnsi="SimSun" w:eastAsia="SimSun" w:cs="SimSun"/>
          <w:sz w:val="28"/>
          <w:szCs w:val="28"/>
        </w:rPr>
        <w:t>In courts, rollback is legitimate when exceptional — and destructive when systemic.</w:t>
      </w:r>
    </w:p>
    <w:p w14:paraId="45847452">
      <w:pPr>
        <w:pStyle w:val="3"/>
        <w:keepNext w:val="0"/>
        <w:keepLines w:val="0"/>
        <w:widowControl/>
        <w:suppressLineNumbers w:val="0"/>
        <w:spacing w:line="360" w:lineRule="auto"/>
        <w:jc w:val="center"/>
        <w:outlineLvl w:val="9"/>
        <w:rPr>
          <w:rStyle w:val="15"/>
          <w:rFonts w:hint="default" w:ascii="Times New Roman Bold" w:hAnsi="Times New Roman Bold" w:cs="Times New Roman Bold"/>
          <w:b/>
          <w:bCs w:val="0"/>
        </w:rPr>
      </w:pPr>
    </w:p>
    <w:p w14:paraId="59E40413">
      <w:pPr>
        <w:pStyle w:val="3"/>
        <w:keepNext w:val="0"/>
        <w:keepLines w:val="0"/>
        <w:widowControl/>
        <w:suppressLineNumbers w:val="0"/>
        <w:spacing w:line="360" w:lineRule="auto"/>
        <w:jc w:val="center"/>
        <w:outlineLvl w:val="9"/>
        <w:rPr>
          <w:rStyle w:val="15"/>
          <w:rFonts w:hint="default" w:ascii="Times New Roman Bold" w:hAnsi="Times New Roman Bold" w:cs="Times New Roman Bold"/>
          <w:b/>
          <w:bCs w:val="0"/>
        </w:rPr>
      </w:pPr>
    </w:p>
    <w:p w14:paraId="220200D3">
      <w:pPr>
        <w:pStyle w:val="3"/>
        <w:keepNext w:val="0"/>
        <w:keepLines w:val="0"/>
        <w:widowControl/>
        <w:suppressLineNumbers w:val="0"/>
        <w:spacing w:line="360" w:lineRule="auto"/>
        <w:jc w:val="center"/>
        <w:outlineLvl w:val="9"/>
        <w:rPr>
          <w:rStyle w:val="15"/>
          <w:rFonts w:hint="default" w:ascii="Times New Roman Bold" w:hAnsi="Times New Roman Bold" w:cs="Times New Roman Bold"/>
          <w:b/>
          <w:bCs w:val="0"/>
        </w:rPr>
      </w:pPr>
    </w:p>
    <w:p w14:paraId="211C60D8">
      <w:pPr>
        <w:pStyle w:val="3"/>
        <w:keepNext w:val="0"/>
        <w:keepLines w:val="0"/>
        <w:widowControl/>
        <w:suppressLineNumbers w:val="0"/>
        <w:spacing w:line="360" w:lineRule="auto"/>
        <w:jc w:val="center"/>
        <w:outlineLvl w:val="9"/>
        <w:rPr>
          <w:rStyle w:val="15"/>
          <w:rFonts w:hint="default" w:ascii="Times New Roman Bold" w:hAnsi="Times New Roman Bold" w:cs="Times New Roman Bold"/>
          <w:b/>
          <w:bCs w:val="0"/>
        </w:rPr>
      </w:pPr>
    </w:p>
    <w:p w14:paraId="54BB1E13">
      <w:pPr>
        <w:rPr>
          <w:rStyle w:val="15"/>
          <w:rFonts w:hint="default" w:ascii="Times New Roman Bold" w:hAnsi="Times New Roman Bold" w:cs="Times New Roman Bold"/>
          <w:b/>
          <w:bCs w:val="0"/>
        </w:rPr>
      </w:pPr>
    </w:p>
    <w:p w14:paraId="5CD1D892">
      <w:pPr>
        <w:rPr>
          <w:rStyle w:val="15"/>
          <w:rFonts w:hint="default" w:ascii="Times New Roman Bold" w:hAnsi="Times New Roman Bold" w:cs="Times New Roman Bold"/>
          <w:b/>
          <w:bCs w:val="0"/>
        </w:rPr>
      </w:pPr>
    </w:p>
    <w:p w14:paraId="6CE07AC8">
      <w:pPr>
        <w:rPr>
          <w:rStyle w:val="15"/>
          <w:rFonts w:hint="default" w:ascii="Times New Roman Bold" w:hAnsi="Times New Roman Bold" w:cs="Times New Roman Bold"/>
          <w:b/>
          <w:bCs w:val="0"/>
        </w:rPr>
      </w:pPr>
    </w:p>
    <w:p w14:paraId="2966B141">
      <w:pPr>
        <w:pStyle w:val="2"/>
        <w:bidi w:val="0"/>
        <w:jc w:val="center"/>
        <w:rPr>
          <w:rFonts w:hint="default" w:ascii="Times New Roman Bold" w:hAnsi="Times New Roman Bold" w:cs="Times New Roman Bold"/>
          <w:b/>
          <w:bCs w:val="0"/>
          <w:sz w:val="36"/>
          <w:szCs w:val="36"/>
        </w:rPr>
      </w:pPr>
      <w:bookmarkStart w:id="34" w:name="_Toc1943021037"/>
      <w:bookmarkStart w:id="35" w:name="_Toc90103636"/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KRA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  <w:lang w:val="en-US"/>
        </w:rPr>
        <w:t>G</w:t>
      </w:r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H KRP —</w:t>
      </w:r>
      <w:bookmarkEnd w:id="34"/>
      <w:bookmarkEnd w:id="35"/>
    </w:p>
    <w:p w14:paraId="3D12F3E0">
      <w:pPr>
        <w:pStyle w:val="2"/>
        <w:bidi w:val="0"/>
        <w:jc w:val="center"/>
        <w:rPr>
          <w:rFonts w:hint="default" w:ascii="Times New Roman Bold" w:hAnsi="Times New Roman Bold" w:cs="Times New Roman Bold"/>
          <w:b/>
          <w:bCs w:val="0"/>
          <w:sz w:val="36"/>
          <w:szCs w:val="36"/>
        </w:rPr>
      </w:pPr>
      <w:bookmarkStart w:id="36" w:name="_Toc1718232577"/>
      <w:bookmarkStart w:id="37" w:name="_Toc395839117"/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Rollback Risk для судової системи</w:t>
      </w:r>
      <w:bookmarkEnd w:id="36"/>
      <w:bookmarkEnd w:id="37"/>
    </w:p>
    <w:p w14:paraId="576B6058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 Bold" w:hAnsi="Times New Roman Bold"/>
          <w:b/>
          <w:bCs w:val="0"/>
          <w:sz w:val="28"/>
          <w:szCs w:val="28"/>
        </w:rPr>
      </w:pPr>
      <w:r>
        <w:rPr>
          <w:rFonts w:hint="default" w:ascii="Times New Roman Bold" w:hAnsi="Times New Roman Bold" w:cs="Times New Roman Bold"/>
          <w:b/>
          <w:bCs/>
          <w:sz w:val="28"/>
          <w:szCs w:val="28"/>
        </w:rPr>
        <w:t>1</w:t>
      </w:r>
      <w:r>
        <w:rPr>
          <w:rFonts w:hint="default" w:ascii="Times New Roman Bold" w:hAnsi="Times New Roman Bold" w:cs="Times New Roman Bold"/>
          <w:b/>
          <w:bCs/>
          <w:sz w:val="28"/>
          <w:szCs w:val="28"/>
          <w:lang w:val="en-US"/>
        </w:rPr>
        <w:t>.</w:t>
      </w:r>
      <w:r>
        <w:rPr>
          <w:rFonts w:hint="default" w:ascii="Times New Roman Bold" w:hAnsi="Times New Roman Bold" w:cs="Times New Roman Bold"/>
          <w:b/>
          <w:bCs/>
          <w:sz w:val="28"/>
          <w:szCs w:val="28"/>
        </w:rPr>
        <w:t>️ Starting position</w:t>
      </w:r>
    </w:p>
    <w:p w14:paraId="74F3BC89">
      <w:pPr>
        <w:keepNext w:val="0"/>
        <w:keepLines w:val="0"/>
        <w:widowControl/>
        <w:suppressLineNumbers w:val="0"/>
        <w:spacing w:line="360" w:lineRule="auto"/>
        <w:jc w:val="left"/>
        <w:rPr>
          <w:sz w:val="28"/>
          <w:szCs w:val="28"/>
        </w:rPr>
      </w:pPr>
      <w:r>
        <w:rPr>
          <w:rFonts w:ascii="SimSun" w:hAnsi="SimSun" w:eastAsia="SimSun" w:cs="SimSun"/>
          <w:kern w:val="0"/>
          <w:sz w:val="28"/>
          <w:szCs w:val="28"/>
          <w:lang w:val="en-US" w:eastAsia="zh-CN" w:bidi="ar"/>
        </w:rPr>
        <w:t xml:space="preserve">SN=0.69,SO=0.63,SC=0.60,SF=0.54S_N=0.69,\quad S_O=0.63,\quad S_C=0.60,\quad S_F=0.54SN​=0.69,SO​=0.63,SC​=0.60,SF​=0.54 KPIcourts≈0.61KPI_{courts}\approx0.61KPIcourts​≈0.61 KPIcourts(0.5)≈0.60KPI^{(0.5)}_{courts}\approx0.60KPIcourts(0.5)​≈0.60 Gcourts=1−0.60=0.40G_{courts}=1-0.60=0.40Gcourts​=1−0.60=0.40 </w:t>
      </w:r>
    </w:p>
    <w:p w14:paraId="3B02D1EA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Bold" w:hAnsi="Times New Roman Bold" w:cs="Times New Roman Bold"/>
          <w:b/>
          <w:bCs w:val="0"/>
          <w:sz w:val="28"/>
          <w:szCs w:val="28"/>
        </w:rPr>
      </w:pPr>
      <w:r>
        <w:rPr>
          <w:rFonts w:hint="default" w:ascii="Times New Roman Bold" w:hAnsi="Times New Roman Bold" w:cs="Times New Roman Bold"/>
          <w:b/>
          <w:bCs w:val="0"/>
          <w:sz w:val="28"/>
          <w:szCs w:val="28"/>
        </w:rPr>
        <w:t>2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  <w:lang w:val="en-US"/>
        </w:rPr>
        <w:t>.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</w:rPr>
        <w:t>️</w:t>
      </w:r>
      <w:r>
        <w:rPr>
          <w:rFonts w:hint="default" w:ascii="Times New Roman Bold" w:hAnsi="Times New Roman Bold"/>
          <w:b/>
          <w:bCs w:val="0"/>
          <w:sz w:val="28"/>
          <w:szCs w:val="28"/>
        </w:rPr>
        <w:t>Components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</w:rPr>
        <w:t xml:space="preserve"> Rollback Risk</w:t>
      </w:r>
    </w:p>
    <w:p w14:paraId="6EF7BFA9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Exposure:</w:t>
      </w:r>
    </w:p>
    <w:p w14:paraId="5E1A6144">
      <w:pPr>
        <w:keepNext w:val="0"/>
        <w:keepLines w:val="0"/>
        <w:widowControl/>
        <w:suppressLineNumbers w:val="0"/>
        <w:spacing w:line="360" w:lineRule="auto"/>
        <w:jc w:val="left"/>
        <w:rPr>
          <w:sz w:val="28"/>
          <w:szCs w:val="28"/>
        </w:rPr>
      </w:pPr>
      <w:r>
        <w:rPr>
          <w:rFonts w:ascii="SimSun" w:hAnsi="SimSun" w:eastAsia="SimSun" w:cs="SimSun"/>
          <w:kern w:val="0"/>
          <w:sz w:val="28"/>
          <w:szCs w:val="28"/>
          <w:lang w:val="en-US" w:eastAsia="zh-CN" w:bidi="ar"/>
        </w:rPr>
        <w:t xml:space="preserve">Ecourts=0.95E_{courts}=0.95Ecourts​=0.95 </w:t>
      </w:r>
    </w:p>
    <w:p w14:paraId="53C8B663">
      <w:pPr>
        <w:pStyle w:val="14"/>
        <w:keepNext w:val="0"/>
        <w:keepLines w:val="0"/>
        <w:widowControl/>
        <w:suppressLineNumbers w:val="0"/>
        <w:spacing w:line="360" w:lineRule="auto"/>
        <w:rPr>
          <w:sz w:val="28"/>
          <w:szCs w:val="28"/>
        </w:rPr>
      </w:pPr>
      <w:r>
        <w:rPr>
          <w:rStyle w:val="15"/>
          <w:sz w:val="28"/>
          <w:szCs w:val="28"/>
        </w:rPr>
        <w:t>Fragility:</w:t>
      </w:r>
    </w:p>
    <w:p w14:paraId="642B8490">
      <w:pPr>
        <w:keepNext w:val="0"/>
        <w:keepLines w:val="0"/>
        <w:widowControl/>
        <w:suppressLineNumbers w:val="0"/>
        <w:spacing w:line="360" w:lineRule="auto"/>
        <w:jc w:val="left"/>
        <w:rPr>
          <w:sz w:val="28"/>
          <w:szCs w:val="28"/>
        </w:rPr>
      </w:pPr>
      <w:r>
        <w:rPr>
          <w:rFonts w:ascii="SimSun" w:hAnsi="SimSun" w:eastAsia="SimSun" w:cs="SimSun"/>
          <w:kern w:val="0"/>
          <w:sz w:val="28"/>
          <w:szCs w:val="28"/>
          <w:lang w:val="en-US" w:eastAsia="zh-CN" w:bidi="ar"/>
        </w:rPr>
        <w:t xml:space="preserve">Fr=1−0.60+0.542=0.43F_r=1-\frac{0.60+0.54}{2}=0.43Fr​=1−20.60+0.54​=0.43 </w:t>
      </w:r>
    </w:p>
    <w:p w14:paraId="652964CF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Bold" w:hAnsi="Times New Roman Bold" w:cs="Times New Roman Bold"/>
          <w:b/>
          <w:bCs w:val="0"/>
          <w:sz w:val="28"/>
          <w:szCs w:val="28"/>
        </w:rPr>
      </w:pPr>
      <w:r>
        <w:rPr>
          <w:rFonts w:hint="default" w:ascii="Times New Roman Bold" w:hAnsi="Times New Roman Bold" w:cs="Times New Roman Bold"/>
          <w:b/>
          <w:bCs w:val="0"/>
          <w:sz w:val="28"/>
          <w:szCs w:val="28"/>
        </w:rPr>
        <w:t>3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  <w:lang w:val="en-US"/>
        </w:rPr>
        <w:t>.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</w:rPr>
        <w:t xml:space="preserve">️ 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  <w:lang w:val="en-US"/>
        </w:rPr>
        <w:t xml:space="preserve">FORMULA 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</w:rPr>
        <w:t xml:space="preserve"> KRP</w:t>
      </w:r>
    </w:p>
    <w:p w14:paraId="1A1EE1A6">
      <w:pPr>
        <w:keepNext w:val="0"/>
        <w:keepLines w:val="0"/>
        <w:widowControl/>
        <w:suppressLineNumbers w:val="0"/>
        <w:spacing w:line="360" w:lineRule="auto"/>
        <w:jc w:val="left"/>
        <w:rPr>
          <w:sz w:val="28"/>
          <w:szCs w:val="28"/>
        </w:rPr>
      </w:pPr>
      <w:r>
        <w:rPr>
          <w:rFonts w:ascii="SimSun" w:hAnsi="SimSun" w:eastAsia="SimSun" w:cs="SimSun"/>
          <w:kern w:val="0"/>
          <w:sz w:val="28"/>
          <w:szCs w:val="28"/>
          <w:lang w:val="en-US" w:eastAsia="zh-CN" w:bidi="ar"/>
        </w:rPr>
        <w:t xml:space="preserve">Rcourts=0.40⋅0.95⋅0.43≈0.163R_{courts}=0.40\cdot0.95\cdot0.43\approx0.163Rcourts​=0.40⋅0.95⋅0.43≈0.163 Prollbackcourts=11+e−(6⋅0.163−1)≈0.49P_{rollback}^{courts}=\frac{1}{1+e^{-(6\cdot0.163-1)}}\approx0.49Prollbackcourts​=1+e−(6⋅0.163−1)1​≈0.49 </w:t>
      </w:r>
    </w:p>
    <w:p w14:paraId="2FB588C9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Bold" w:hAnsi="Times New Roman Bold" w:cs="Times New Roman Bold"/>
          <w:b/>
          <w:bCs w:val="0"/>
          <w:sz w:val="28"/>
          <w:szCs w:val="28"/>
          <w:lang w:val="uk-UA"/>
        </w:rPr>
      </w:pPr>
      <w:r>
        <w:rPr>
          <w:rFonts w:hint="default" w:ascii="Times New Roman Bold" w:hAnsi="Times New Roman Bold" w:cs="Times New Roman Bold"/>
          <w:b/>
          <w:bCs w:val="0"/>
          <w:sz w:val="28"/>
          <w:szCs w:val="28"/>
        </w:rPr>
        <w:t>4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  <w:lang w:val="en-US"/>
        </w:rPr>
        <w:t>.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</w:rPr>
        <w:t xml:space="preserve">️Threshold </w:t>
      </w:r>
      <w:r>
        <w:rPr>
          <w:rFonts w:hint="default" w:ascii="Times New Roman Bold" w:hAnsi="Times New Roman Bold"/>
          <w:b/>
          <w:bCs w:val="0"/>
          <w:sz w:val="28"/>
          <w:szCs w:val="28"/>
        </w:rPr>
        <w:t>inevitability</w:t>
      </w:r>
      <w:r>
        <w:rPr>
          <w:rFonts w:hint="default" w:ascii="Times New Roman Bold" w:hAnsi="Times New Roman Bold"/>
          <w:b/>
          <w:bCs w:val="0"/>
          <w:sz w:val="28"/>
          <w:szCs w:val="28"/>
          <w:lang w:val="en-US"/>
        </w:rPr>
        <w:t xml:space="preserve"> </w:t>
      </w:r>
      <w:r>
        <w:rPr>
          <w:rFonts w:hint="default" w:ascii="Times New Roman Bold" w:hAnsi="Times New Roman Bold"/>
          <w:b/>
          <w:bCs w:val="0"/>
          <w:sz w:val="28"/>
          <w:szCs w:val="28"/>
          <w:lang w:val="uk-UA"/>
        </w:rPr>
        <w:t>порогова неминучість</w:t>
      </w:r>
    </w:p>
    <w:p w14:paraId="44F7F393">
      <w:pPr>
        <w:keepNext w:val="0"/>
        <w:keepLines w:val="0"/>
        <w:widowControl/>
        <w:suppressLineNumbers w:val="0"/>
        <w:spacing w:line="360" w:lineRule="auto"/>
        <w:jc w:val="left"/>
        <w:rPr>
          <w:sz w:val="28"/>
          <w:szCs w:val="28"/>
        </w:rPr>
      </w:pPr>
      <w:r>
        <w:rPr>
          <w:rFonts w:hint="default" w:ascii="Times New Roman Bold" w:hAnsi="Times New Roman Bold" w:eastAsia="SimSun" w:cs="Times New Roman Bold"/>
          <w:b/>
          <w:bCs w:val="0"/>
          <w:kern w:val="0"/>
          <w:sz w:val="28"/>
          <w:szCs w:val="28"/>
          <w:lang w:val="en-US" w:eastAsia="zh-CN" w:bidi="ar"/>
        </w:rPr>
        <w:t xml:space="preserve">θcourts=0.35,0.49≥0.35⇒Rollback неминучий\theta_{courts}=0.35,\quad 0.49\ge0.35 \Rightarrow \text{Rollback неминучий}θcourts​=0.35,0.49≥0.35⇒Rollback неминучий </w:t>
      </w:r>
    </w:p>
    <w:p w14:paraId="0087A904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Bold" w:hAnsi="Times New Roman Bold"/>
          <w:b/>
          <w:bCs w:val="0"/>
          <w:sz w:val="28"/>
          <w:szCs w:val="28"/>
        </w:rPr>
      </w:pPr>
      <w:r>
        <w:rPr>
          <w:rFonts w:hint="default" w:ascii="Times New Roman Bold" w:hAnsi="Times New Roman Bold" w:cs="Times New Roman Bold"/>
          <w:b/>
          <w:bCs w:val="0"/>
          <w:sz w:val="28"/>
          <w:szCs w:val="28"/>
        </w:rPr>
        <w:t>5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  <w:lang w:val="en-US"/>
        </w:rPr>
        <w:t>.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</w:rPr>
        <w:t>️</w:t>
      </w:r>
      <w:r>
        <w:rPr>
          <w:rFonts w:hint="default" w:ascii="Times New Roman Bold" w:hAnsi="Times New Roman Bold"/>
          <w:b/>
          <w:bCs w:val="0"/>
          <w:sz w:val="28"/>
          <w:szCs w:val="28"/>
        </w:rPr>
        <w:t>Why judicial rollback is more dangerous</w:t>
      </w:r>
    </w:p>
    <w:p w14:paraId="2B2165B4">
      <w:pPr>
        <w:pStyle w:val="14"/>
        <w:keepNext w:val="0"/>
        <w:keepLines w:val="0"/>
        <w:widowControl/>
        <w:suppressLineNumbers w:val="0"/>
        <w:spacing w:line="360" w:lineRule="auto"/>
        <w:rPr>
          <w:rFonts w:hint="default" w:ascii="Times New Roman Bold" w:hAnsi="Times New Roman Bold"/>
          <w:b/>
          <w:bCs w:val="0"/>
          <w:sz w:val="28"/>
          <w:szCs w:val="28"/>
        </w:rPr>
      </w:pPr>
      <w:r>
        <w:rPr>
          <w:rFonts w:hint="default" w:ascii="Times New Roman Bold" w:hAnsi="Times New Roman Bold"/>
          <w:b/>
          <w:bCs w:val="0"/>
          <w:sz w:val="28"/>
          <w:szCs w:val="28"/>
        </w:rPr>
        <w:t>Key phrase:</w:t>
      </w:r>
    </w:p>
    <w:p w14:paraId="04D96801">
      <w:pPr>
        <w:pStyle w:val="14"/>
        <w:keepNext w:val="0"/>
        <w:keepLines w:val="0"/>
        <w:widowControl/>
        <w:suppressLineNumbers w:val="0"/>
        <w:spacing w:line="360" w:lineRule="auto"/>
        <w:ind w:right="720"/>
        <w:jc w:val="both"/>
        <w:rPr>
          <w:rStyle w:val="9"/>
          <w:rFonts w:hint="default" w:ascii="Times New Roman Italic" w:hAnsi="Times New Roman Italic" w:eastAsia="SimSun" w:cs="Times New Roman Italic"/>
          <w:b w:val="0"/>
          <w:bCs/>
          <w:i/>
          <w:iCs w:val="0"/>
          <w:sz w:val="28"/>
          <w:szCs w:val="28"/>
        </w:rPr>
      </w:pPr>
      <w:r>
        <w:rPr>
          <w:rStyle w:val="9"/>
          <w:rFonts w:hint="default" w:ascii="Times New Roman Italic" w:hAnsi="Times New Roman Italic" w:eastAsia="SimSun" w:cs="Times New Roman Italic"/>
          <w:b w:val="0"/>
          <w:bCs/>
          <w:i/>
          <w:iCs w:val="0"/>
          <w:sz w:val="28"/>
          <w:szCs w:val="28"/>
        </w:rPr>
        <w:t>In judicial systems, rollback does not merely correct an error; it</w:t>
      </w:r>
      <w:r>
        <w:rPr>
          <w:rStyle w:val="9"/>
          <w:rFonts w:hint="default" w:ascii="Times New Roman Italic" w:hAnsi="Times New Roman Italic" w:eastAsia="SimSun" w:cs="Times New Roman Italic"/>
          <w:b w:val="0"/>
          <w:bCs/>
          <w:i/>
          <w:iCs w:val="0"/>
          <w:sz w:val="28"/>
          <w:szCs w:val="28"/>
          <w:lang w:val="uk-UA"/>
        </w:rPr>
        <w:t xml:space="preserve"> </w:t>
      </w:r>
      <w:r>
        <w:rPr>
          <w:rStyle w:val="9"/>
          <w:rFonts w:hint="default" w:ascii="Times New Roman Italic" w:hAnsi="Times New Roman Italic" w:eastAsia="SimSun" w:cs="Times New Roman Italic"/>
          <w:b w:val="0"/>
          <w:bCs/>
          <w:i/>
          <w:iCs w:val="0"/>
          <w:sz w:val="28"/>
          <w:szCs w:val="28"/>
        </w:rPr>
        <w:t>destabilizes legal certainty and undermines the authority of law itself.</w:t>
      </w:r>
    </w:p>
    <w:p w14:paraId="45BAB2FE">
      <w:pPr>
        <w:pStyle w:val="4"/>
        <w:keepNext w:val="0"/>
        <w:keepLines w:val="0"/>
        <w:widowControl/>
        <w:suppressLineNumbers w:val="0"/>
        <w:spacing w:line="360" w:lineRule="auto"/>
        <w:rPr>
          <w:rFonts w:hint="default" w:ascii="Times New Roman Bold" w:hAnsi="Times New Roman Bold" w:cs="Times New Roman Bold"/>
          <w:b/>
          <w:bCs w:val="0"/>
          <w:sz w:val="28"/>
          <w:szCs w:val="28"/>
        </w:rPr>
      </w:pPr>
      <w:r>
        <w:rPr>
          <w:rFonts w:hint="default" w:ascii="Times New Roman Bold" w:hAnsi="Times New Roman Bold" w:cs="Times New Roman Bold"/>
          <w:b/>
          <w:bCs w:val="0"/>
          <w:sz w:val="28"/>
          <w:szCs w:val="28"/>
        </w:rPr>
        <w:t>6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  <w:lang w:val="en-US"/>
        </w:rPr>
        <w:t>.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</w:rPr>
        <w:t>️</w:t>
      </w:r>
      <w:r>
        <w:rPr>
          <w:rFonts w:hint="default" w:ascii="Times New Roman Bold" w:hAnsi="Times New Roman Bold"/>
          <w:b/>
          <w:bCs w:val="0"/>
          <w:sz w:val="28"/>
          <w:szCs w:val="28"/>
        </w:rPr>
        <w:t>Summary in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</w:rPr>
        <w:t xml:space="preserve"> CIRA</w:t>
      </w:r>
    </w:p>
    <w:p w14:paraId="072E9BD5">
      <w:pPr>
        <w:pStyle w:val="14"/>
        <w:keepNext w:val="0"/>
        <w:keepLines w:val="0"/>
        <w:widowControl/>
        <w:suppressLineNumbers w:val="0"/>
        <w:spacing w:line="360" w:lineRule="auto"/>
        <w:ind w:left="0" w:leftChars="0" w:right="543" w:rightChars="0" w:firstLine="720" w:firstLineChars="257"/>
        <w:rPr>
          <w:rStyle w:val="15"/>
          <w:rFonts w:hint="default"/>
          <w:sz w:val="28"/>
          <w:szCs w:val="28"/>
        </w:rPr>
      </w:pPr>
      <w:r>
        <w:rPr>
          <w:rStyle w:val="15"/>
          <w:rFonts w:hint="default"/>
          <w:sz w:val="28"/>
          <w:szCs w:val="28"/>
        </w:rPr>
        <w:t>KRAGH KPI — where the system is weak</w:t>
      </w:r>
    </w:p>
    <w:p w14:paraId="65ABE5C1">
      <w:pPr>
        <w:pStyle w:val="14"/>
        <w:keepNext w:val="0"/>
        <w:keepLines w:val="0"/>
        <w:widowControl/>
        <w:suppressLineNumbers w:val="0"/>
        <w:spacing w:line="360" w:lineRule="auto"/>
        <w:ind w:left="0" w:leftChars="0" w:right="543" w:rightChars="0" w:firstLine="720" w:firstLineChars="257"/>
        <w:rPr>
          <w:rStyle w:val="15"/>
          <w:rFonts w:hint="default"/>
          <w:sz w:val="28"/>
          <w:szCs w:val="28"/>
        </w:rPr>
      </w:pPr>
      <w:r>
        <w:rPr>
          <w:rStyle w:val="15"/>
          <w:rFonts w:hint="default"/>
          <w:sz w:val="28"/>
          <w:szCs w:val="28"/>
        </w:rPr>
        <w:t>KRAGH KRP — when weakness becomes an inevitable rollback</w:t>
      </w:r>
    </w:p>
    <w:p w14:paraId="40B0EBD9">
      <w:pPr>
        <w:pStyle w:val="14"/>
        <w:keepNext w:val="0"/>
        <w:keepLines w:val="0"/>
        <w:widowControl/>
        <w:suppressLineNumbers w:val="0"/>
        <w:spacing w:line="360" w:lineRule="auto"/>
        <w:ind w:left="0" w:leftChars="0" w:right="543" w:rightChars="0" w:firstLine="720" w:firstLineChars="257"/>
        <w:rPr>
          <w:rStyle w:val="15"/>
          <w:rFonts w:hint="default"/>
          <w:sz w:val="28"/>
          <w:szCs w:val="28"/>
        </w:rPr>
      </w:pPr>
      <w:r>
        <w:rPr>
          <w:rStyle w:val="15"/>
          <w:rFonts w:hint="default"/>
          <w:sz w:val="28"/>
          <w:szCs w:val="28"/>
        </w:rPr>
        <w:t>CIRA — an architecture that turns a crisis rollback into a managed resilience mechanism</w:t>
      </w:r>
    </w:p>
    <w:p w14:paraId="5717B4C9">
      <w:pPr>
        <w:pStyle w:val="14"/>
        <w:keepNext w:val="0"/>
        <w:keepLines w:val="0"/>
        <w:widowControl/>
        <w:suppressLineNumbers w:val="0"/>
        <w:spacing w:line="360" w:lineRule="auto"/>
        <w:ind w:left="0" w:leftChars="0" w:right="543" w:rightChars="0" w:firstLine="720" w:firstLineChars="257"/>
        <w:rPr>
          <w:rStyle w:val="9"/>
          <w:rFonts w:hint="default" w:ascii="Times New Roman Italic" w:hAnsi="Times New Roman Italic" w:eastAsia="SimSun" w:cs="Times New Roman Italic"/>
          <w:i/>
          <w:iCs w:val="0"/>
          <w:sz w:val="28"/>
          <w:szCs w:val="28"/>
        </w:rPr>
      </w:pPr>
      <w:r>
        <w:rPr>
          <w:rStyle w:val="15"/>
          <w:rFonts w:hint="default"/>
          <w:sz w:val="28"/>
          <w:szCs w:val="28"/>
        </w:rPr>
        <w:t>The final phrase of the chapter:</w:t>
      </w:r>
      <w:r>
        <w:rPr>
          <w:rStyle w:val="15"/>
          <w:rFonts w:hint="default"/>
          <w:sz w:val="28"/>
          <w:szCs w:val="28"/>
          <w:lang w:val="uk-UA"/>
        </w:rPr>
        <w:t xml:space="preserve"> </w:t>
      </w:r>
      <w:r>
        <w:rPr>
          <w:rStyle w:val="9"/>
          <w:rFonts w:hint="default" w:ascii="Times New Roman Italic" w:hAnsi="Times New Roman Italic" w:eastAsia="SimSun" w:cs="Times New Roman Italic"/>
          <w:i/>
          <w:iCs w:val="0"/>
          <w:sz w:val="28"/>
          <w:szCs w:val="28"/>
        </w:rPr>
        <w:t>CIRA transforms rollback from a symptom of institutional</w:t>
      </w:r>
      <w:r>
        <w:rPr>
          <w:rStyle w:val="9"/>
          <w:rFonts w:hint="default" w:ascii="Times New Roman Italic" w:hAnsi="Times New Roman Italic" w:eastAsia="SimSun" w:cs="Times New Roman Italic"/>
          <w:i/>
          <w:iCs w:val="0"/>
          <w:sz w:val="28"/>
          <w:szCs w:val="28"/>
          <w:lang w:val="uk-UA"/>
        </w:rPr>
        <w:t xml:space="preserve"> </w:t>
      </w:r>
      <w:r>
        <w:rPr>
          <w:rStyle w:val="9"/>
          <w:rFonts w:hint="default" w:ascii="Times New Roman Italic" w:hAnsi="Times New Roman Italic" w:eastAsia="SimSun" w:cs="Times New Roman Italic"/>
          <w:i/>
          <w:iCs w:val="0"/>
          <w:sz w:val="28"/>
          <w:szCs w:val="28"/>
        </w:rPr>
        <w:t>failure into a controlled resilience mechanism embedded in legal and digital governance.</w:t>
      </w:r>
    </w:p>
    <w:p w14:paraId="68A5CA1F">
      <w:pPr>
        <w:keepNext w:val="0"/>
        <w:keepLines w:val="0"/>
        <w:widowControl/>
        <w:suppressLineNumbers w:val="0"/>
      </w:pPr>
    </w:p>
    <w:p w14:paraId="7DAEC20E">
      <w:pPr>
        <w:keepNext w:val="0"/>
        <w:keepLines w:val="0"/>
        <w:widowControl/>
        <w:suppressLineNumbers w:val="0"/>
      </w:pPr>
    </w:p>
    <w:p w14:paraId="61C2A399">
      <w:pPr>
        <w:keepNext w:val="0"/>
        <w:keepLines w:val="0"/>
        <w:widowControl/>
        <w:suppressLineNumbers w:val="0"/>
      </w:pPr>
    </w:p>
    <w:p w14:paraId="05868ACD">
      <w:pPr>
        <w:keepNext w:val="0"/>
        <w:keepLines w:val="0"/>
        <w:widowControl/>
        <w:suppressLineNumbers w:val="0"/>
      </w:pPr>
    </w:p>
    <w:p w14:paraId="3FA95E88">
      <w:pPr>
        <w:keepNext w:val="0"/>
        <w:keepLines w:val="0"/>
        <w:widowControl/>
        <w:suppressLineNumbers w:val="0"/>
      </w:pPr>
    </w:p>
    <w:p w14:paraId="22565092">
      <w:pPr>
        <w:keepNext w:val="0"/>
        <w:keepLines w:val="0"/>
        <w:widowControl/>
        <w:suppressLineNumbers w:val="0"/>
      </w:pPr>
    </w:p>
    <w:p w14:paraId="388C40D0">
      <w:pPr>
        <w:keepNext w:val="0"/>
        <w:keepLines w:val="0"/>
        <w:widowControl/>
        <w:suppressLineNumbers w:val="0"/>
      </w:pPr>
    </w:p>
    <w:p w14:paraId="677CB8B4">
      <w:pPr>
        <w:keepNext w:val="0"/>
        <w:keepLines w:val="0"/>
        <w:widowControl/>
        <w:suppressLineNumbers w:val="0"/>
      </w:pPr>
    </w:p>
    <w:p w14:paraId="62B946CD">
      <w:pPr>
        <w:pStyle w:val="2"/>
        <w:bidi w:val="0"/>
        <w:jc w:val="center"/>
        <w:rPr>
          <w:rFonts w:hint="default" w:ascii="Times New Roman Bold" w:hAnsi="Times New Roman Bold" w:cs="Times New Roman Bold"/>
          <w:b/>
          <w:bCs w:val="0"/>
          <w:sz w:val="36"/>
          <w:szCs w:val="36"/>
        </w:rPr>
      </w:pPr>
      <w:bookmarkStart w:id="38" w:name="_Toc2111184660"/>
      <w:r>
        <w:rPr>
          <w:rFonts w:hint="default" w:ascii="Times New Roman Bold" w:hAnsi="Times New Roman Bold" w:cs="Times New Roman Bold"/>
          <w:b/>
          <w:bCs w:val="0"/>
          <w:sz w:val="36"/>
          <w:szCs w:val="36"/>
        </w:rPr>
        <w:t>General Conclusion / Methodological Reflection</w:t>
      </w:r>
      <w:bookmarkEnd w:id="38"/>
    </w:p>
    <w:p w14:paraId="686287DD">
      <w:pPr>
        <w:pStyle w:val="14"/>
        <w:keepNext w:val="0"/>
        <w:keepLines w:val="0"/>
        <w:widowControl/>
        <w:suppressLineNumbers w:val="0"/>
        <w:spacing w:line="360" w:lineRule="auto"/>
        <w:ind w:firstLine="720" w:firstLineChars="0"/>
        <w:jc w:val="both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 xml:space="preserve">The foundation for the development of this methodological framework and the accompanying methodological guide was laid by the author’s Master’s thesis on Ukraine’s European integration, specifically </w:t>
      </w: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“Analysis of Cluster 1 — Fundamental Principles”</w:t>
      </w:r>
      <w:r>
        <w:rPr>
          <w:rFonts w:hint="default" w:ascii="Times New Roman Regular" w:hAnsi="Times New Roman Regular" w:cs="Times New Roman Regular"/>
          <w:sz w:val="28"/>
          <w:szCs w:val="28"/>
        </w:rPr>
        <w:t xml:space="preserve"> within the EU accession negotiation process.</w:t>
      </w:r>
    </w:p>
    <w:p w14:paraId="39C222FE">
      <w:pPr>
        <w:pStyle w:val="14"/>
        <w:keepNext w:val="0"/>
        <w:keepLines w:val="0"/>
        <w:widowControl/>
        <w:suppressLineNumbers w:val="0"/>
        <w:spacing w:line="360" w:lineRule="auto"/>
        <w:ind w:firstLine="720" w:firstLineChars="0"/>
        <w:jc w:val="both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 xml:space="preserve">The research demonstrated that formal alignment of national legislation with the EU acquis does not, in itself, ensure effective institutional capacity, resilience, or predictability of law enforcement. This discrepancy between </w:t>
      </w: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normative compliance</w:t>
      </w:r>
      <w:r>
        <w:rPr>
          <w:rFonts w:hint="default" w:ascii="Times New Roman Regular" w:hAnsi="Times New Roman Regular" w:cs="Times New Roman Regular"/>
          <w:sz w:val="28"/>
          <w:szCs w:val="28"/>
        </w:rPr>
        <w:t xml:space="preserve">, </w:t>
      </w: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institutional practice</w:t>
      </w:r>
      <w:r>
        <w:rPr>
          <w:rFonts w:hint="default" w:ascii="Times New Roman Regular" w:hAnsi="Times New Roman Regular" w:cs="Times New Roman Regular"/>
          <w:sz w:val="28"/>
          <w:szCs w:val="28"/>
        </w:rPr>
        <w:t xml:space="preserve">, </w:t>
      </w: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digital executability</w:t>
      </w:r>
      <w:r>
        <w:rPr>
          <w:rFonts w:hint="default" w:ascii="Times New Roman Regular" w:hAnsi="Times New Roman Regular" w:cs="Times New Roman Regular"/>
          <w:sz w:val="28"/>
          <w:szCs w:val="28"/>
        </w:rPr>
        <w:t xml:space="preserve">, and </w:t>
      </w: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mechanisms of oversight and rollback</w:t>
      </w:r>
      <w:r>
        <w:rPr>
          <w:rFonts w:hint="default" w:ascii="Times New Roman Regular" w:hAnsi="Times New Roman Regular" w:cs="Times New Roman Regular"/>
          <w:sz w:val="28"/>
          <w:szCs w:val="28"/>
        </w:rPr>
        <w:t xml:space="preserve"> revealed a structural gap that existing analytical approaches fail to capture in a systematic and measurable manner. Addressing this gap necessitated the development of an integrated computational methodology.</w:t>
      </w:r>
    </w:p>
    <w:p w14:paraId="34F35DE3">
      <w:pPr>
        <w:pStyle w:val="14"/>
        <w:keepNext w:val="0"/>
        <w:keepLines w:val="0"/>
        <w:widowControl/>
        <w:suppressLineNumbers w:val="0"/>
        <w:spacing w:line="360" w:lineRule="auto"/>
        <w:ind w:firstLine="720" w:firstLineChars="0"/>
        <w:jc w:val="both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 xml:space="preserve">The proposed </w:t>
      </w: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KRA</w:t>
      </w:r>
      <w:r>
        <w:rPr>
          <w:rStyle w:val="15"/>
          <w:rFonts w:hint="default" w:ascii="Times New Roman Regular" w:hAnsi="Times New Roman Regular" w:cs="Times New Roman Regular"/>
          <w:sz w:val="28"/>
          <w:szCs w:val="28"/>
          <w:lang w:val="en-US"/>
        </w:rPr>
        <w:t>G</w:t>
      </w: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H KPI</w:t>
      </w:r>
      <w:r>
        <w:rPr>
          <w:rFonts w:hint="default" w:ascii="Times New Roman Regular" w:hAnsi="Times New Roman Regular" w:cs="Times New Roman Regular"/>
          <w:sz w:val="28"/>
          <w:szCs w:val="28"/>
        </w:rPr>
        <w:t xml:space="preserve"> framework enables a quantitative assessment of normative, operational, computational, and audit-level maturity of key institutions, including anti-corruption authorities and the judicial system. Building upon these measurements, </w:t>
      </w: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KRA</w:t>
      </w:r>
      <w:r>
        <w:rPr>
          <w:rStyle w:val="15"/>
          <w:rFonts w:hint="default" w:ascii="Times New Roman Regular" w:hAnsi="Times New Roman Regular" w:cs="Times New Roman Regular"/>
          <w:sz w:val="28"/>
          <w:szCs w:val="28"/>
          <w:lang w:val="en-US"/>
        </w:rPr>
        <w:t>G</w:t>
      </w: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H KRP (Rollback Risk)</w:t>
      </w:r>
      <w:r>
        <w:rPr>
          <w:rFonts w:hint="default" w:ascii="Times New Roman Regular" w:hAnsi="Times New Roman Regular" w:cs="Times New Roman Regular"/>
          <w:sz w:val="28"/>
          <w:szCs w:val="28"/>
        </w:rPr>
        <w:t xml:space="preserve"> models the conditions under which deviations from the rule of law evolve from isolated incidents into structurally inevitable institutional rollbacks.</w:t>
      </w:r>
    </w:p>
    <w:p w14:paraId="5E73AA95">
      <w:pPr>
        <w:pStyle w:val="14"/>
        <w:keepNext w:val="0"/>
        <w:keepLines w:val="0"/>
        <w:widowControl/>
        <w:suppressLineNumbers w:val="0"/>
        <w:spacing w:line="360" w:lineRule="auto"/>
        <w:ind w:firstLine="720" w:firstLineChars="0"/>
        <w:jc w:val="both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 xml:space="preserve">This analytical progression culminates in </w:t>
      </w:r>
      <w:r>
        <w:rPr>
          <w:rStyle w:val="15"/>
          <w:rFonts w:hint="default" w:ascii="Times New Roman Regular" w:hAnsi="Times New Roman Regular" w:cs="Times New Roman Regular"/>
          <w:sz w:val="28"/>
          <w:szCs w:val="28"/>
        </w:rPr>
        <w:t>CIRA (Computational Institutional Resilience Architecture)</w:t>
      </w:r>
      <w:r>
        <w:rPr>
          <w:rFonts w:hint="default" w:ascii="Times New Roman Regular" w:hAnsi="Times New Roman Regular" w:cs="Times New Roman Regular"/>
          <w:sz w:val="28"/>
          <w:szCs w:val="28"/>
        </w:rPr>
        <w:t>—an architectural approach that integrates legal norms, digital infrastructure, auditability, traceability, and controlled rollback mechanisms into a unified institutional resilience framework. Within this model, rollback is no longer treated as a symptom of institutional failure but is redefined as a managed mechanism for preserving legitimacy, legal certainty, and public trust within complex legal and digital governance systems.</w:t>
      </w:r>
    </w:p>
    <w:p w14:paraId="2F49E89A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spacing w:line="360" w:lineRule="auto"/>
        <w:ind w:firstLine="720" w:firstLineChars="0"/>
        <w:jc w:val="both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28"/>
          <w:szCs w:val="28"/>
        </w:rPr>
        <w:t>Accordingly, the developed methodology extends beyond a descriptive assessment of reforms under Cluster 1 and establishes a transferable analytical instrument suitable for comparative institutional analysis, reform evaluation, digital governance research, and further scholarly inquiry at the doctoral level.</w:t>
      </w:r>
    </w:p>
    <w:p w14:paraId="4EF2B081">
      <w:pPr>
        <w:pStyle w:val="14"/>
        <w:keepNext w:val="0"/>
        <w:keepLines w:val="0"/>
        <w:widowControl/>
        <w:suppressLineNumbers w:val="0"/>
        <w:pBdr>
          <w:bottom w:val="single" w:color="auto" w:sz="12" w:space="0"/>
        </w:pBdr>
        <w:spacing w:line="360" w:lineRule="auto"/>
        <w:ind w:firstLine="720" w:firstLineChars="0"/>
        <w:rPr>
          <w:rFonts w:hint="default" w:ascii="Times New Roman Regular" w:hAnsi="Times New Roman Regular" w:cs="Times New Roman Regular"/>
          <w:sz w:val="28"/>
          <w:szCs w:val="28"/>
        </w:rPr>
      </w:pPr>
    </w:p>
    <w:p w14:paraId="6096FF58">
      <w:pPr>
        <w:keepNext w:val="0"/>
        <w:keepLines w:val="0"/>
        <w:widowControl/>
        <w:suppressLineNumbers w:val="0"/>
        <w:spacing w:line="360" w:lineRule="auto"/>
        <w:rPr>
          <w:rFonts w:hint="default" w:ascii="Times New Roman Regular" w:hAnsi="Times New Roman Regular" w:cs="Times New Roman Regular"/>
          <w:sz w:val="28"/>
          <w:szCs w:val="28"/>
        </w:rPr>
      </w:pPr>
    </w:p>
    <w:p w14:paraId="0BB635DA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 Bold Italic" w:hAnsi="Times New Roman Bold Italic" w:cs="Times New Roman Bold Italic"/>
          <w:i/>
          <w:iCs/>
          <w:sz w:val="24"/>
          <w:szCs w:val="24"/>
        </w:rPr>
      </w:pPr>
      <w:r>
        <w:rPr>
          <w:rStyle w:val="15"/>
          <w:rFonts w:hint="default" w:ascii="Times New Roman Bold Italic" w:hAnsi="Times New Roman Bold Italic" w:eastAsia="SimSun" w:cs="Times New Roman Bold Italic"/>
          <w:i/>
          <w:iCs/>
          <w:kern w:val="0"/>
          <w:sz w:val="28"/>
          <w:szCs w:val="28"/>
          <w:lang w:val="uk-UA" w:eastAsia="zh-CN" w:bidi="ar"/>
        </w:rPr>
        <w:t>І</w:t>
      </w:r>
      <w:r>
        <w:rPr>
          <w:rStyle w:val="15"/>
          <w:rFonts w:hint="default" w:ascii="Times New Roman Bold Italic" w:hAnsi="Times New Roman Bold Italic" w:eastAsia="SimSun" w:cs="Times New Roman Bold Italic"/>
          <w:i/>
          <w:iCs/>
          <w:kern w:val="0"/>
          <w:sz w:val="28"/>
          <w:szCs w:val="28"/>
          <w:lang w:val="en-US" w:eastAsia="zh-CN" w:bidi="ar"/>
        </w:rPr>
        <w:t>nterdisciplinary (International law + AI / governance &amp; political Science)</w:t>
      </w:r>
    </w:p>
    <w:p w14:paraId="4E48DE7C">
      <w:pPr>
        <w:pStyle w:val="14"/>
        <w:keepNext w:val="0"/>
        <w:keepLines w:val="0"/>
        <w:widowControl/>
        <w:suppressLineNumbers w:val="0"/>
        <w:spacing w:line="360" w:lineRule="auto"/>
        <w:ind w:left="0" w:leftChars="0" w:right="543" w:rightChars="0" w:firstLine="616" w:firstLineChars="257"/>
        <w:rPr>
          <w:rStyle w:val="9"/>
          <w:rFonts w:hint="default" w:ascii="Times New Roman Regular" w:hAnsi="Times New Roman Regular" w:eastAsia="SimSun" w:cs="Times New Roman Regular"/>
          <w:i/>
          <w:iCs w:val="0"/>
          <w:sz w:val="24"/>
          <w:szCs w:val="24"/>
        </w:rPr>
      </w:pPr>
    </w:p>
    <w:p w14:paraId="2B985AF7">
      <w:pPr>
        <w:pStyle w:val="14"/>
        <w:keepNext w:val="0"/>
        <w:keepLines w:val="0"/>
        <w:widowControl/>
        <w:suppressLineNumbers w:val="0"/>
        <w:spacing w:line="360" w:lineRule="auto"/>
        <w:ind w:left="720" w:right="720"/>
        <w:rPr>
          <w:rStyle w:val="9"/>
          <w:rFonts w:hint="default" w:ascii="Times New Roman Regular" w:hAnsi="Times New Roman Regular" w:eastAsia="SimSun" w:cs="Times New Roman Regular"/>
          <w:sz w:val="24"/>
          <w:szCs w:val="24"/>
        </w:rPr>
      </w:pPr>
    </w:p>
    <w:p w14:paraId="0D16FCE4"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 w14:paraId="5D32E66E">
      <w:pPr>
        <w:pStyle w:val="2"/>
        <w:bidi w:val="0"/>
        <w:spacing w:line="360" w:lineRule="auto"/>
        <w:jc w:val="center"/>
        <w:outlineLvl w:val="9"/>
        <w:rPr>
          <w:rFonts w:hint="default" w:ascii="Times New Roman Regular" w:hAnsi="Times New Roman Regular" w:cs="Times New Roman Regular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SimSun">
    <w:altName w:val="汉仪书宋二KW"/>
    <w:panose1 w:val="02010600030101010101"/>
    <w:charset w:val="86"/>
    <w:family w:val="roman"/>
    <w:pitch w:val="variable"/>
    <w:sig w:usb0="00000003" w:usb1="288F0000" w:usb2="00000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sans-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Georgia Regular">
    <w:panose1 w:val="02040502050405090303"/>
    <w:charset w:val="00"/>
    <w:family w:val="auto"/>
    <w:pitch w:val="default"/>
    <w:sig w:usb0="00000287" w:usb1="00000000" w:usb2="00000000" w:usb3="00000000" w:csb0="2000009F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Apple Symbols">
    <w:panose1 w:val="02000000000000000000"/>
    <w:charset w:val="00"/>
    <w:family w:val="auto"/>
    <w:pitch w:val="default"/>
    <w:sig w:usb0="800000A3" w:usb1="08007BEB" w:usb2="01840034" w:usb3="0000A268" w:csb0="200001FB" w:csb1="DDFF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Hiragino Sans CNS">
    <w:panose1 w:val="020B0300000000000000"/>
    <w:charset w:val="88"/>
    <w:family w:val="auto"/>
    <w:pitch w:val="default"/>
    <w:sig w:usb0="00000001" w:usb1="1A0F1900" w:usb2="00000016" w:usb3="00000000" w:csb0="00120005" w:csb1="00000000"/>
  </w:font>
  <w:font w:name=".AppleSystemUI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DBD02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2570480</wp:posOffset>
              </wp:positionH>
              <wp:positionV relativeFrom="paragraph">
                <wp:posOffset>-139700</wp:posOffset>
              </wp:positionV>
              <wp:extent cx="143510" cy="28257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282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0302B1">
                          <w:pPr>
                            <w:pStyle w:val="1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2.4pt;margin-top:-11pt;height:22.25pt;width:11.3pt;mso-position-horizontal-relative:margin;z-index:251659264;mso-width-relative:page;mso-height-relative:page;" filled="f" stroked="f" coordsize="21600,21600" o:gfxdata="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bVcPF9kAAAAKAQAADwAAAAAAAAABACAAAAAiAAAAZHJzL2Rvd25yZXYueG1sUEsBAhQAFAAA&#10;AAgAh07iQOvWT5onAgAAYAQAAA4AAAAAAAAAAQAgAAAAKA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20302B1">
                    <w:pPr>
                      <w:pStyle w:val="10"/>
                      <w:jc w:val="right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/>
      </w:rPr>
      <w:t>Kragh, I. (2025). Kragh KPI Formula &amp; Anti-Corruption Model (Формула KPI Краx та Антикорупційна модель). Zenodo. https://doi.org/10.5281/zenodo.17183962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CE0D0">
    <w:pPr>
      <w:pStyle w:val="11"/>
      <w:jc w:val="center"/>
      <w:rPr>
        <w:rFonts w:hint="default"/>
        <w:lang w:val="en-US"/>
      </w:rPr>
    </w:pPr>
    <w:r>
      <w:rPr>
        <w:rFonts w:hint="default"/>
        <w:lang w:val="en-US"/>
      </w:rPr>
      <w:t>AUTHOR INNA KRAGH</w:t>
    </w:r>
  </w:p>
  <w:p w14:paraId="0045A343">
    <w:pPr>
      <w:pStyle w:val="11"/>
      <w:jc w:val="center"/>
      <w:rPr>
        <w:rFonts w:hint="default"/>
      </w:rPr>
    </w:pPr>
  </w:p>
  <w:p w14:paraId="10DDA857">
    <w:pPr>
      <w:pStyle w:val="11"/>
      <w:jc w:val="center"/>
      <w:rPr>
        <w:rFonts w:hint="default"/>
      </w:rPr>
    </w:pPr>
    <w:r>
      <w:rPr>
        <w:rFonts w:hint="default"/>
      </w:rPr>
      <w:fldChar w:fldCharType="begin"/>
    </w:r>
    <w:r>
      <w:rPr>
        <w:rFonts w:hint="default"/>
      </w:rPr>
      <w:instrText xml:space="preserve"> HYPERLINK "https://orcid.org/0009-0008-3249-4179" </w:instrText>
    </w:r>
    <w:r>
      <w:rPr>
        <w:rFonts w:hint="default"/>
      </w:rPr>
      <w:fldChar w:fldCharType="separate"/>
    </w:r>
    <w:r>
      <w:rPr>
        <w:rStyle w:val="13"/>
        <w:rFonts w:hint="default"/>
      </w:rPr>
      <w:t>https://orcid.org/0009-0008-3249-4179</w:t>
    </w:r>
    <w:r>
      <w:rPr>
        <w:rFonts w:hint="default"/>
      </w:rPr>
      <w:fldChar w:fldCharType="end"/>
    </w:r>
  </w:p>
  <w:p w14:paraId="4BFEC8F0">
    <w:pPr>
      <w:pStyle w:val="11"/>
      <w:jc w:val="center"/>
      <w:rPr>
        <w:rFonts w:hint="defau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73A625"/>
    <w:multiLevelType w:val="singleLevel"/>
    <w:tmpl w:val="AF73A625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BF36C50F"/>
    <w:multiLevelType w:val="singleLevel"/>
    <w:tmpl w:val="BF36C50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6"/>
        <w:szCs w:val="16"/>
      </w:rPr>
    </w:lvl>
  </w:abstractNum>
  <w:abstractNum w:abstractNumId="2">
    <w:nsid w:val="D59B39A5"/>
    <w:multiLevelType w:val="singleLevel"/>
    <w:tmpl w:val="D59B39A5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8"/>
        <w:szCs w:val="18"/>
      </w:rPr>
    </w:lvl>
  </w:abstractNum>
  <w:abstractNum w:abstractNumId="3">
    <w:nsid w:val="D7F465D6"/>
    <w:multiLevelType w:val="singleLevel"/>
    <w:tmpl w:val="D7F465D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4">
    <w:nsid w:val="F7BE74B0"/>
    <w:multiLevelType w:val="singleLevel"/>
    <w:tmpl w:val="F7BE74B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5">
    <w:nsid w:val="F93EE0D0"/>
    <w:multiLevelType w:val="singleLevel"/>
    <w:tmpl w:val="F93EE0D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6">
    <w:nsid w:val="FF75E095"/>
    <w:multiLevelType w:val="singleLevel"/>
    <w:tmpl w:val="FF75E095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BFB81E"/>
    <w:rsid w:val="171CC50A"/>
    <w:rsid w:val="178F6436"/>
    <w:rsid w:val="36DFBFA2"/>
    <w:rsid w:val="3BFB0672"/>
    <w:rsid w:val="3EEF3F89"/>
    <w:rsid w:val="3FB631BC"/>
    <w:rsid w:val="4FBDD68B"/>
    <w:rsid w:val="55FF13CE"/>
    <w:rsid w:val="5FFEECD8"/>
    <w:rsid w:val="64FF1F97"/>
    <w:rsid w:val="6F3BD285"/>
    <w:rsid w:val="75FB6271"/>
    <w:rsid w:val="7BFF0FCF"/>
    <w:rsid w:val="7EF778C5"/>
    <w:rsid w:val="7F770F9C"/>
    <w:rsid w:val="9DDE4ACC"/>
    <w:rsid w:val="AFE7EF1A"/>
    <w:rsid w:val="B2F2F70A"/>
    <w:rsid w:val="B3D89137"/>
    <w:rsid w:val="BFD7BBAE"/>
    <w:rsid w:val="D7ED2A56"/>
    <w:rsid w:val="DB748DED"/>
    <w:rsid w:val="F3BFB81E"/>
    <w:rsid w:val="FEFE3389"/>
    <w:rsid w:val="FEFF7F46"/>
    <w:rsid w:val="FFBA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0"/>
      <w:szCs w:val="20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7"/>
    <w:qFormat/>
    <w:uiPriority w:val="0"/>
    <w:rPr>
      <w:i/>
      <w:iCs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2">
    <w:name w:val="HTML Code"/>
    <w:basedOn w:val="7"/>
    <w:uiPriority w:val="0"/>
    <w:rPr>
      <w:rFonts w:ascii="Courier New" w:hAnsi="Courier New" w:cs="Courier New"/>
      <w:sz w:val="20"/>
      <w:szCs w:val="20"/>
    </w:rPr>
  </w:style>
  <w:style w:type="character" w:styleId="13">
    <w:name w:val="Hyperlink"/>
    <w:basedOn w:val="7"/>
    <w:uiPriority w:val="0"/>
    <w:rPr>
      <w:color w:val="0000FF"/>
      <w:u w:val="single"/>
    </w:rPr>
  </w:style>
  <w:style w:type="paragraph" w:styleId="14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5">
    <w:name w:val="Strong"/>
    <w:basedOn w:val="7"/>
    <w:qFormat/>
    <w:uiPriority w:val="0"/>
    <w:rPr>
      <w:b/>
      <w:bCs/>
    </w:rPr>
  </w:style>
  <w:style w:type="paragraph" w:styleId="16">
    <w:name w:val="toc 1"/>
    <w:basedOn w:val="1"/>
    <w:next w:val="1"/>
    <w:uiPriority w:val="0"/>
  </w:style>
  <w:style w:type="paragraph" w:customStyle="1" w:styleId="17">
    <w:name w:val="WPSOffice手动目录 1"/>
    <w:uiPriority w:val="0"/>
    <w:pPr>
      <w:ind w:leftChars="0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Office_12.1.23152.23152_F1E327BC-269C-435d-A152-05C5408002CA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2026-02-13T15:16:00Z</dcterms:created>
  <dc:creator>Инна Здравствуйте.</dc:creator>
  <cp:lastModifiedBy>Инна Здравствуйте.</cp:lastModifiedBy>
  <dcterms:modified xsi:type="dcterms:W3CDTF">2026-02-14T21:19:58Z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1033-12.1.23152.23152</vt:lpwstr>
  </property>
  <property fmtid="{D5CDD505-2E9C-101B-9397-08002B2CF9AE}" pid="3" name="ICV">
    <vt:lpwstr>922176B6D4464E9342728F693C81CEDB_43</vt:lpwstr>
  </property>
</Properties>
</file>