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80" w:before="0" w:line="288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usscdwi6tlaq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Asist. Univ. Dr. Ionela Manole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80" w:before="0" w:line="288" w:lineRule="auto"/>
        <w:rPr>
          <w:rFonts w:ascii="Times New Roman" w:cs="Times New Roman" w:eastAsia="Times New Roman" w:hAnsi="Times New Roman"/>
          <w:color w:val="aa8e67"/>
          <w:sz w:val="24"/>
          <w:szCs w:val="24"/>
        </w:rPr>
      </w:pPr>
      <w:bookmarkStart w:colFirst="0" w:colLast="0" w:name="_wh6lhyq0e0rn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aa8e67"/>
          <w:sz w:val="24"/>
          <w:szCs w:val="24"/>
          <w:rtl w:val="0"/>
        </w:rPr>
        <w:t xml:space="preserve">Educație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2017 - prezent: Doctorand, Universitatea de Medicină și Farmacie „Carol Davila”, București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hd w:fill="ffffff" w:val="clear"/>
        <w:spacing w:after="2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2002 - 2008: Universitatea de Medicină și Farmacie „Carol Davila” – Facultatea de Medicină Generală, București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hd w:fill="ffffff" w:val="clear"/>
        <w:spacing w:after="80" w:before="0" w:line="288" w:lineRule="auto"/>
        <w:rPr>
          <w:rFonts w:ascii="Times New Roman" w:cs="Times New Roman" w:eastAsia="Times New Roman" w:hAnsi="Times New Roman"/>
          <w:color w:val="aa8e67"/>
          <w:sz w:val="24"/>
          <w:szCs w:val="24"/>
        </w:rPr>
      </w:pPr>
      <w:bookmarkStart w:colFirst="0" w:colLast="0" w:name="_griykytdd0ry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aa8e67"/>
          <w:sz w:val="24"/>
          <w:szCs w:val="24"/>
          <w:rtl w:val="0"/>
        </w:rPr>
        <w:t xml:space="preserve">Experiență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2016 - prezent: Cercetător Științific - Medic Primar Dermatovenerologie, Spitalul Clinic Colentina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2017 - prezent: Asistent Universitar, Disciplina Dermatologie 2 - Spitalul Clinic Colentina, Universitatea de Medicină și Farmacie „Carol Davila”, București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2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2014 - 2018: Medic specialist Dermatovenerologie, Clinică privată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ffffff" w:val="clear"/>
        <w:spacing w:after="80" w:before="0" w:line="288" w:lineRule="auto"/>
        <w:rPr>
          <w:rFonts w:ascii="Times New Roman" w:cs="Times New Roman" w:eastAsia="Times New Roman" w:hAnsi="Times New Roman"/>
          <w:color w:val="aa8e67"/>
          <w:sz w:val="24"/>
          <w:szCs w:val="24"/>
        </w:rPr>
      </w:pPr>
      <w:bookmarkStart w:colFirst="0" w:colLast="0" w:name="_auyf8995kaob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aa8e67"/>
          <w:sz w:val="24"/>
          <w:szCs w:val="24"/>
          <w:rtl w:val="0"/>
        </w:rPr>
        <w:t xml:space="preserve">Certificări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Internship Next generation sequencing (NGS) to characterize the cutaneous microbiome in patients with psoriasis - Experimental Dermatology and Immunobiology of the Skin at the Department of Dermatology, University of Münster, Germany (January- March 2018);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2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Internship Occupational Skin Diseases - February 2016, Coronel Institute of Occupational Health, Amsterdam, Netherlands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after="80" w:before="0" w:line="288" w:lineRule="auto"/>
        <w:rPr>
          <w:rFonts w:ascii="Times New Roman" w:cs="Times New Roman" w:eastAsia="Times New Roman" w:hAnsi="Times New Roman"/>
          <w:color w:val="aa8e67"/>
          <w:sz w:val="24"/>
          <w:szCs w:val="24"/>
        </w:rPr>
      </w:pPr>
      <w:bookmarkStart w:colFirst="0" w:colLast="0" w:name="_sionyf6ffzdp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aa8e67"/>
          <w:sz w:val="24"/>
          <w:szCs w:val="24"/>
          <w:rtl w:val="0"/>
        </w:rPr>
        <w:t xml:space="preserve">Publicații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Eiken, A., Laugesen, C. P., Isberg, A., Thomsen, S. F., Ali, Z., Chiriac, A., ... , Manole I. &amp; Zibert, J. R. (2021). Smartphone data offer insights into disease activity and triggers in atopic dermatitis: a fully decentralised remote longitudinal pilot study. Journal of the European Academy of Dermatology and Venereology.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Moldovan HR, Manole I, Suru A, Butacu AI, Tatu AL, Lupu A, Dascalu M, Tiplica GS, Salavastru CM. Prevention of Hand Eczema among Nurse Apprentice (PREVEDERM): An Interventional Study. Annals of Work Exposures and Health. 2020.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Manole I, Butacu A, Negulet I, et al. (October 28, 2020) Primary Cutaneous CD30+ Anaplastic Large Cell Lymphoma: A Rare Association With Large Plaque Parapsoriasis. Cureus 12(10): e11228. doi:10.7759/cureus.11228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Garakani, A., Malmstedt-Miller, M., Manole, I., Rossler, A. Y., &amp; Zibert, J. R. (2020). Psoriasis Severity Assessment with a Similarity-Clustering Machine Learning Approach Reduces Intra-and Inter-observation variation. arXiv preprint arXiv:2009.08997.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Manole I, Butacu AI, Dudu I, Tiplica GS. (2020). Skin reactions and medical protective equipment Ro Med J. 2020;67(2). DOI: 10.37897/RMJ.2020.2.2.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Tiplica GS, Salavastru CM, Szepietowski JC, Czarnecka-Operacz M, Suru A, Manole I. Recommended Strategies For Atopic Dermatitis Management In Romania. Romanian Medical Journal. 2019 Oct 1;66(4).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Manole I, Tiplica GS. Studiul microbiomului la pacientii cu psoriazis. Romanian Medical Journal. 2019 Oct 1;66(4).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Lungu AI, Butacu AI, Manole I, Suru A, Țiplica GS, Sălăvăstru CM. (2017) Dosimeters: measuring occupational UV exposure's involvement in skin cancer development. RJMM, 120(1), p.52.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Suru A, Manole I, Tiplica GS, Salavastru CM. Basal cell carcinoma: when excision is not an option. Romanian Journal of Clinical and Experimental Dermatology. 2017 Sep 24;4(3)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Draganita, AM, Manole I. (2015). Update of atopic dermatitis: what’s new in systemic treatment for children with severe atopic dermatitis. Dermatita atopică moderat–severă la copii: noutăți în terapia sistemică. Romanian Journal of Clinical and Experimental Dermatology, 2(1).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C. Stoian, Raluca Andreea Vladuta, Elena Dina, Ionela Manole, Maria Magdalena Constantin, Carmen Curea, George-Sorin Tiplica. (2012) Dermatoses of pregnancy- DermatoVenerol. (Buc.), 57: 265-271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Butacu AI, Manole I, Tiplica GS. (2020) Lichen plano-pilar: forma clasica. In: Prezentări de cazuri clinice în dermatologie. Editors: Loredana Ungureanu. Editura Bioflux, Cluj-Napoca ISBN 978-606-8887-72-2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Manole I, Butacu AI, Tiplica GS. (2020) Mycosis fungoides, stadiul de placă. In: Prezentări de cazuri clinice în dermatologie. Editors: Loredana Ungureanu. Editura Bioflux, Cluj-Napoca ISBN 978-606-8887-72-2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Salame A, Manole I, Butacu AI, Tiplica GS. (2020) Pyoderma gangrenosum în asociere cu boală inflamatorie intestinală. In: Prezentări de cazuri clinice în dermatologie. Editors: Loredana Ungureanu. Editura Bioflux, Cluj-Napoca ISBN 978-606-8887-72-2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Manole I, Butacu AI, Zurac S, Tiplica GS. (2020) An acral spot in a 73-year-old male. In: Clinical Cases in Melanoma. Editors: Lotti, Torello, Tirant, Michael, Wollina, Uwe. Springer International Publishing ISBN 978-3-030-50820-3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Butacu AI, Manole I, Zurac S, Tiplica GS. (2020) Hypomelanotic nodular lesions in a 38-year-old female.. In: Clinical Cases in Melanoma. Editors: Lotti, Torello, Tirant, Michael, Wollina, Uwe. Springer International Publishing ISBN 978-3-030-50820-3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Tiplica GS., Salavastru C.M., Manole I., Tovaru M. (2020) Skin Drug Reactions. In: Smoller B., Bagherani N. (eds) Atlas of Dermatology, Dermatopathology and Venereology. Springer, Cham. https://doi.org/10.1007/978-3-319-45134-3_59-1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Salavastru C.M., Manole I., Chiriac A., Tiplica GS. (2020) Cutaneous Virus Infections. In: Smoller B., Bagherani N. (eds) Atlas of Dermatology, Dermatopathology and Venereology. Springer, Cham. https://doi.org/10.1007/978-3-319-45134-3_68-1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22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Manole I, Suru A, Tiplica GS. Infectii mycobacteriene. Manual de dermatologie pentru studenti. ISBN 978-973-708-986-1. Ed. Universitara Carol Davila, Bucuresti, 2018.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