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
        <w:tblW w:w="0" w:type="auto"/>
        <w:tblLayout w:type="fixed"/>
        <w:tblLook w:val="04A0" w:firstRow="1" w:lastRow="0" w:firstColumn="1" w:lastColumn="0" w:noHBand="0" w:noVBand="1"/>
      </w:tblPr>
      <w:tblGrid>
        <w:gridCol w:w="2875"/>
        <w:gridCol w:w="3972"/>
        <w:gridCol w:w="2257"/>
        <w:gridCol w:w="1686"/>
      </w:tblGrid>
      <w:tr w:rsidR="00467277" w14:paraId="214FD10D" w14:textId="77777777" w:rsidTr="00467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4D669C21" w14:textId="1C592AC0" w:rsidR="00187AB3" w:rsidRPr="003E15B6" w:rsidRDefault="007170F0" w:rsidP="00B13096">
            <w:pPr>
              <w:jc w:val="center"/>
            </w:pPr>
            <w:r w:rsidRPr="003E15B6">
              <w:t>TOPIC</w:t>
            </w:r>
          </w:p>
        </w:tc>
        <w:tc>
          <w:tcPr>
            <w:tcW w:w="3972" w:type="dxa"/>
            <w:shd w:val="clear" w:color="auto" w:fill="DAE9F7" w:themeFill="text2" w:themeFillTint="1A"/>
          </w:tcPr>
          <w:p w14:paraId="748088FC" w14:textId="2DD719DE" w:rsidR="00187AB3" w:rsidRPr="003E15B6" w:rsidRDefault="007170F0" w:rsidP="00B13096">
            <w:pPr>
              <w:jc w:val="center"/>
              <w:cnfStyle w:val="100000000000" w:firstRow="1" w:lastRow="0" w:firstColumn="0" w:lastColumn="0" w:oddVBand="0" w:evenVBand="0" w:oddHBand="0" w:evenHBand="0" w:firstRowFirstColumn="0" w:firstRowLastColumn="0" w:lastRowFirstColumn="0" w:lastRowLastColumn="0"/>
            </w:pPr>
            <w:r w:rsidRPr="003E15B6">
              <w:t>REGULATORY GUIDANCE</w:t>
            </w:r>
          </w:p>
        </w:tc>
        <w:tc>
          <w:tcPr>
            <w:tcW w:w="2257" w:type="dxa"/>
            <w:shd w:val="clear" w:color="auto" w:fill="DAE9F7" w:themeFill="text2" w:themeFillTint="1A"/>
          </w:tcPr>
          <w:p w14:paraId="02141413" w14:textId="7B636464" w:rsidR="00187AB3" w:rsidRPr="003E15B6" w:rsidRDefault="007170F0" w:rsidP="00B13096">
            <w:pPr>
              <w:jc w:val="center"/>
              <w:cnfStyle w:val="100000000000" w:firstRow="1" w:lastRow="0" w:firstColumn="0" w:lastColumn="0" w:oddVBand="0" w:evenVBand="0" w:oddHBand="0" w:evenHBand="0" w:firstRowFirstColumn="0" w:firstRowLastColumn="0" w:lastRowFirstColumn="0" w:lastRowLastColumn="0"/>
            </w:pPr>
            <w:r w:rsidRPr="003E15B6">
              <w:t>POLICY &amp; PROCEDURE</w:t>
            </w:r>
          </w:p>
        </w:tc>
        <w:tc>
          <w:tcPr>
            <w:tcW w:w="1686" w:type="dxa"/>
            <w:shd w:val="clear" w:color="auto" w:fill="DAE9F7" w:themeFill="text2" w:themeFillTint="1A"/>
          </w:tcPr>
          <w:p w14:paraId="595B7340" w14:textId="77777777" w:rsidR="00DE3C06" w:rsidRDefault="00B13096" w:rsidP="00B13096">
            <w:pPr>
              <w:jc w:val="center"/>
              <w:cnfStyle w:val="100000000000" w:firstRow="1" w:lastRow="0" w:firstColumn="0" w:lastColumn="0" w:oddVBand="0" w:evenVBand="0" w:oddHBand="0" w:evenHBand="0" w:firstRowFirstColumn="0" w:firstRowLastColumn="0" w:lastRowFirstColumn="0" w:lastRowLastColumn="0"/>
              <w:rPr>
                <w:b w:val="0"/>
                <w:bCs w:val="0"/>
              </w:rPr>
            </w:pPr>
            <w:r w:rsidRPr="003E15B6">
              <w:t xml:space="preserve">AREAS </w:t>
            </w:r>
          </w:p>
          <w:p w14:paraId="5752DF5D" w14:textId="20A44799" w:rsidR="00187AB3" w:rsidRPr="003E15B6" w:rsidRDefault="00B13096" w:rsidP="00B13096">
            <w:pPr>
              <w:jc w:val="center"/>
              <w:cnfStyle w:val="100000000000" w:firstRow="1" w:lastRow="0" w:firstColumn="0" w:lastColumn="0" w:oddVBand="0" w:evenVBand="0" w:oddHBand="0" w:evenHBand="0" w:firstRowFirstColumn="0" w:firstRowLastColumn="0" w:lastRowFirstColumn="0" w:lastRowLastColumn="0"/>
            </w:pPr>
            <w:r w:rsidRPr="003E15B6">
              <w:t>TO BE ADDRESSED</w:t>
            </w:r>
          </w:p>
        </w:tc>
      </w:tr>
      <w:tr w:rsidR="00467277" w14:paraId="25B596F8"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2113F935" w14:textId="2CEC6BC2" w:rsidR="00C148EF" w:rsidRPr="00C148EF" w:rsidRDefault="00C148EF">
            <w:r w:rsidRPr="00C148EF">
              <w:t>F605</w:t>
            </w:r>
          </w:p>
          <w:p w14:paraId="32D93B85" w14:textId="77777777" w:rsidR="00DE3C06" w:rsidRDefault="00DE3C06">
            <w:pPr>
              <w:rPr>
                <w:b w:val="0"/>
                <w:bCs w:val="0"/>
              </w:rPr>
            </w:pPr>
          </w:p>
          <w:p w14:paraId="0E13972C" w14:textId="6B659385" w:rsidR="00187AB3" w:rsidRDefault="00C148EF">
            <w:r w:rsidRPr="00C148EF">
              <w:t>Chemical Restraints/Unnecessary Psychotropic Medication</w:t>
            </w:r>
          </w:p>
        </w:tc>
        <w:tc>
          <w:tcPr>
            <w:tcW w:w="3972" w:type="dxa"/>
          </w:tcPr>
          <w:p w14:paraId="6C7A4829" w14:textId="77777777" w:rsidR="00187AB3" w:rsidRPr="00BF1A96" w:rsidRDefault="00D24227" w:rsidP="00D2422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rPr>
            </w:pPr>
            <w:r w:rsidRPr="00BF1A96">
              <w:rPr>
                <w:sz w:val="22"/>
              </w:rPr>
              <w:t>Regulations and guidance for the unnecessary use of psychotropics (F758) have been incorporated into F605</w:t>
            </w:r>
          </w:p>
          <w:p w14:paraId="01BE7CB3" w14:textId="77777777" w:rsidR="00D24227" w:rsidRPr="00BF1A96" w:rsidRDefault="003E1E82" w:rsidP="00D2422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rPr>
            </w:pPr>
            <w:r w:rsidRPr="00BF1A96">
              <w:rPr>
                <w:sz w:val="22"/>
              </w:rPr>
              <w:t>Additional guidance has been added to emphasize requirements related to the right to be fully informed of and participate in or refuse treatment, noting that before initiating or increasing a psychotropic medication, the resident must be notified of and have the right to participate in their treatment, including the right to accept or decline the medication.</w:t>
            </w:r>
          </w:p>
          <w:p w14:paraId="696AA32D" w14:textId="77777777" w:rsidR="003E1E82" w:rsidRPr="009F6438" w:rsidRDefault="00BF1A96" w:rsidP="00D24227">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BF1A96">
              <w:rPr>
                <w:sz w:val="22"/>
              </w:rPr>
              <w:t xml:space="preserve">Unnecessary Medications (F757) </w:t>
            </w:r>
            <w:proofErr w:type="gramStart"/>
            <w:r w:rsidRPr="00BF1A96">
              <w:rPr>
                <w:sz w:val="22"/>
              </w:rPr>
              <w:t>has</w:t>
            </w:r>
            <w:proofErr w:type="gramEnd"/>
            <w:r w:rsidRPr="00BF1A96">
              <w:rPr>
                <w:sz w:val="22"/>
              </w:rPr>
              <w:t xml:space="preserve"> been revised to only include guidance for non-psychotropic medications.</w:t>
            </w:r>
          </w:p>
          <w:p w14:paraId="209B3659" w14:textId="7D1D321D" w:rsidR="009F6438" w:rsidRDefault="009F6438" w:rsidP="009F6438">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2257" w:type="dxa"/>
          </w:tcPr>
          <w:p w14:paraId="72E8AB48" w14:textId="77777777" w:rsidR="00187AB3" w:rsidRPr="00DA5F17" w:rsidRDefault="009F6438" w:rsidP="00BF1A9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Psychotropic Medications</w:t>
            </w:r>
          </w:p>
          <w:p w14:paraId="7D80B31E" w14:textId="4F762B32" w:rsidR="0032000A" w:rsidRPr="00DA5F17" w:rsidRDefault="0032000A" w:rsidP="00BF1A9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Free from Unnecessary Drugs</w:t>
            </w:r>
          </w:p>
        </w:tc>
        <w:tc>
          <w:tcPr>
            <w:tcW w:w="1686" w:type="dxa"/>
          </w:tcPr>
          <w:p w14:paraId="4D648E58" w14:textId="726AF236" w:rsidR="00187AB3" w:rsidRPr="000A3155" w:rsidRDefault="00187AB3">
            <w:pPr>
              <w:cnfStyle w:val="000000000000" w:firstRow="0" w:lastRow="0" w:firstColumn="0" w:lastColumn="0" w:oddVBand="0" w:evenVBand="0" w:oddHBand="0" w:evenHBand="0" w:firstRowFirstColumn="0" w:firstRowLastColumn="0" w:lastRowFirstColumn="0" w:lastRowLastColumn="0"/>
              <w:rPr>
                <w:b/>
                <w:bCs/>
                <w:color w:val="FF0000"/>
              </w:rPr>
            </w:pPr>
          </w:p>
        </w:tc>
      </w:tr>
      <w:tr w:rsidR="00187AB3" w14:paraId="7671D46B"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554E92E0" w14:textId="0B7650E3" w:rsidR="00C148EF" w:rsidRPr="00DE3C06" w:rsidRDefault="00C148EF">
            <w:r w:rsidRPr="00DE3C06">
              <w:t>F620, F627, F628</w:t>
            </w:r>
          </w:p>
          <w:p w14:paraId="24655B3E" w14:textId="77777777" w:rsidR="00DE3C06" w:rsidRDefault="00DE3C06">
            <w:pPr>
              <w:rPr>
                <w:b w:val="0"/>
                <w:bCs w:val="0"/>
              </w:rPr>
            </w:pPr>
          </w:p>
          <w:p w14:paraId="426D6922" w14:textId="52CD2DDD" w:rsidR="00187AB3" w:rsidRDefault="002A3D01">
            <w:r>
              <w:t>Admission, Transfer, and Discharge</w:t>
            </w:r>
          </w:p>
        </w:tc>
        <w:tc>
          <w:tcPr>
            <w:tcW w:w="3972" w:type="dxa"/>
          </w:tcPr>
          <w:p w14:paraId="46E38AE1" w14:textId="77777777" w:rsidR="00425C33" w:rsidRPr="00DE3C06" w:rsidRDefault="005B670F" w:rsidP="00425C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E3C06">
              <w:rPr>
                <w:sz w:val="22"/>
              </w:rPr>
              <w:t>F620 clarified that third party guarantee of payment language is prohibited in admission agreements.</w:t>
            </w:r>
          </w:p>
          <w:p w14:paraId="3F0E432F" w14:textId="77777777" w:rsidR="005B670F" w:rsidRPr="00DE3C06" w:rsidRDefault="00C17D6C" w:rsidP="00425C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E3C06">
              <w:rPr>
                <w:sz w:val="22"/>
              </w:rPr>
              <w:t>F622 – 625 and F660 – F661</w:t>
            </w:r>
            <w:r w:rsidR="00426A95" w:rsidRPr="00DE3C06">
              <w:rPr>
                <w:sz w:val="22"/>
              </w:rPr>
              <w:t>were removed to reduce the overlapping of citations regarding discharges.</w:t>
            </w:r>
          </w:p>
          <w:p w14:paraId="2A54ACDD" w14:textId="77777777" w:rsidR="00CB7CB4" w:rsidRPr="00DE3C06" w:rsidRDefault="00CB7CB4" w:rsidP="00425C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E3C06">
              <w:rPr>
                <w:sz w:val="22"/>
              </w:rPr>
              <w:t xml:space="preserve">Compliance with discharge and discharge </w:t>
            </w:r>
            <w:proofErr w:type="gramStart"/>
            <w:r w:rsidRPr="00DE3C06">
              <w:rPr>
                <w:sz w:val="22"/>
              </w:rPr>
              <w:t>process</w:t>
            </w:r>
            <w:proofErr w:type="gramEnd"/>
            <w:r w:rsidRPr="00DE3C06">
              <w:rPr>
                <w:sz w:val="22"/>
              </w:rPr>
              <w:t xml:space="preserve"> were changed to Inappropriate Transfers and Discharges (F627) and Transfer and Discharge Process (F628). </w:t>
            </w:r>
          </w:p>
          <w:p w14:paraId="347682C1" w14:textId="77777777" w:rsidR="00426A95" w:rsidRPr="00DE3C06" w:rsidRDefault="00CB7CB4" w:rsidP="00425C3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E3C06">
              <w:rPr>
                <w:sz w:val="22"/>
              </w:rPr>
              <w:t>The language “resident initiated” and “facility initiated” discharge was removed.</w:t>
            </w:r>
          </w:p>
          <w:p w14:paraId="7A670A4D" w14:textId="4F46EB2F" w:rsidR="00BD7D66" w:rsidRDefault="00BD7D66" w:rsidP="00BD7D66">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2257" w:type="dxa"/>
          </w:tcPr>
          <w:p w14:paraId="6732E91D" w14:textId="77777777" w:rsidR="00187AB3" w:rsidRPr="00DA5F17" w:rsidRDefault="00BD7D66" w:rsidP="00BD7D6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Admission Policy</w:t>
            </w:r>
          </w:p>
          <w:p w14:paraId="5E031AB7" w14:textId="2BBEA9C8" w:rsidR="00BD7D66" w:rsidRPr="00DA5F17" w:rsidRDefault="00BD7D66" w:rsidP="00BD7D6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Transfers and Discharges Policy</w:t>
            </w:r>
          </w:p>
        </w:tc>
        <w:tc>
          <w:tcPr>
            <w:tcW w:w="1686" w:type="dxa"/>
          </w:tcPr>
          <w:p w14:paraId="3824CA4E" w14:textId="0BDAFDB4" w:rsidR="00187AB3" w:rsidRPr="00E964E5" w:rsidRDefault="00187AB3">
            <w:pPr>
              <w:cnfStyle w:val="000000000000" w:firstRow="0" w:lastRow="0" w:firstColumn="0" w:lastColumn="0" w:oddVBand="0" w:evenVBand="0" w:oddHBand="0" w:evenHBand="0" w:firstRowFirstColumn="0" w:firstRowLastColumn="0" w:lastRowFirstColumn="0" w:lastRowLastColumn="0"/>
              <w:rPr>
                <w:color w:val="FF0000"/>
              </w:rPr>
            </w:pPr>
          </w:p>
        </w:tc>
      </w:tr>
      <w:tr w:rsidR="00467277" w14:paraId="7E861D86"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578DDC02" w14:textId="33694C43" w:rsidR="004C06C3" w:rsidRPr="004C06C3" w:rsidRDefault="004C06C3">
            <w:r w:rsidRPr="004C06C3">
              <w:t>F658</w:t>
            </w:r>
          </w:p>
          <w:p w14:paraId="6A2B458E" w14:textId="77777777" w:rsidR="004C06C3" w:rsidRDefault="004C06C3">
            <w:pPr>
              <w:rPr>
                <w:b w:val="0"/>
                <w:bCs w:val="0"/>
              </w:rPr>
            </w:pPr>
          </w:p>
          <w:p w14:paraId="07EF1505" w14:textId="4EC481C7" w:rsidR="00187AB3" w:rsidRDefault="00DE3C06">
            <w:r>
              <w:t xml:space="preserve">Professional Standards </w:t>
            </w:r>
          </w:p>
        </w:tc>
        <w:tc>
          <w:tcPr>
            <w:tcW w:w="3972" w:type="dxa"/>
          </w:tcPr>
          <w:p w14:paraId="7A0615F0" w14:textId="32E12AD7" w:rsidR="00187AB3" w:rsidRPr="00146EBC" w:rsidRDefault="00682600" w:rsidP="00146EB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sidRPr="00682600">
              <w:rPr>
                <w:sz w:val="22"/>
              </w:rPr>
              <w:t xml:space="preserve">Instructions for investigating adherence to professional standards of practice when concerns arise regarding residents diagnosed with a condition without sufficient supporting documentation for which antipsychotic medications are an approved indication were added to the guidance at </w:t>
            </w:r>
            <w:r>
              <w:rPr>
                <w:sz w:val="22"/>
              </w:rPr>
              <w:t>F</w:t>
            </w:r>
            <w:r w:rsidR="00146EBC">
              <w:rPr>
                <w:sz w:val="22"/>
              </w:rPr>
              <w:t xml:space="preserve">658 </w:t>
            </w:r>
            <w:r w:rsidRPr="00682600">
              <w:rPr>
                <w:sz w:val="22"/>
              </w:rPr>
              <w:t>Professional Standards</w:t>
            </w:r>
          </w:p>
        </w:tc>
        <w:tc>
          <w:tcPr>
            <w:tcW w:w="2257" w:type="dxa"/>
          </w:tcPr>
          <w:p w14:paraId="54AB425E" w14:textId="1B72A2EA" w:rsidR="00187AB3" w:rsidRDefault="00146EBC" w:rsidP="00146EB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Responsibilities of the Medical Director</w:t>
            </w:r>
            <w:r w:rsidR="00074A33">
              <w:rPr>
                <w:sz w:val="22"/>
              </w:rPr>
              <w:t xml:space="preserve"> – </w:t>
            </w:r>
          </w:p>
          <w:p w14:paraId="56849012" w14:textId="25F91508" w:rsidR="00074A33" w:rsidRPr="00DA5F17" w:rsidRDefault="00074A33" w:rsidP="00074A33">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1686" w:type="dxa"/>
          </w:tcPr>
          <w:p w14:paraId="35B45D24" w14:textId="77777777" w:rsidR="005D7138" w:rsidRDefault="005D7138">
            <w:pPr>
              <w:cnfStyle w:val="000000000000" w:firstRow="0" w:lastRow="0" w:firstColumn="0" w:lastColumn="0" w:oddVBand="0" w:evenVBand="0" w:oddHBand="0" w:evenHBand="0" w:firstRowFirstColumn="0" w:firstRowLastColumn="0" w:lastRowFirstColumn="0" w:lastRowLastColumn="0"/>
              <w:rPr>
                <w:b/>
                <w:bCs/>
                <w:color w:val="47D459" w:themeColor="accent3" w:themeTint="99"/>
              </w:rPr>
            </w:pPr>
          </w:p>
          <w:p w14:paraId="3697F45B" w14:textId="5FA8A3A1" w:rsidR="005D7138" w:rsidRPr="000A3155" w:rsidRDefault="005D7138">
            <w:pPr>
              <w:cnfStyle w:val="000000000000" w:firstRow="0" w:lastRow="0" w:firstColumn="0" w:lastColumn="0" w:oddVBand="0" w:evenVBand="0" w:oddHBand="0" w:evenHBand="0" w:firstRowFirstColumn="0" w:firstRowLastColumn="0" w:lastRowFirstColumn="0" w:lastRowLastColumn="0"/>
              <w:rPr>
                <w:b/>
                <w:bCs/>
                <w:color w:val="FF0000"/>
              </w:rPr>
            </w:pPr>
          </w:p>
        </w:tc>
      </w:tr>
      <w:tr w:rsidR="00187AB3" w14:paraId="799E493C"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4594A92F" w14:textId="0D6D8891" w:rsidR="00146EBC" w:rsidRPr="00146EBC" w:rsidRDefault="00146EBC">
            <w:r w:rsidRPr="00146EBC">
              <w:lastRenderedPageBreak/>
              <w:t>F841</w:t>
            </w:r>
          </w:p>
          <w:p w14:paraId="733F289D" w14:textId="77777777" w:rsidR="00146EBC" w:rsidRDefault="00146EBC">
            <w:pPr>
              <w:rPr>
                <w:b w:val="0"/>
                <w:bCs w:val="0"/>
              </w:rPr>
            </w:pPr>
          </w:p>
          <w:p w14:paraId="7A278F0B" w14:textId="143B64BF" w:rsidR="00187AB3" w:rsidRDefault="00146EBC">
            <w:r>
              <w:t>Medical Director</w:t>
            </w:r>
          </w:p>
        </w:tc>
        <w:tc>
          <w:tcPr>
            <w:tcW w:w="3972" w:type="dxa"/>
          </w:tcPr>
          <w:p w14:paraId="35A63B12" w14:textId="77777777" w:rsidR="00146EBC" w:rsidRDefault="00146EBC" w:rsidP="00146EB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sidRPr="006806A0">
              <w:rPr>
                <w:sz w:val="22"/>
              </w:rPr>
              <w:t>Clarification regarding the medical director’s responsibilities was added to F841</w:t>
            </w:r>
            <w:r>
              <w:rPr>
                <w:sz w:val="22"/>
              </w:rPr>
              <w:t xml:space="preserve">. </w:t>
            </w:r>
            <w:r w:rsidRPr="006806A0">
              <w:rPr>
                <w:sz w:val="22"/>
              </w:rPr>
              <w:t>This includes the Medical Director’s responsibility to oversee physicians and other practitioners’ adherence to facility P</w:t>
            </w:r>
            <w:r>
              <w:rPr>
                <w:sz w:val="22"/>
              </w:rPr>
              <w:t>/</w:t>
            </w:r>
            <w:r w:rsidRPr="006806A0">
              <w:rPr>
                <w:sz w:val="22"/>
              </w:rPr>
              <w:t>Ps for prescribing coordinating resident medical care.</w:t>
            </w:r>
          </w:p>
          <w:p w14:paraId="2C8F62DE" w14:textId="77777777" w:rsidR="00187AB3" w:rsidRPr="00146EBC" w:rsidRDefault="00146EBC" w:rsidP="00146EBC">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46EBC">
              <w:rPr>
                <w:sz w:val="22"/>
              </w:rPr>
              <w:t>Interviewing the facility Medical Director was added to the Unnecessary Medications and Quality Assurance &amp; Performance Improvement (</w:t>
            </w:r>
            <w:proofErr w:type="spellStart"/>
            <w:r w:rsidRPr="00146EBC">
              <w:rPr>
                <w:sz w:val="22"/>
              </w:rPr>
              <w:t>QAPI</w:t>
            </w:r>
            <w:proofErr w:type="spellEnd"/>
            <w:r w:rsidRPr="00146EBC">
              <w:rPr>
                <w:sz w:val="22"/>
              </w:rPr>
              <w:t>) pathways.</w:t>
            </w:r>
          </w:p>
          <w:p w14:paraId="5AA79274" w14:textId="4535032C" w:rsidR="00146EBC" w:rsidRDefault="00146EBC" w:rsidP="0032000A">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2257" w:type="dxa"/>
          </w:tcPr>
          <w:p w14:paraId="69AA56E9" w14:textId="232CEA2A" w:rsidR="00187AB3" w:rsidRPr="00DA5F17" w:rsidRDefault="00146EBC" w:rsidP="00146EB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Responsibilities of the Medical Director</w:t>
            </w:r>
            <w:r w:rsidR="00D91B43">
              <w:rPr>
                <w:sz w:val="22"/>
              </w:rPr>
              <w:t xml:space="preserve"> </w:t>
            </w:r>
            <w:r w:rsidR="00D91B43" w:rsidRPr="002350A3">
              <w:rPr>
                <w:sz w:val="22"/>
              </w:rPr>
              <w:t>include QA Role</w:t>
            </w:r>
          </w:p>
        </w:tc>
        <w:tc>
          <w:tcPr>
            <w:tcW w:w="1686" w:type="dxa"/>
          </w:tcPr>
          <w:p w14:paraId="46D522A1" w14:textId="791BA5F0" w:rsidR="00187AB3" w:rsidRPr="00E964E5" w:rsidRDefault="00187AB3">
            <w:pPr>
              <w:cnfStyle w:val="000000000000" w:firstRow="0" w:lastRow="0" w:firstColumn="0" w:lastColumn="0" w:oddVBand="0" w:evenVBand="0" w:oddHBand="0" w:evenHBand="0" w:firstRowFirstColumn="0" w:firstRowLastColumn="0" w:lastRowFirstColumn="0" w:lastRowLastColumn="0"/>
              <w:rPr>
                <w:color w:val="FF0000"/>
              </w:rPr>
            </w:pPr>
          </w:p>
        </w:tc>
      </w:tr>
      <w:tr w:rsidR="00467277" w14:paraId="0B6FA91A"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16262160" w14:textId="00A37821" w:rsidR="00032CB6" w:rsidRDefault="00467277">
            <w:pPr>
              <w:rPr>
                <w:b w:val="0"/>
                <w:bCs w:val="0"/>
              </w:rPr>
            </w:pPr>
            <w:r w:rsidRPr="00467277">
              <w:t>F641</w:t>
            </w:r>
          </w:p>
          <w:p w14:paraId="4575A13C" w14:textId="77777777" w:rsidR="00467277" w:rsidRPr="00467277" w:rsidRDefault="00467277"/>
          <w:p w14:paraId="70D1B21E" w14:textId="77777777" w:rsidR="00467277" w:rsidRDefault="00032CB6">
            <w:pPr>
              <w:rPr>
                <w:b w:val="0"/>
                <w:bCs w:val="0"/>
              </w:rPr>
            </w:pPr>
            <w:r w:rsidRPr="00032CB6">
              <w:t>Accuracy/Coordination/</w:t>
            </w:r>
          </w:p>
          <w:p w14:paraId="486C7F54" w14:textId="65470683" w:rsidR="00187AB3" w:rsidRDefault="00032CB6">
            <w:r w:rsidRPr="00032CB6">
              <w:t>Certification</w:t>
            </w:r>
            <w:r w:rsidR="00467277">
              <w:t xml:space="preserve"> MDS</w:t>
            </w:r>
          </w:p>
        </w:tc>
        <w:tc>
          <w:tcPr>
            <w:tcW w:w="3972" w:type="dxa"/>
          </w:tcPr>
          <w:p w14:paraId="60BA626A" w14:textId="77777777" w:rsidR="00277B37" w:rsidRPr="00F6426E" w:rsidRDefault="00277B37" w:rsidP="00277B37">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F6426E">
              <w:rPr>
                <w:sz w:val="22"/>
              </w:rPr>
              <w:t>Instructions for investigating Minimum Data Set (MDS) assessment accuracy and determining whether noncompliance exists when a concern related to insufficient documentation to support a medical condition is identified for a resident receiving an antipsychotic medication were added to the guidance in F641</w:t>
            </w:r>
          </w:p>
          <w:p w14:paraId="04A9B9C0" w14:textId="77777777" w:rsidR="00187AB3" w:rsidRPr="00F6426E" w:rsidRDefault="00277B37" w:rsidP="00277B3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F6426E">
              <w:rPr>
                <w:sz w:val="22"/>
              </w:rPr>
              <w:t>Coordination/Certification of Assessment (F642) has been deleted.</w:t>
            </w:r>
          </w:p>
          <w:p w14:paraId="055D8F2A" w14:textId="695E6D33" w:rsidR="00F6426E" w:rsidRDefault="00F6426E" w:rsidP="00F6426E">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2257" w:type="dxa"/>
          </w:tcPr>
          <w:p w14:paraId="7265886D" w14:textId="245989DF" w:rsidR="00187AB3" w:rsidRDefault="00816A5C" w:rsidP="0019085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Review </w:t>
            </w:r>
            <w:r w:rsidR="00B410DA">
              <w:rPr>
                <w:sz w:val="22"/>
              </w:rPr>
              <w:t xml:space="preserve">facility’s </w:t>
            </w:r>
            <w:proofErr w:type="gramStart"/>
            <w:r w:rsidR="00190858" w:rsidRPr="00DA5F17">
              <w:rPr>
                <w:sz w:val="22"/>
              </w:rPr>
              <w:t xml:space="preserve">MDS </w:t>
            </w:r>
            <w:r w:rsidR="002350A3">
              <w:rPr>
                <w:sz w:val="22"/>
              </w:rPr>
              <w:t xml:space="preserve"> </w:t>
            </w:r>
            <w:r w:rsidR="00B410DA">
              <w:rPr>
                <w:sz w:val="22"/>
              </w:rPr>
              <w:t>P</w:t>
            </w:r>
            <w:proofErr w:type="gramEnd"/>
            <w:r w:rsidR="00B410DA">
              <w:rPr>
                <w:sz w:val="22"/>
              </w:rPr>
              <w:t>/Ps</w:t>
            </w:r>
            <w:r w:rsidR="00F16B96">
              <w:rPr>
                <w:sz w:val="22"/>
              </w:rPr>
              <w:t xml:space="preserve">  </w:t>
            </w:r>
          </w:p>
          <w:p w14:paraId="360F8DFA" w14:textId="2EE6C248" w:rsidR="00DB3A43" w:rsidRDefault="00DB3A43" w:rsidP="0019085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Educate </w:t>
            </w:r>
            <w:r w:rsidR="00835C52">
              <w:rPr>
                <w:sz w:val="22"/>
              </w:rPr>
              <w:t xml:space="preserve">IDT regarding </w:t>
            </w:r>
            <w:proofErr w:type="gramStart"/>
            <w:r w:rsidR="00835C52">
              <w:rPr>
                <w:sz w:val="22"/>
              </w:rPr>
              <w:t>important</w:t>
            </w:r>
            <w:proofErr w:type="gramEnd"/>
            <w:r w:rsidR="00835C52">
              <w:rPr>
                <w:sz w:val="22"/>
              </w:rPr>
              <w:t xml:space="preserve"> of compliance with the RAI Manual’s Coding instructions and the significant ramifi</w:t>
            </w:r>
            <w:r w:rsidR="00816A5C">
              <w:rPr>
                <w:sz w:val="22"/>
              </w:rPr>
              <w:t>cations/consequences of inaccurate MDS coding</w:t>
            </w:r>
          </w:p>
          <w:p w14:paraId="744C14E5" w14:textId="2B40237B" w:rsidR="00B410DA" w:rsidRDefault="00425F38" w:rsidP="0019085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Skills/Competencies in MDS Coding – IDT</w:t>
            </w:r>
          </w:p>
          <w:p w14:paraId="3C2B1BE2" w14:textId="591CE082" w:rsidR="000640A6" w:rsidRPr="00426278" w:rsidRDefault="00425F38" w:rsidP="000640A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Con</w:t>
            </w:r>
            <w:r w:rsidR="00426278">
              <w:rPr>
                <w:sz w:val="22"/>
              </w:rPr>
              <w:t>duct routine audits to ensure MDS coding accuracy</w:t>
            </w:r>
          </w:p>
          <w:p w14:paraId="7149E2F8" w14:textId="24F4D456" w:rsidR="000640A6" w:rsidRPr="000640A6" w:rsidRDefault="000640A6" w:rsidP="000640A6">
            <w:pPr>
              <w:cnfStyle w:val="000000000000" w:firstRow="0" w:lastRow="0" w:firstColumn="0" w:lastColumn="0" w:oddVBand="0" w:evenVBand="0" w:oddHBand="0" w:evenHBand="0" w:firstRowFirstColumn="0" w:firstRowLastColumn="0" w:lastRowFirstColumn="0" w:lastRowLastColumn="0"/>
              <w:rPr>
                <w:sz w:val="22"/>
              </w:rPr>
            </w:pPr>
          </w:p>
        </w:tc>
        <w:tc>
          <w:tcPr>
            <w:tcW w:w="1686" w:type="dxa"/>
          </w:tcPr>
          <w:p w14:paraId="3A954472" w14:textId="562E5685" w:rsidR="00187AB3" w:rsidRPr="004415A0" w:rsidRDefault="00187AB3" w:rsidP="00426278">
            <w:pPr>
              <w:pStyle w:val="ListParagraph"/>
              <w:spacing w:after="120" w:line="276" w:lineRule="auto"/>
              <w:ind w:left="36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187AB3" w14:paraId="75F036E1"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1BF82095" w14:textId="5475ABE0" w:rsidR="007229FF" w:rsidRDefault="00A80993">
            <w:pPr>
              <w:rPr>
                <w:b w:val="0"/>
                <w:bCs w:val="0"/>
              </w:rPr>
            </w:pPr>
            <w:r w:rsidRPr="007229FF">
              <w:t>F6</w:t>
            </w:r>
            <w:r w:rsidR="00CD2D90">
              <w:t>37</w:t>
            </w:r>
            <w:r>
              <w:t>,</w:t>
            </w:r>
            <w:r>
              <w:rPr>
                <w:b w:val="0"/>
                <w:bCs w:val="0"/>
              </w:rPr>
              <w:t xml:space="preserve"> </w:t>
            </w:r>
            <w:r w:rsidRPr="007229FF">
              <w:t>F677</w:t>
            </w:r>
          </w:p>
          <w:p w14:paraId="7C04A3F0" w14:textId="77777777" w:rsidR="00187AB3" w:rsidRDefault="007229FF">
            <w:pPr>
              <w:rPr>
                <w:b w:val="0"/>
                <w:bCs w:val="0"/>
              </w:rPr>
            </w:pPr>
            <w:r w:rsidRPr="007229FF">
              <w:t xml:space="preserve">Comprehensive Assessment After a Significant Change </w:t>
            </w:r>
          </w:p>
          <w:p w14:paraId="55B6FC32" w14:textId="76773895" w:rsidR="00622A0C" w:rsidRDefault="00622A0C"/>
        </w:tc>
        <w:tc>
          <w:tcPr>
            <w:tcW w:w="3972" w:type="dxa"/>
          </w:tcPr>
          <w:p w14:paraId="67F5FB61" w14:textId="424DACEC" w:rsidR="00187AB3" w:rsidRPr="00190858" w:rsidRDefault="00A80993" w:rsidP="001908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2"/>
              </w:rPr>
            </w:pPr>
            <w:r w:rsidRPr="00190858">
              <w:rPr>
                <w:sz w:val="22"/>
              </w:rPr>
              <w:t>Language was updated to reflect the levels of assistance a resident receives for self-care and mobility activities to align with section GG of the MDS.</w:t>
            </w:r>
          </w:p>
        </w:tc>
        <w:tc>
          <w:tcPr>
            <w:tcW w:w="2257" w:type="dxa"/>
          </w:tcPr>
          <w:p w14:paraId="62B9A3AF" w14:textId="7CEDB1D9" w:rsidR="00187AB3" w:rsidRPr="00DA5F17" w:rsidRDefault="00622A0C" w:rsidP="00622A0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Change in Condition</w:t>
            </w:r>
          </w:p>
        </w:tc>
        <w:tc>
          <w:tcPr>
            <w:tcW w:w="1686" w:type="dxa"/>
          </w:tcPr>
          <w:p w14:paraId="06C95C8D" w14:textId="34B9DF79" w:rsidR="00187AB3" w:rsidRPr="00E964E5" w:rsidRDefault="00187AB3">
            <w:pPr>
              <w:cnfStyle w:val="000000000000" w:firstRow="0" w:lastRow="0" w:firstColumn="0" w:lastColumn="0" w:oddVBand="0" w:evenVBand="0" w:oddHBand="0" w:evenHBand="0" w:firstRowFirstColumn="0" w:firstRowLastColumn="0" w:lastRowFirstColumn="0" w:lastRowLastColumn="0"/>
              <w:rPr>
                <w:color w:val="FF0000"/>
              </w:rPr>
            </w:pPr>
          </w:p>
        </w:tc>
      </w:tr>
      <w:tr w:rsidR="00467277" w14:paraId="5FED622D"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122A5086" w14:textId="5AD6A6B3" w:rsidR="00187AB3" w:rsidRDefault="005B60B0">
            <w:pPr>
              <w:rPr>
                <w:b w:val="0"/>
                <w:bCs w:val="0"/>
              </w:rPr>
            </w:pPr>
            <w:r>
              <w:t>F</w:t>
            </w:r>
            <w:r w:rsidR="00194D14">
              <w:t>867</w:t>
            </w:r>
          </w:p>
          <w:p w14:paraId="05C03384" w14:textId="77777777" w:rsidR="005B60B0" w:rsidRDefault="005B60B0">
            <w:pPr>
              <w:rPr>
                <w:b w:val="0"/>
                <w:bCs w:val="0"/>
              </w:rPr>
            </w:pPr>
          </w:p>
          <w:p w14:paraId="1B7655A5" w14:textId="10B24FA7" w:rsidR="005B60B0" w:rsidRDefault="005B60B0">
            <w:proofErr w:type="spellStart"/>
            <w:r>
              <w:t>QAPI</w:t>
            </w:r>
            <w:proofErr w:type="spellEnd"/>
            <w:r>
              <w:t>/</w:t>
            </w:r>
            <w:proofErr w:type="spellStart"/>
            <w:r>
              <w:t>QAA</w:t>
            </w:r>
            <w:proofErr w:type="spellEnd"/>
            <w:r w:rsidR="00194D14">
              <w:t xml:space="preserve"> Improvement Activities</w:t>
            </w:r>
          </w:p>
        </w:tc>
        <w:tc>
          <w:tcPr>
            <w:tcW w:w="3972" w:type="dxa"/>
          </w:tcPr>
          <w:p w14:paraId="78BF8CDA" w14:textId="77777777" w:rsidR="00187AB3" w:rsidRDefault="008019B2"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8019B2">
              <w:rPr>
                <w:sz w:val="22"/>
              </w:rPr>
              <w:t xml:space="preserve">New guidance was added incorporating health equity concerns when obtaining feedback, collecting and monitoring data related to </w:t>
            </w:r>
            <w:proofErr w:type="gramStart"/>
            <w:r w:rsidRPr="008019B2">
              <w:rPr>
                <w:sz w:val="22"/>
              </w:rPr>
              <w:t>outcomes</w:t>
            </w:r>
            <w:proofErr w:type="gramEnd"/>
            <w:r w:rsidRPr="008019B2">
              <w:rPr>
                <w:sz w:val="22"/>
              </w:rPr>
              <w:t xml:space="preserve"> of sub-populations, and analyzing factors known to affect </w:t>
            </w:r>
            <w:r w:rsidRPr="008019B2">
              <w:rPr>
                <w:sz w:val="22"/>
              </w:rPr>
              <w:lastRenderedPageBreak/>
              <w:t>health equity, such as race, socioeconomic status, or language when investigating medical errors and adverse events.</w:t>
            </w:r>
          </w:p>
          <w:p w14:paraId="25C050D1" w14:textId="3C9307D0" w:rsidR="009C5B44" w:rsidRPr="008019B2" w:rsidRDefault="009C5B44" w:rsidP="009C5B44">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30AD5DB3" w14:textId="31F78530" w:rsidR="00D27C49" w:rsidRPr="00D27C49" w:rsidRDefault="00BE4F2B"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proofErr w:type="spellStart"/>
            <w:r w:rsidRPr="00DA5F17">
              <w:rPr>
                <w:sz w:val="22"/>
              </w:rPr>
              <w:lastRenderedPageBreak/>
              <w:t>QAPI</w:t>
            </w:r>
            <w:proofErr w:type="spellEnd"/>
            <w:r w:rsidRPr="00DA5F17">
              <w:rPr>
                <w:sz w:val="22"/>
              </w:rPr>
              <w:t>/</w:t>
            </w:r>
            <w:proofErr w:type="spellStart"/>
            <w:r w:rsidRPr="00DA5F17">
              <w:rPr>
                <w:sz w:val="22"/>
              </w:rPr>
              <w:t>QAA</w:t>
            </w:r>
            <w:proofErr w:type="spellEnd"/>
            <w:r w:rsidR="00D27C49">
              <w:rPr>
                <w:sz w:val="22"/>
              </w:rPr>
              <w:t xml:space="preserve"> </w:t>
            </w:r>
            <w:r w:rsidR="00D27C49" w:rsidRPr="00D27C49">
              <w:rPr>
                <w:sz w:val="22"/>
                <w:highlight w:val="yellow"/>
              </w:rPr>
              <w:t xml:space="preserve"> </w:t>
            </w:r>
          </w:p>
          <w:p w14:paraId="5DE92C67" w14:textId="5F82A4C2" w:rsidR="00187AB3" w:rsidRPr="00DA5F17" w:rsidRDefault="00187AB3" w:rsidP="00D27C49">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1686" w:type="dxa"/>
          </w:tcPr>
          <w:p w14:paraId="55595A63" w14:textId="59BF0563" w:rsidR="00187AB3" w:rsidRPr="000A3155" w:rsidRDefault="00187AB3">
            <w:pPr>
              <w:cnfStyle w:val="000000000000" w:firstRow="0" w:lastRow="0" w:firstColumn="0" w:lastColumn="0" w:oddVBand="0" w:evenVBand="0" w:oddHBand="0" w:evenHBand="0" w:firstRowFirstColumn="0" w:firstRowLastColumn="0" w:lastRowFirstColumn="0" w:lastRowLastColumn="0"/>
              <w:rPr>
                <w:b/>
                <w:bCs/>
              </w:rPr>
            </w:pPr>
          </w:p>
        </w:tc>
      </w:tr>
      <w:tr w:rsidR="003A0564" w14:paraId="29965606"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6953021E" w14:textId="3A34BBDC" w:rsidR="00DA5F17" w:rsidRPr="00DA5F17" w:rsidRDefault="00DA5F17">
            <w:pPr>
              <w:rPr>
                <w:sz w:val="22"/>
              </w:rPr>
            </w:pPr>
            <w:r w:rsidRPr="00DA5F17">
              <w:rPr>
                <w:sz w:val="22"/>
              </w:rPr>
              <w:t>F678</w:t>
            </w:r>
          </w:p>
          <w:p w14:paraId="5CFD39FC" w14:textId="30852399" w:rsidR="003A0564" w:rsidRDefault="003A0564">
            <w:r w:rsidRPr="003A0564">
              <w:rPr>
                <w:sz w:val="22"/>
              </w:rPr>
              <w:t>Cardio-Pulmonary Resuscitation (CPR)</w:t>
            </w:r>
          </w:p>
        </w:tc>
        <w:tc>
          <w:tcPr>
            <w:tcW w:w="3972" w:type="dxa"/>
          </w:tcPr>
          <w:p w14:paraId="5B3773E8" w14:textId="77777777" w:rsidR="003A0564" w:rsidRDefault="007556D7"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7556D7">
              <w:rPr>
                <w:sz w:val="22"/>
              </w:rPr>
              <w:t>Updates were made to CPR certification to align with current nationally accepted standards.</w:t>
            </w:r>
          </w:p>
          <w:p w14:paraId="75C92F31" w14:textId="77777777" w:rsidR="00DA5F17" w:rsidRDefault="00DA5F17" w:rsidP="009C5B44">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p w14:paraId="79A6668A" w14:textId="1C67EE8E" w:rsidR="009C5B44" w:rsidRPr="008019B2" w:rsidRDefault="009C5B44" w:rsidP="009C5B44">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7FB8AED8" w14:textId="18EC8DD0" w:rsidR="003A0564" w:rsidRPr="00DA5F17" w:rsidRDefault="007556D7"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DA5F17">
              <w:rPr>
                <w:sz w:val="22"/>
              </w:rPr>
              <w:t>Cardio</w:t>
            </w:r>
            <w:r w:rsidR="00DA5F17" w:rsidRPr="00DA5F17">
              <w:rPr>
                <w:sz w:val="22"/>
              </w:rPr>
              <w:t>-pulmonary Resuscitation</w:t>
            </w:r>
          </w:p>
        </w:tc>
        <w:tc>
          <w:tcPr>
            <w:tcW w:w="1686" w:type="dxa"/>
          </w:tcPr>
          <w:p w14:paraId="74E09A99" w14:textId="77777777" w:rsidR="003A0564" w:rsidRPr="009E4626" w:rsidRDefault="002350A3">
            <w:pPr>
              <w:cnfStyle w:val="000000000000" w:firstRow="0" w:lastRow="0" w:firstColumn="0" w:lastColumn="0" w:oddVBand="0" w:evenVBand="0" w:oddHBand="0" w:evenHBand="0" w:firstRowFirstColumn="0" w:firstRowLastColumn="0" w:lastRowFirstColumn="0" w:lastRowLastColumn="0"/>
              <w:rPr>
                <w:color w:val="00B050"/>
              </w:rPr>
            </w:pPr>
            <w:r w:rsidRPr="009E4626">
              <w:rPr>
                <w:color w:val="00B050"/>
              </w:rPr>
              <w:t>Review Facility P/P for CPR including certification of Staff</w:t>
            </w:r>
          </w:p>
          <w:p w14:paraId="6B189844" w14:textId="5FA3699E" w:rsidR="002350A3" w:rsidRPr="00371E1C" w:rsidRDefault="002350A3">
            <w:pPr>
              <w:cnfStyle w:val="000000000000" w:firstRow="0" w:lastRow="0" w:firstColumn="0" w:lastColumn="0" w:oddVBand="0" w:evenVBand="0" w:oddHBand="0" w:evenHBand="0" w:firstRowFirstColumn="0" w:firstRowLastColumn="0" w:lastRowFirstColumn="0" w:lastRowLastColumn="0"/>
              <w:rPr>
                <w:color w:val="FF0000"/>
              </w:rPr>
            </w:pPr>
            <w:r w:rsidRPr="009E4626">
              <w:rPr>
                <w:color w:val="00B050"/>
              </w:rPr>
              <w:t xml:space="preserve">Conduct Drills </w:t>
            </w:r>
            <w:proofErr w:type="gramStart"/>
            <w:r w:rsidR="009E4626" w:rsidRPr="009E4626">
              <w:rPr>
                <w:color w:val="00B050"/>
              </w:rPr>
              <w:t>“ Code</w:t>
            </w:r>
            <w:proofErr w:type="gramEnd"/>
            <w:r w:rsidR="009E4626" w:rsidRPr="009E4626">
              <w:rPr>
                <w:color w:val="00B050"/>
              </w:rPr>
              <w:t xml:space="preserve"> Blue</w:t>
            </w:r>
            <w:r w:rsidR="009E4626">
              <w:rPr>
                <w:color w:val="00B050"/>
              </w:rPr>
              <w:t>”</w:t>
            </w:r>
          </w:p>
        </w:tc>
      </w:tr>
      <w:tr w:rsidR="00DA5F17" w14:paraId="7D3E8F48"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50FAF1DC" w14:textId="77777777" w:rsidR="00DA5F17" w:rsidRDefault="00E00748">
            <w:pPr>
              <w:rPr>
                <w:b w:val="0"/>
                <w:bCs w:val="0"/>
                <w:sz w:val="22"/>
              </w:rPr>
            </w:pPr>
            <w:r>
              <w:rPr>
                <w:sz w:val="22"/>
              </w:rPr>
              <w:t>F697</w:t>
            </w:r>
          </w:p>
          <w:p w14:paraId="6FE8CF16" w14:textId="77777777" w:rsidR="00E00748" w:rsidRDefault="00E00748">
            <w:pPr>
              <w:rPr>
                <w:b w:val="0"/>
                <w:bCs w:val="0"/>
                <w:sz w:val="22"/>
              </w:rPr>
            </w:pPr>
          </w:p>
          <w:p w14:paraId="35A2AA9E" w14:textId="710BC5FF" w:rsidR="00E00748" w:rsidRPr="00DA5F17" w:rsidRDefault="00E00748">
            <w:pPr>
              <w:rPr>
                <w:sz w:val="22"/>
              </w:rPr>
            </w:pPr>
            <w:r>
              <w:rPr>
                <w:sz w:val="22"/>
              </w:rPr>
              <w:t>Pain Management</w:t>
            </w:r>
          </w:p>
        </w:tc>
        <w:tc>
          <w:tcPr>
            <w:tcW w:w="3972" w:type="dxa"/>
          </w:tcPr>
          <w:p w14:paraId="74A8AAF5" w14:textId="77777777" w:rsidR="004C6CDD" w:rsidRDefault="004C6CDD"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4C6CDD">
              <w:rPr>
                <w:sz w:val="22"/>
              </w:rPr>
              <w:t>Revisions to the guidance for acute, chronic, and subacute pain were made to align with CDC definitions</w:t>
            </w:r>
            <w:r>
              <w:rPr>
                <w:sz w:val="22"/>
              </w:rPr>
              <w:t>.</w:t>
            </w:r>
          </w:p>
          <w:p w14:paraId="05DFE6F0" w14:textId="3B58A485" w:rsidR="00050421" w:rsidRDefault="004C6CDD"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4C6CDD">
              <w:rPr>
                <w:sz w:val="22"/>
              </w:rPr>
              <w:t xml:space="preserve">Resource links on opioid use were updated and expanded. </w:t>
            </w:r>
          </w:p>
          <w:p w14:paraId="3B29E741" w14:textId="77777777" w:rsidR="00DA5F17" w:rsidRDefault="004C6CDD"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4C6CDD">
              <w:rPr>
                <w:sz w:val="22"/>
              </w:rPr>
              <w:t>CMS clarified that clinicians may consider prescribing immediate-release opioids instead of extended-release or long-acting options and emphasized the need for individualized opioid treatment plans.</w:t>
            </w:r>
          </w:p>
          <w:p w14:paraId="3C7830A9" w14:textId="0564C4D6" w:rsidR="00050421" w:rsidRPr="007556D7" w:rsidRDefault="00050421" w:rsidP="00050421">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69EFA540" w14:textId="3B88F838" w:rsidR="00DA5F17" w:rsidRPr="00DA5F17" w:rsidRDefault="00E00748"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Pain Management</w:t>
            </w:r>
          </w:p>
        </w:tc>
        <w:tc>
          <w:tcPr>
            <w:tcW w:w="1686" w:type="dxa"/>
          </w:tcPr>
          <w:p w14:paraId="29A36AA2" w14:textId="103E9E67" w:rsidR="00DA5F17" w:rsidRPr="000A3155" w:rsidRDefault="00DA5F17">
            <w:pPr>
              <w:cnfStyle w:val="000000000000" w:firstRow="0" w:lastRow="0" w:firstColumn="0" w:lastColumn="0" w:oddVBand="0" w:evenVBand="0" w:oddHBand="0" w:evenHBand="0" w:firstRowFirstColumn="0" w:firstRowLastColumn="0" w:lastRowFirstColumn="0" w:lastRowLastColumn="0"/>
              <w:rPr>
                <w:b/>
                <w:bCs/>
                <w:color w:val="FF0000"/>
              </w:rPr>
            </w:pPr>
          </w:p>
        </w:tc>
      </w:tr>
      <w:tr w:rsidR="00DA5F17" w14:paraId="1442B168"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2F1F7ABC" w14:textId="77777777" w:rsidR="00DA5F17" w:rsidRDefault="008029F3">
            <w:pPr>
              <w:rPr>
                <w:b w:val="0"/>
                <w:bCs w:val="0"/>
                <w:sz w:val="22"/>
              </w:rPr>
            </w:pPr>
            <w:r>
              <w:rPr>
                <w:sz w:val="22"/>
              </w:rPr>
              <w:t xml:space="preserve">F918 </w:t>
            </w:r>
          </w:p>
          <w:p w14:paraId="1B93644A" w14:textId="77777777" w:rsidR="008029F3" w:rsidRDefault="008029F3">
            <w:pPr>
              <w:rPr>
                <w:b w:val="0"/>
                <w:bCs w:val="0"/>
                <w:sz w:val="22"/>
              </w:rPr>
            </w:pPr>
          </w:p>
          <w:p w14:paraId="590D6D0C" w14:textId="7D87A267" w:rsidR="00CB29E3" w:rsidRPr="00DA5F17" w:rsidRDefault="00CB29E3">
            <w:pPr>
              <w:rPr>
                <w:sz w:val="22"/>
              </w:rPr>
            </w:pPr>
            <w:r>
              <w:rPr>
                <w:sz w:val="22"/>
              </w:rPr>
              <w:t>Physical Environment</w:t>
            </w:r>
          </w:p>
        </w:tc>
        <w:tc>
          <w:tcPr>
            <w:tcW w:w="3972" w:type="dxa"/>
          </w:tcPr>
          <w:p w14:paraId="3F07F38B" w14:textId="77777777" w:rsidR="00DA5F17" w:rsidRPr="005A63F2" w:rsidRDefault="008029F3"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5A63F2">
              <w:rPr>
                <w:sz w:val="22"/>
              </w:rPr>
              <w:t>Revisions were made to allow facilities that receive approval of construction from State or local authorities or are newly certified after Nov. 28, 2016, with two single occupancy rooms with one bathroom to meet the bedroom and bathroom facility requirements without undergoing major rehabilitation.</w:t>
            </w:r>
          </w:p>
          <w:p w14:paraId="731D4BC9" w14:textId="6200E67D" w:rsidR="00CB29E3" w:rsidRPr="007556D7" w:rsidRDefault="00CB29E3" w:rsidP="00CB29E3">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45F14379" w14:textId="5001561C" w:rsidR="00DA5F17" w:rsidRPr="00DA5F17" w:rsidRDefault="00DA5F17" w:rsidP="005A63F2">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1686" w:type="dxa"/>
          </w:tcPr>
          <w:p w14:paraId="53B650B2" w14:textId="07021679" w:rsidR="00DA5F17" w:rsidRDefault="00045889">
            <w:pPr>
              <w:cnfStyle w:val="000000000000" w:firstRow="0" w:lastRow="0" w:firstColumn="0" w:lastColumn="0" w:oddVBand="0" w:evenVBand="0" w:oddHBand="0" w:evenHBand="0" w:firstRowFirstColumn="0" w:firstRowLastColumn="0" w:lastRowFirstColumn="0" w:lastRowLastColumn="0"/>
            </w:pPr>
            <w:proofErr w:type="spellStart"/>
            <w:proofErr w:type="gramStart"/>
            <w:r>
              <w:t>EnvironmentalRounds</w:t>
            </w:r>
            <w:proofErr w:type="spellEnd"/>
            <w:proofErr w:type="gramEnd"/>
            <w:r>
              <w:t xml:space="preserve"> to ensure compliance</w:t>
            </w:r>
          </w:p>
        </w:tc>
      </w:tr>
      <w:tr w:rsidR="00DA5F17" w14:paraId="7557AAF7"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2DAA6AED" w14:textId="6A08A6B6" w:rsidR="00612D34" w:rsidRPr="00612D34" w:rsidRDefault="00612D34">
            <w:pPr>
              <w:rPr>
                <w:sz w:val="22"/>
              </w:rPr>
            </w:pPr>
            <w:r w:rsidRPr="00612D34">
              <w:rPr>
                <w:sz w:val="22"/>
              </w:rPr>
              <w:t>F880</w:t>
            </w:r>
          </w:p>
          <w:p w14:paraId="6F9C6949" w14:textId="77777777" w:rsidR="00612D34" w:rsidRDefault="00612D34">
            <w:pPr>
              <w:rPr>
                <w:b w:val="0"/>
                <w:bCs w:val="0"/>
                <w:sz w:val="22"/>
              </w:rPr>
            </w:pPr>
          </w:p>
          <w:p w14:paraId="18F72E4E" w14:textId="6B0804BB" w:rsidR="00DA5F17" w:rsidRPr="00DA5F17" w:rsidRDefault="00612D34">
            <w:pPr>
              <w:rPr>
                <w:sz w:val="22"/>
              </w:rPr>
            </w:pPr>
            <w:r w:rsidRPr="00612D34">
              <w:rPr>
                <w:sz w:val="22"/>
              </w:rPr>
              <w:t>Infection Prevention &amp; Control</w:t>
            </w:r>
          </w:p>
        </w:tc>
        <w:tc>
          <w:tcPr>
            <w:tcW w:w="3972" w:type="dxa"/>
          </w:tcPr>
          <w:p w14:paraId="5483C9A5" w14:textId="71F2F17B" w:rsidR="00DA5F17" w:rsidRDefault="00EA4136"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G</w:t>
            </w:r>
            <w:r w:rsidRPr="00EA4136">
              <w:rPr>
                <w:sz w:val="22"/>
              </w:rPr>
              <w:t>uidance regarding Enhanced Barrier Precautions</w:t>
            </w:r>
            <w:r w:rsidR="00A23A61">
              <w:rPr>
                <w:sz w:val="22"/>
              </w:rPr>
              <w:t xml:space="preserve"> to prevent the spread of</w:t>
            </w:r>
            <w:r w:rsidRPr="00EA4136">
              <w:rPr>
                <w:sz w:val="22"/>
              </w:rPr>
              <w:t xml:space="preserve"> </w:t>
            </w:r>
            <w:proofErr w:type="spellStart"/>
            <w:r w:rsidRPr="00EA4136">
              <w:rPr>
                <w:sz w:val="22"/>
              </w:rPr>
              <w:t>MDROs</w:t>
            </w:r>
            <w:proofErr w:type="spellEnd"/>
            <w:r w:rsidRPr="00EA4136">
              <w:rPr>
                <w:sz w:val="22"/>
              </w:rPr>
              <w:t xml:space="preserve"> was incorporated into Appendix PP along with new deficiency examples.</w:t>
            </w:r>
          </w:p>
          <w:p w14:paraId="5DB82AE5" w14:textId="2010A49C" w:rsidR="00480D5B" w:rsidRPr="007556D7" w:rsidRDefault="00480D5B" w:rsidP="00413570">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7D5274BF" w14:textId="6CEE902C" w:rsidR="00DA5F17" w:rsidRPr="00DA5F17" w:rsidRDefault="0094769F"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Enhanced Barrier Precautions</w:t>
            </w:r>
          </w:p>
        </w:tc>
        <w:tc>
          <w:tcPr>
            <w:tcW w:w="1686" w:type="dxa"/>
          </w:tcPr>
          <w:p w14:paraId="5F55B042" w14:textId="4D4F9D6C" w:rsidR="00DA5F17" w:rsidRPr="00377512" w:rsidRDefault="00DA5F17">
            <w:pPr>
              <w:cnfStyle w:val="000000000000" w:firstRow="0" w:lastRow="0" w:firstColumn="0" w:lastColumn="0" w:oddVBand="0" w:evenVBand="0" w:oddHBand="0" w:evenHBand="0" w:firstRowFirstColumn="0" w:firstRowLastColumn="0" w:lastRowFirstColumn="0" w:lastRowLastColumn="0"/>
              <w:rPr>
                <w:b/>
                <w:bCs/>
                <w:color w:val="3A7C22" w:themeColor="accent6" w:themeShade="BF"/>
              </w:rPr>
            </w:pPr>
          </w:p>
        </w:tc>
      </w:tr>
      <w:tr w:rsidR="00480D5B" w14:paraId="6A12E406"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3890C34D" w14:textId="77777777" w:rsidR="00480D5B" w:rsidRDefault="00A23A61">
            <w:pPr>
              <w:rPr>
                <w:b w:val="0"/>
                <w:bCs w:val="0"/>
                <w:sz w:val="22"/>
              </w:rPr>
            </w:pPr>
            <w:r>
              <w:rPr>
                <w:sz w:val="22"/>
              </w:rPr>
              <w:t>F887</w:t>
            </w:r>
          </w:p>
          <w:p w14:paraId="5951441C" w14:textId="77777777" w:rsidR="00A23A61" w:rsidRDefault="00A23A61">
            <w:pPr>
              <w:rPr>
                <w:b w:val="0"/>
                <w:bCs w:val="0"/>
                <w:sz w:val="22"/>
              </w:rPr>
            </w:pPr>
          </w:p>
          <w:p w14:paraId="71924C0B" w14:textId="756DCAC0" w:rsidR="00A23A61" w:rsidRPr="00612D34" w:rsidRDefault="00A23A61">
            <w:pPr>
              <w:rPr>
                <w:sz w:val="22"/>
              </w:rPr>
            </w:pPr>
            <w:r>
              <w:rPr>
                <w:sz w:val="22"/>
              </w:rPr>
              <w:t>Covid-19 Immunizations</w:t>
            </w:r>
          </w:p>
        </w:tc>
        <w:tc>
          <w:tcPr>
            <w:tcW w:w="3972" w:type="dxa"/>
          </w:tcPr>
          <w:p w14:paraId="147C408E" w14:textId="1026F239" w:rsidR="00480D5B" w:rsidRDefault="00413570"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sidRPr="00413570">
              <w:rPr>
                <w:sz w:val="22"/>
              </w:rPr>
              <w:t>Guidance in the previously issued CMS Memo QSO-21-19-NH regarding education to residents and staff, was incorporated into Appendix PP</w:t>
            </w:r>
            <w:r w:rsidR="00A23A61">
              <w:rPr>
                <w:sz w:val="22"/>
              </w:rPr>
              <w:t>.</w:t>
            </w:r>
          </w:p>
        </w:tc>
        <w:tc>
          <w:tcPr>
            <w:tcW w:w="2257" w:type="dxa"/>
          </w:tcPr>
          <w:p w14:paraId="7DC5331E" w14:textId="0FDDCD49" w:rsidR="00480D5B" w:rsidRDefault="00A23A61"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Covid-19 Immunizations, Residents and Staff</w:t>
            </w:r>
          </w:p>
        </w:tc>
        <w:tc>
          <w:tcPr>
            <w:tcW w:w="1686" w:type="dxa"/>
          </w:tcPr>
          <w:p w14:paraId="1146F432" w14:textId="0257276F" w:rsidR="00480D5B" w:rsidRPr="00377512" w:rsidRDefault="00480D5B">
            <w:pPr>
              <w:cnfStyle w:val="000000000000" w:firstRow="0" w:lastRow="0" w:firstColumn="0" w:lastColumn="0" w:oddVBand="0" w:evenVBand="0" w:oddHBand="0" w:evenHBand="0" w:firstRowFirstColumn="0" w:firstRowLastColumn="0" w:lastRowFirstColumn="0" w:lastRowLastColumn="0"/>
              <w:rPr>
                <w:b/>
                <w:bCs/>
              </w:rPr>
            </w:pPr>
          </w:p>
        </w:tc>
      </w:tr>
      <w:tr w:rsidR="000417A5" w14:paraId="5EEEBCD4"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515AE64E" w14:textId="77777777" w:rsidR="000417A5" w:rsidRPr="0012492C" w:rsidRDefault="000417A5">
            <w:pPr>
              <w:rPr>
                <w:b w:val="0"/>
                <w:bCs w:val="0"/>
                <w:sz w:val="22"/>
              </w:rPr>
            </w:pPr>
            <w:r w:rsidRPr="0012492C">
              <w:rPr>
                <w:sz w:val="22"/>
              </w:rPr>
              <w:t xml:space="preserve">F725 </w:t>
            </w:r>
          </w:p>
          <w:p w14:paraId="444C2DE9" w14:textId="4F281FDB" w:rsidR="000417A5" w:rsidRPr="0012492C" w:rsidRDefault="000417A5">
            <w:pPr>
              <w:rPr>
                <w:sz w:val="22"/>
              </w:rPr>
            </w:pPr>
            <w:r w:rsidRPr="0012492C">
              <w:rPr>
                <w:sz w:val="22"/>
              </w:rPr>
              <w:t xml:space="preserve">Sufficient Nursing Staff </w:t>
            </w:r>
          </w:p>
        </w:tc>
        <w:tc>
          <w:tcPr>
            <w:tcW w:w="3972" w:type="dxa"/>
          </w:tcPr>
          <w:p w14:paraId="398A2880" w14:textId="0016F84B" w:rsidR="000417A5" w:rsidRPr="00413570" w:rsidRDefault="00EF4589" w:rsidP="005B60B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rFonts w:cs="Times New Roman"/>
                <w:sz w:val="22"/>
              </w:rPr>
              <w:t>R</w:t>
            </w:r>
            <w:r w:rsidRPr="00EE1BB4">
              <w:rPr>
                <w:rFonts w:cs="Times New Roman"/>
                <w:sz w:val="22"/>
              </w:rPr>
              <w:t xml:space="preserve">equired to provide licensed nursing staff </w:t>
            </w:r>
            <w:proofErr w:type="gramStart"/>
            <w:r w:rsidRPr="00EE1BB4">
              <w:rPr>
                <w:rFonts w:cs="Times New Roman"/>
                <w:sz w:val="22"/>
              </w:rPr>
              <w:t>24-hours</w:t>
            </w:r>
            <w:proofErr w:type="gramEnd"/>
            <w:r w:rsidRPr="00EE1BB4">
              <w:rPr>
                <w:rFonts w:cs="Times New Roman"/>
                <w:sz w:val="22"/>
              </w:rPr>
              <w:t xml:space="preserve"> a day, along with other </w:t>
            </w:r>
            <w:r w:rsidRPr="00EE1BB4">
              <w:rPr>
                <w:rFonts w:cs="Times New Roman"/>
                <w:sz w:val="22"/>
              </w:rPr>
              <w:lastRenderedPageBreak/>
              <w:t>nursing personnel, including but not limited to nurse aides. The facility must also designate a licensed nurse to serve as a charge nurse on each tour of duty</w:t>
            </w:r>
            <w:r>
              <w:rPr>
                <w:rFonts w:cs="Times New Roman"/>
                <w:sz w:val="22"/>
              </w:rPr>
              <w:t xml:space="preserve">. </w:t>
            </w:r>
          </w:p>
        </w:tc>
        <w:tc>
          <w:tcPr>
            <w:tcW w:w="2257" w:type="dxa"/>
          </w:tcPr>
          <w:p w14:paraId="04407CB6" w14:textId="6956D1CE" w:rsidR="000417A5" w:rsidRDefault="00356B89" w:rsidP="008019B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lastRenderedPageBreak/>
              <w:t>Staffing Guidelines Policy</w:t>
            </w:r>
          </w:p>
        </w:tc>
        <w:tc>
          <w:tcPr>
            <w:tcW w:w="1686" w:type="dxa"/>
          </w:tcPr>
          <w:p w14:paraId="38FD0D29" w14:textId="64906FB7" w:rsidR="000417A5" w:rsidRPr="009E4626" w:rsidRDefault="000417A5">
            <w:pPr>
              <w:cnfStyle w:val="000000000000" w:firstRow="0" w:lastRow="0" w:firstColumn="0" w:lastColumn="0" w:oddVBand="0" w:evenVBand="0" w:oddHBand="0" w:evenHBand="0" w:firstRowFirstColumn="0" w:firstRowLastColumn="0" w:lastRowFirstColumn="0" w:lastRowLastColumn="0"/>
              <w:rPr>
                <w:b/>
                <w:bCs/>
                <w:color w:val="00B050"/>
              </w:rPr>
            </w:pPr>
          </w:p>
        </w:tc>
      </w:tr>
      <w:tr w:rsidR="00356B89" w14:paraId="5A3BFBCD"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65611E1E" w14:textId="77777777" w:rsidR="00356B89" w:rsidRPr="0012492C" w:rsidRDefault="00356B89" w:rsidP="00356B89">
            <w:pPr>
              <w:rPr>
                <w:b w:val="0"/>
                <w:bCs w:val="0"/>
                <w:sz w:val="22"/>
              </w:rPr>
            </w:pPr>
            <w:r w:rsidRPr="0012492C">
              <w:rPr>
                <w:sz w:val="22"/>
              </w:rPr>
              <w:t>F727</w:t>
            </w:r>
          </w:p>
          <w:p w14:paraId="683BE3B0" w14:textId="1F8D92B7" w:rsidR="00356B89" w:rsidRPr="0012492C" w:rsidRDefault="00356B89" w:rsidP="00356B89">
            <w:pPr>
              <w:rPr>
                <w:sz w:val="22"/>
              </w:rPr>
            </w:pPr>
            <w:r w:rsidRPr="0012492C">
              <w:rPr>
                <w:rFonts w:cs="Times New Roman"/>
                <w:sz w:val="22"/>
              </w:rPr>
              <w:t>RN 8 Hours/7 days/Week, Full Time DON</w:t>
            </w:r>
          </w:p>
        </w:tc>
        <w:tc>
          <w:tcPr>
            <w:tcW w:w="3972" w:type="dxa"/>
          </w:tcPr>
          <w:p w14:paraId="5C9AC41B" w14:textId="092FCDEF" w:rsidR="00356B89" w:rsidRPr="00FD2055" w:rsidRDefault="00356B89" w:rsidP="00356B89">
            <w:pPr>
              <w:pStyle w:val="NormalWeb"/>
              <w:numPr>
                <w:ilvl w:val="0"/>
                <w:numId w:val="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E1BB4">
              <w:rPr>
                <w:rFonts w:ascii="Times New Roman" w:hAnsi="Times New Roman" w:cs="Times New Roman"/>
                <w:sz w:val="22"/>
                <w:szCs w:val="22"/>
              </w:rPr>
              <w:t xml:space="preserve">Facilities are responsible for ensuring they have an </w:t>
            </w:r>
            <w:proofErr w:type="gramStart"/>
            <w:r w:rsidRPr="00EE1BB4">
              <w:rPr>
                <w:rFonts w:ascii="Times New Roman" w:hAnsi="Times New Roman" w:cs="Times New Roman"/>
                <w:sz w:val="22"/>
                <w:szCs w:val="22"/>
              </w:rPr>
              <w:t>RN</w:t>
            </w:r>
            <w:proofErr w:type="gramEnd"/>
            <w:r w:rsidRPr="00EE1BB4">
              <w:rPr>
                <w:rFonts w:ascii="Times New Roman" w:hAnsi="Times New Roman" w:cs="Times New Roman"/>
                <w:sz w:val="22"/>
                <w:szCs w:val="22"/>
              </w:rPr>
              <w:t xml:space="preserve"> providing services at least 8 consecutive hours a day, 7 days a week. The facility must also designate </w:t>
            </w:r>
            <w:r>
              <w:rPr>
                <w:rFonts w:ascii="Times New Roman" w:hAnsi="Times New Roman" w:cs="Times New Roman"/>
                <w:sz w:val="22"/>
                <w:szCs w:val="22"/>
              </w:rPr>
              <w:t>an RN</w:t>
            </w:r>
            <w:r w:rsidRPr="00EE1BB4">
              <w:rPr>
                <w:rFonts w:ascii="Times New Roman" w:hAnsi="Times New Roman" w:cs="Times New Roman"/>
                <w:sz w:val="22"/>
                <w:szCs w:val="22"/>
              </w:rPr>
              <w:t xml:space="preserve"> to serve as the director of nursing on a full time (40 hours or more per week) basis.</w:t>
            </w:r>
          </w:p>
        </w:tc>
        <w:tc>
          <w:tcPr>
            <w:tcW w:w="2257" w:type="dxa"/>
          </w:tcPr>
          <w:p w14:paraId="38623299" w14:textId="5B129622" w:rsidR="00356B89" w:rsidRDefault="00356B89" w:rsidP="00356B8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Staffing Guidelines Policy</w:t>
            </w:r>
          </w:p>
        </w:tc>
        <w:tc>
          <w:tcPr>
            <w:tcW w:w="1686" w:type="dxa"/>
          </w:tcPr>
          <w:p w14:paraId="2A3BFBEA" w14:textId="141AA7A3" w:rsidR="00356B89" w:rsidRPr="00377512" w:rsidRDefault="00356B89" w:rsidP="00356B89">
            <w:pPr>
              <w:cnfStyle w:val="000000000000" w:firstRow="0" w:lastRow="0" w:firstColumn="0" w:lastColumn="0" w:oddVBand="0" w:evenVBand="0" w:oddHBand="0" w:evenHBand="0" w:firstRowFirstColumn="0" w:firstRowLastColumn="0" w:lastRowFirstColumn="0" w:lastRowLastColumn="0"/>
              <w:rPr>
                <w:b/>
                <w:bCs/>
                <w:color w:val="00B050"/>
              </w:rPr>
            </w:pPr>
          </w:p>
        </w:tc>
      </w:tr>
      <w:tr w:rsidR="00356B89" w14:paraId="119780FF" w14:textId="77777777" w:rsidTr="00467277">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2EA05CC5" w14:textId="77777777" w:rsidR="00356B89" w:rsidRPr="0012492C" w:rsidRDefault="00356B89" w:rsidP="00356B89">
            <w:pPr>
              <w:rPr>
                <w:b w:val="0"/>
                <w:bCs w:val="0"/>
                <w:sz w:val="22"/>
              </w:rPr>
            </w:pPr>
            <w:r w:rsidRPr="0012492C">
              <w:rPr>
                <w:sz w:val="22"/>
              </w:rPr>
              <w:t xml:space="preserve">F851 </w:t>
            </w:r>
          </w:p>
          <w:p w14:paraId="4C4A716A" w14:textId="27421EB2" w:rsidR="00356B89" w:rsidRPr="0012492C" w:rsidRDefault="00356B89" w:rsidP="00356B89">
            <w:pPr>
              <w:rPr>
                <w:sz w:val="22"/>
              </w:rPr>
            </w:pPr>
            <w:r w:rsidRPr="0012492C">
              <w:rPr>
                <w:sz w:val="22"/>
              </w:rPr>
              <w:t>Payroll Based Journal (</w:t>
            </w:r>
            <w:proofErr w:type="spellStart"/>
            <w:r w:rsidRPr="0012492C">
              <w:rPr>
                <w:sz w:val="22"/>
              </w:rPr>
              <w:t>PBJ</w:t>
            </w:r>
            <w:proofErr w:type="spellEnd"/>
            <w:r w:rsidRPr="0012492C">
              <w:rPr>
                <w:sz w:val="22"/>
              </w:rPr>
              <w:t>)</w:t>
            </w:r>
          </w:p>
        </w:tc>
        <w:tc>
          <w:tcPr>
            <w:tcW w:w="3972" w:type="dxa"/>
          </w:tcPr>
          <w:p w14:paraId="283EAB02" w14:textId="1B7C2189" w:rsidR="00356B89" w:rsidRPr="00EE1BB4" w:rsidRDefault="00356B89" w:rsidP="00356B89">
            <w:pPr>
              <w:pStyle w:val="NormalWeb"/>
              <w:numPr>
                <w:ilvl w:val="0"/>
                <w:numId w:val="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LTCFs</w:t>
            </w:r>
            <w:proofErr w:type="spellEnd"/>
            <w:r w:rsidRPr="00EE1BB4">
              <w:rPr>
                <w:rFonts w:ascii="Times New Roman" w:hAnsi="Times New Roman" w:cs="Times New Roman"/>
                <w:sz w:val="22"/>
                <w:szCs w:val="22"/>
              </w:rPr>
              <w:t xml:space="preserve"> must electronically submit to CMS complete and accurate direct care staffing information, including information for agency and contract staff, based on payroll and other verifiable and auditable data in a uniform format according to specifications established by CMS.</w:t>
            </w:r>
          </w:p>
          <w:p w14:paraId="5EEDE080" w14:textId="77777777" w:rsidR="00356B89" w:rsidRPr="00515055" w:rsidRDefault="00356B89" w:rsidP="00356B89">
            <w:pPr>
              <w:cnfStyle w:val="000000000000" w:firstRow="0" w:lastRow="0" w:firstColumn="0" w:lastColumn="0" w:oddVBand="0" w:evenVBand="0" w:oddHBand="0" w:evenHBand="0" w:firstRowFirstColumn="0" w:firstRowLastColumn="0" w:lastRowFirstColumn="0" w:lastRowLastColumn="0"/>
              <w:rPr>
                <w:sz w:val="22"/>
              </w:rPr>
            </w:pPr>
          </w:p>
        </w:tc>
        <w:tc>
          <w:tcPr>
            <w:tcW w:w="2257" w:type="dxa"/>
          </w:tcPr>
          <w:p w14:paraId="66CA650A" w14:textId="016F7AA1" w:rsidR="00356B89" w:rsidRDefault="005A63F2" w:rsidP="005A63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Staffing Guidelines Policy</w:t>
            </w:r>
          </w:p>
        </w:tc>
        <w:tc>
          <w:tcPr>
            <w:tcW w:w="1686" w:type="dxa"/>
          </w:tcPr>
          <w:p w14:paraId="7D9328F7" w14:textId="5D9DCEC3" w:rsidR="00356B89" w:rsidRPr="00356B89" w:rsidRDefault="00356B89" w:rsidP="00356B89">
            <w:pPr>
              <w:cnfStyle w:val="000000000000" w:firstRow="0" w:lastRow="0" w:firstColumn="0" w:lastColumn="0" w:oddVBand="0" w:evenVBand="0" w:oddHBand="0" w:evenHBand="0" w:firstRowFirstColumn="0" w:firstRowLastColumn="0" w:lastRowFirstColumn="0" w:lastRowLastColumn="0"/>
              <w:rPr>
                <w:b/>
                <w:bCs/>
                <w:color w:val="FF0000"/>
              </w:rPr>
            </w:pPr>
          </w:p>
        </w:tc>
      </w:tr>
    </w:tbl>
    <w:p w14:paraId="104E18B7" w14:textId="77777777" w:rsidR="0072132C" w:rsidRDefault="0072132C"/>
    <w:sectPr w:rsidR="0072132C" w:rsidSect="00DE3C06">
      <w:headerReference w:type="default" r:id="rId7"/>
      <w:footerReference w:type="default" r:id="rId8"/>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7FFF" w14:textId="77777777" w:rsidR="00EE2490" w:rsidRDefault="00EE2490" w:rsidP="00187AB3">
      <w:pPr>
        <w:spacing w:after="0" w:line="240" w:lineRule="auto"/>
      </w:pPr>
      <w:r>
        <w:separator/>
      </w:r>
    </w:p>
  </w:endnote>
  <w:endnote w:type="continuationSeparator" w:id="0">
    <w:p w14:paraId="5EC1DD1C" w14:textId="77777777" w:rsidR="00EE2490" w:rsidRDefault="00EE2490" w:rsidP="0018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3181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76B2E6F7" w14:textId="458E9820" w:rsidR="00187AB3" w:rsidRPr="00187AB3" w:rsidRDefault="00187AB3">
            <w:pPr>
              <w:pStyle w:val="Footer"/>
              <w:jc w:val="center"/>
              <w:rPr>
                <w:sz w:val="20"/>
                <w:szCs w:val="20"/>
              </w:rPr>
            </w:pPr>
            <w:r w:rsidRPr="00187AB3">
              <w:rPr>
                <w:sz w:val="20"/>
                <w:szCs w:val="20"/>
              </w:rPr>
              <w:t xml:space="preserve">Page </w:t>
            </w:r>
            <w:r w:rsidRPr="00187AB3">
              <w:rPr>
                <w:b/>
                <w:bCs/>
                <w:sz w:val="20"/>
                <w:szCs w:val="20"/>
              </w:rPr>
              <w:fldChar w:fldCharType="begin"/>
            </w:r>
            <w:r w:rsidRPr="00187AB3">
              <w:rPr>
                <w:b/>
                <w:bCs/>
                <w:sz w:val="20"/>
                <w:szCs w:val="20"/>
              </w:rPr>
              <w:instrText xml:space="preserve"> PAGE </w:instrText>
            </w:r>
            <w:r w:rsidRPr="00187AB3">
              <w:rPr>
                <w:b/>
                <w:bCs/>
                <w:sz w:val="20"/>
                <w:szCs w:val="20"/>
              </w:rPr>
              <w:fldChar w:fldCharType="separate"/>
            </w:r>
            <w:r w:rsidRPr="00187AB3">
              <w:rPr>
                <w:b/>
                <w:bCs/>
                <w:noProof/>
                <w:sz w:val="20"/>
                <w:szCs w:val="20"/>
              </w:rPr>
              <w:t>2</w:t>
            </w:r>
            <w:r w:rsidRPr="00187AB3">
              <w:rPr>
                <w:b/>
                <w:bCs/>
                <w:sz w:val="20"/>
                <w:szCs w:val="20"/>
              </w:rPr>
              <w:fldChar w:fldCharType="end"/>
            </w:r>
            <w:r w:rsidRPr="00187AB3">
              <w:rPr>
                <w:sz w:val="20"/>
                <w:szCs w:val="20"/>
              </w:rPr>
              <w:t xml:space="preserve"> of </w:t>
            </w:r>
            <w:r w:rsidRPr="00187AB3">
              <w:rPr>
                <w:b/>
                <w:bCs/>
                <w:sz w:val="20"/>
                <w:szCs w:val="20"/>
              </w:rPr>
              <w:fldChar w:fldCharType="begin"/>
            </w:r>
            <w:r w:rsidRPr="00187AB3">
              <w:rPr>
                <w:b/>
                <w:bCs/>
                <w:sz w:val="20"/>
                <w:szCs w:val="20"/>
              </w:rPr>
              <w:instrText xml:space="preserve"> NUMPAGES  </w:instrText>
            </w:r>
            <w:r w:rsidRPr="00187AB3">
              <w:rPr>
                <w:b/>
                <w:bCs/>
                <w:sz w:val="20"/>
                <w:szCs w:val="20"/>
              </w:rPr>
              <w:fldChar w:fldCharType="separate"/>
            </w:r>
            <w:r w:rsidRPr="00187AB3">
              <w:rPr>
                <w:b/>
                <w:bCs/>
                <w:noProof/>
                <w:sz w:val="20"/>
                <w:szCs w:val="20"/>
              </w:rPr>
              <w:t>2</w:t>
            </w:r>
            <w:r w:rsidRPr="00187AB3">
              <w:rPr>
                <w:b/>
                <w:bCs/>
                <w:sz w:val="20"/>
                <w:szCs w:val="20"/>
              </w:rPr>
              <w:fldChar w:fldCharType="end"/>
            </w:r>
          </w:p>
        </w:sdtContent>
      </w:sdt>
    </w:sdtContent>
  </w:sdt>
  <w:p w14:paraId="4A1FDFBD" w14:textId="77777777" w:rsidR="00187AB3" w:rsidRDefault="0018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6023" w14:textId="77777777" w:rsidR="00EE2490" w:rsidRDefault="00EE2490" w:rsidP="00187AB3">
      <w:pPr>
        <w:spacing w:after="0" w:line="240" w:lineRule="auto"/>
      </w:pPr>
      <w:r>
        <w:separator/>
      </w:r>
    </w:p>
  </w:footnote>
  <w:footnote w:type="continuationSeparator" w:id="0">
    <w:p w14:paraId="3EE6B819" w14:textId="77777777" w:rsidR="00EE2490" w:rsidRDefault="00EE2490" w:rsidP="0018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15E9" w14:textId="6C2C8D0D" w:rsidR="00187AB3" w:rsidRDefault="00187AB3">
    <w:pPr>
      <w:pStyle w:val="Header"/>
    </w:pPr>
    <w:r>
      <w:rPr>
        <w:noProof/>
      </w:rPr>
      <w:drawing>
        <wp:inline distT="0" distB="0" distL="0" distR="0" wp14:anchorId="042C2E67" wp14:editId="4B1DB1A2">
          <wp:extent cx="6826250" cy="6191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0" cy="619125"/>
                  </a:xfrm>
                  <a:prstGeom prst="rect">
                    <a:avLst/>
                  </a:prstGeom>
                  <a:noFill/>
                  <a:ln>
                    <a:noFill/>
                  </a:ln>
                </pic:spPr>
              </pic:pic>
            </a:graphicData>
          </a:graphic>
        </wp:inline>
      </w:drawing>
    </w:r>
  </w:p>
  <w:p w14:paraId="3624AD46" w14:textId="65B3A62D" w:rsidR="00335496" w:rsidRPr="00335496" w:rsidRDefault="00335496" w:rsidP="00335496">
    <w:pPr>
      <w:pStyle w:val="Header"/>
      <w:jc w:val="center"/>
      <w:rPr>
        <w:b/>
        <w:bCs/>
        <w:sz w:val="28"/>
        <w:szCs w:val="28"/>
      </w:rPr>
    </w:pPr>
    <w:r w:rsidRPr="00335496">
      <w:rPr>
        <w:b/>
        <w:bCs/>
        <w:sz w:val="28"/>
        <w:szCs w:val="28"/>
      </w:rPr>
      <w:t xml:space="preserve">CMS Requirements of Participation – Effective </w:t>
    </w:r>
    <w:r w:rsidR="000417A5">
      <w:rPr>
        <w:b/>
        <w:bCs/>
        <w:sz w:val="28"/>
        <w:szCs w:val="28"/>
      </w:rPr>
      <w:t>March</w:t>
    </w:r>
    <w:r w:rsidRPr="00335496">
      <w:rPr>
        <w:b/>
        <w:bCs/>
        <w:sz w:val="28"/>
        <w:szCs w:val="28"/>
      </w:rPr>
      <w:t xml:space="preserve"> 2</w:t>
    </w:r>
    <w:r w:rsidR="00560C86">
      <w:rPr>
        <w:b/>
        <w:bCs/>
        <w:sz w:val="28"/>
        <w:szCs w:val="28"/>
      </w:rPr>
      <w:t>4</w:t>
    </w:r>
    <w:r w:rsidRPr="00335496">
      <w:rPr>
        <w:b/>
        <w:bCs/>
        <w:sz w:val="28"/>
        <w:szCs w:val="28"/>
      </w:rPr>
      <w:t>, 2025</w:t>
    </w:r>
  </w:p>
  <w:p w14:paraId="2E69044F" w14:textId="77777777" w:rsidR="00187AB3" w:rsidRDefault="0018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DDA"/>
    <w:multiLevelType w:val="hybridMultilevel"/>
    <w:tmpl w:val="4E627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A485A"/>
    <w:multiLevelType w:val="hybridMultilevel"/>
    <w:tmpl w:val="CB760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B48BF"/>
    <w:multiLevelType w:val="hybridMultilevel"/>
    <w:tmpl w:val="EECED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B02C1"/>
    <w:multiLevelType w:val="hybridMultilevel"/>
    <w:tmpl w:val="A4DCF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BA2468"/>
    <w:multiLevelType w:val="hybridMultilevel"/>
    <w:tmpl w:val="C3D454D0"/>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start w:val="1"/>
      <w:numFmt w:val="decimal"/>
      <w:lvlText w:val="%4."/>
      <w:lvlJc w:val="left"/>
      <w:pPr>
        <w:ind w:left="2926" w:hanging="360"/>
      </w:pPr>
    </w:lvl>
    <w:lvl w:ilvl="4" w:tplc="04090019">
      <w:start w:val="1"/>
      <w:numFmt w:val="lowerLetter"/>
      <w:lvlText w:val="%5."/>
      <w:lvlJc w:val="left"/>
      <w:pPr>
        <w:ind w:left="3646" w:hanging="360"/>
      </w:pPr>
    </w:lvl>
    <w:lvl w:ilvl="5" w:tplc="0409001B">
      <w:start w:val="1"/>
      <w:numFmt w:val="lowerRoman"/>
      <w:lvlText w:val="%6."/>
      <w:lvlJc w:val="right"/>
      <w:pPr>
        <w:ind w:left="4366" w:hanging="180"/>
      </w:pPr>
    </w:lvl>
    <w:lvl w:ilvl="6" w:tplc="0409000F">
      <w:start w:val="1"/>
      <w:numFmt w:val="decimal"/>
      <w:lvlText w:val="%7."/>
      <w:lvlJc w:val="left"/>
      <w:pPr>
        <w:ind w:left="5086" w:hanging="360"/>
      </w:pPr>
    </w:lvl>
    <w:lvl w:ilvl="7" w:tplc="04090019">
      <w:start w:val="1"/>
      <w:numFmt w:val="lowerLetter"/>
      <w:lvlText w:val="%8."/>
      <w:lvlJc w:val="left"/>
      <w:pPr>
        <w:ind w:left="5806" w:hanging="360"/>
      </w:pPr>
    </w:lvl>
    <w:lvl w:ilvl="8" w:tplc="0409001B">
      <w:start w:val="1"/>
      <w:numFmt w:val="lowerRoman"/>
      <w:lvlText w:val="%9."/>
      <w:lvlJc w:val="right"/>
      <w:pPr>
        <w:ind w:left="6526" w:hanging="180"/>
      </w:pPr>
    </w:lvl>
  </w:abstractNum>
  <w:abstractNum w:abstractNumId="5" w15:restartNumberingAfterBreak="0">
    <w:nsid w:val="66354A6F"/>
    <w:multiLevelType w:val="hybridMultilevel"/>
    <w:tmpl w:val="8B000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9C7EE3"/>
    <w:multiLevelType w:val="hybridMultilevel"/>
    <w:tmpl w:val="23FE1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1662671">
    <w:abstractNumId w:val="1"/>
  </w:num>
  <w:num w:numId="2" w16cid:durableId="808472461">
    <w:abstractNumId w:val="2"/>
  </w:num>
  <w:num w:numId="3" w16cid:durableId="1733917600">
    <w:abstractNumId w:val="0"/>
  </w:num>
  <w:num w:numId="4" w16cid:durableId="1263492078">
    <w:abstractNumId w:val="6"/>
  </w:num>
  <w:num w:numId="5" w16cid:durableId="604195924">
    <w:abstractNumId w:val="5"/>
  </w:num>
  <w:num w:numId="6" w16cid:durableId="1970090795">
    <w:abstractNumId w:val="3"/>
  </w:num>
  <w:num w:numId="7" w16cid:durableId="1158158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9896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E8"/>
    <w:rsid w:val="000255C3"/>
    <w:rsid w:val="00032CB6"/>
    <w:rsid w:val="000417A5"/>
    <w:rsid w:val="00045889"/>
    <w:rsid w:val="00050421"/>
    <w:rsid w:val="000640A6"/>
    <w:rsid w:val="00074A33"/>
    <w:rsid w:val="00092B59"/>
    <w:rsid w:val="000A3155"/>
    <w:rsid w:val="0012492C"/>
    <w:rsid w:val="00146EBC"/>
    <w:rsid w:val="00164CE8"/>
    <w:rsid w:val="00187AB3"/>
    <w:rsid w:val="00190858"/>
    <w:rsid w:val="00194D14"/>
    <w:rsid w:val="0021693F"/>
    <w:rsid w:val="002350A3"/>
    <w:rsid w:val="00252454"/>
    <w:rsid w:val="00277B37"/>
    <w:rsid w:val="002A3D01"/>
    <w:rsid w:val="002B0CD4"/>
    <w:rsid w:val="002E182C"/>
    <w:rsid w:val="0032000A"/>
    <w:rsid w:val="00335496"/>
    <w:rsid w:val="0034310F"/>
    <w:rsid w:val="003454FE"/>
    <w:rsid w:val="00356B89"/>
    <w:rsid w:val="00371E1C"/>
    <w:rsid w:val="00377512"/>
    <w:rsid w:val="003A0564"/>
    <w:rsid w:val="003B2817"/>
    <w:rsid w:val="003C4C7C"/>
    <w:rsid w:val="003E15B6"/>
    <w:rsid w:val="003E1E82"/>
    <w:rsid w:val="003F5A14"/>
    <w:rsid w:val="00413570"/>
    <w:rsid w:val="00425C33"/>
    <w:rsid w:val="00425F38"/>
    <w:rsid w:val="00426278"/>
    <w:rsid w:val="00426A95"/>
    <w:rsid w:val="004415A0"/>
    <w:rsid w:val="00445FAC"/>
    <w:rsid w:val="00452843"/>
    <w:rsid w:val="00467277"/>
    <w:rsid w:val="00480D5B"/>
    <w:rsid w:val="004A2D61"/>
    <w:rsid w:val="004B0B15"/>
    <w:rsid w:val="004C06C3"/>
    <w:rsid w:val="004C4365"/>
    <w:rsid w:val="004C6CDD"/>
    <w:rsid w:val="00515055"/>
    <w:rsid w:val="00560C86"/>
    <w:rsid w:val="0057255E"/>
    <w:rsid w:val="005A63F2"/>
    <w:rsid w:val="005B60B0"/>
    <w:rsid w:val="005B670F"/>
    <w:rsid w:val="005B7C78"/>
    <w:rsid w:val="005D7138"/>
    <w:rsid w:val="00612D34"/>
    <w:rsid w:val="00622A0C"/>
    <w:rsid w:val="00643710"/>
    <w:rsid w:val="0067479B"/>
    <w:rsid w:val="006806A0"/>
    <w:rsid w:val="00680D87"/>
    <w:rsid w:val="00682600"/>
    <w:rsid w:val="00684CB9"/>
    <w:rsid w:val="006864AD"/>
    <w:rsid w:val="00693C96"/>
    <w:rsid w:val="007170F0"/>
    <w:rsid w:val="0072132C"/>
    <w:rsid w:val="007229FF"/>
    <w:rsid w:val="00751A1B"/>
    <w:rsid w:val="007556D7"/>
    <w:rsid w:val="007B286C"/>
    <w:rsid w:val="007E64A9"/>
    <w:rsid w:val="008019B2"/>
    <w:rsid w:val="008029F3"/>
    <w:rsid w:val="00816A5C"/>
    <w:rsid w:val="00835C52"/>
    <w:rsid w:val="00894F15"/>
    <w:rsid w:val="008970CA"/>
    <w:rsid w:val="008C6625"/>
    <w:rsid w:val="008C7F40"/>
    <w:rsid w:val="008F1E66"/>
    <w:rsid w:val="009112CA"/>
    <w:rsid w:val="0094769F"/>
    <w:rsid w:val="009926CB"/>
    <w:rsid w:val="009A3B62"/>
    <w:rsid w:val="009C5B44"/>
    <w:rsid w:val="009D3DF1"/>
    <w:rsid w:val="009E4626"/>
    <w:rsid w:val="009F6438"/>
    <w:rsid w:val="00A055E9"/>
    <w:rsid w:val="00A23A61"/>
    <w:rsid w:val="00A54390"/>
    <w:rsid w:val="00A80993"/>
    <w:rsid w:val="00A81F3B"/>
    <w:rsid w:val="00A91E85"/>
    <w:rsid w:val="00AE6C8C"/>
    <w:rsid w:val="00AF576E"/>
    <w:rsid w:val="00B04202"/>
    <w:rsid w:val="00B13096"/>
    <w:rsid w:val="00B33116"/>
    <w:rsid w:val="00B410DA"/>
    <w:rsid w:val="00B86D66"/>
    <w:rsid w:val="00B97CA2"/>
    <w:rsid w:val="00BD7D66"/>
    <w:rsid w:val="00BE4F2B"/>
    <w:rsid w:val="00BF1A96"/>
    <w:rsid w:val="00C148EF"/>
    <w:rsid w:val="00C17D6C"/>
    <w:rsid w:val="00C27173"/>
    <w:rsid w:val="00C83AFD"/>
    <w:rsid w:val="00CB29E3"/>
    <w:rsid w:val="00CB6FFF"/>
    <w:rsid w:val="00CB7C42"/>
    <w:rsid w:val="00CB7CB4"/>
    <w:rsid w:val="00CD2D90"/>
    <w:rsid w:val="00D24227"/>
    <w:rsid w:val="00D27C49"/>
    <w:rsid w:val="00D658EB"/>
    <w:rsid w:val="00D733AB"/>
    <w:rsid w:val="00D91B43"/>
    <w:rsid w:val="00DA0E14"/>
    <w:rsid w:val="00DA5F17"/>
    <w:rsid w:val="00DB3A43"/>
    <w:rsid w:val="00DE3C06"/>
    <w:rsid w:val="00DE76D2"/>
    <w:rsid w:val="00E00748"/>
    <w:rsid w:val="00E3293E"/>
    <w:rsid w:val="00E964E5"/>
    <w:rsid w:val="00EA4136"/>
    <w:rsid w:val="00EB0DB3"/>
    <w:rsid w:val="00EE2490"/>
    <w:rsid w:val="00EF4589"/>
    <w:rsid w:val="00F16B96"/>
    <w:rsid w:val="00F5351B"/>
    <w:rsid w:val="00F55D2C"/>
    <w:rsid w:val="00F6426E"/>
    <w:rsid w:val="00FC2D26"/>
    <w:rsid w:val="00FD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919D"/>
  <w15:chartTrackingRefBased/>
  <w15:docId w15:val="{A566E4CF-71DA-4B72-A3A1-A177FED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4C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C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C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C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4C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4C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C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C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C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4CE8"/>
    <w:pPr>
      <w:spacing w:before="160"/>
      <w:jc w:val="center"/>
    </w:pPr>
    <w:rPr>
      <w:i/>
      <w:iCs/>
      <w:color w:val="404040" w:themeColor="text1" w:themeTint="BF"/>
    </w:rPr>
  </w:style>
  <w:style w:type="character" w:customStyle="1" w:styleId="QuoteChar">
    <w:name w:val="Quote Char"/>
    <w:basedOn w:val="DefaultParagraphFont"/>
    <w:link w:val="Quote"/>
    <w:uiPriority w:val="29"/>
    <w:rsid w:val="00164CE8"/>
    <w:rPr>
      <w:i/>
      <w:iCs/>
      <w:color w:val="404040" w:themeColor="text1" w:themeTint="BF"/>
    </w:rPr>
  </w:style>
  <w:style w:type="paragraph" w:styleId="ListParagraph">
    <w:name w:val="List Paragraph"/>
    <w:basedOn w:val="Normal"/>
    <w:uiPriority w:val="34"/>
    <w:qFormat/>
    <w:rsid w:val="00164CE8"/>
    <w:pPr>
      <w:ind w:left="720"/>
      <w:contextualSpacing/>
    </w:pPr>
  </w:style>
  <w:style w:type="character" w:styleId="IntenseEmphasis">
    <w:name w:val="Intense Emphasis"/>
    <w:basedOn w:val="DefaultParagraphFont"/>
    <w:uiPriority w:val="21"/>
    <w:qFormat/>
    <w:rsid w:val="00164CE8"/>
    <w:rPr>
      <w:i/>
      <w:iCs/>
      <w:color w:val="0F4761" w:themeColor="accent1" w:themeShade="BF"/>
    </w:rPr>
  </w:style>
  <w:style w:type="paragraph" w:styleId="IntenseQuote">
    <w:name w:val="Intense Quote"/>
    <w:basedOn w:val="Normal"/>
    <w:next w:val="Normal"/>
    <w:link w:val="IntenseQuoteChar"/>
    <w:uiPriority w:val="30"/>
    <w:qFormat/>
    <w:rsid w:val="00164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E8"/>
    <w:rPr>
      <w:i/>
      <w:iCs/>
      <w:color w:val="0F4761" w:themeColor="accent1" w:themeShade="BF"/>
    </w:rPr>
  </w:style>
  <w:style w:type="character" w:styleId="IntenseReference">
    <w:name w:val="Intense Reference"/>
    <w:basedOn w:val="DefaultParagraphFont"/>
    <w:uiPriority w:val="32"/>
    <w:qFormat/>
    <w:rsid w:val="00164CE8"/>
    <w:rPr>
      <w:b/>
      <w:bCs/>
      <w:smallCaps/>
      <w:color w:val="0F4761" w:themeColor="accent1" w:themeShade="BF"/>
      <w:spacing w:val="5"/>
    </w:rPr>
  </w:style>
  <w:style w:type="paragraph" w:styleId="Header">
    <w:name w:val="header"/>
    <w:basedOn w:val="Normal"/>
    <w:link w:val="HeaderChar"/>
    <w:uiPriority w:val="99"/>
    <w:unhideWhenUsed/>
    <w:rsid w:val="0018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AB3"/>
  </w:style>
  <w:style w:type="paragraph" w:styleId="Footer">
    <w:name w:val="footer"/>
    <w:basedOn w:val="Normal"/>
    <w:link w:val="FooterChar"/>
    <w:uiPriority w:val="99"/>
    <w:unhideWhenUsed/>
    <w:rsid w:val="0018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AB3"/>
  </w:style>
  <w:style w:type="table" w:styleId="TableGrid">
    <w:name w:val="Table Grid"/>
    <w:basedOn w:val="TableNormal"/>
    <w:uiPriority w:val="39"/>
    <w:rsid w:val="00187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E15B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3E15B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E15B6"/>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B33116"/>
    <w:pPr>
      <w:spacing w:before="100" w:beforeAutospacing="1" w:after="100" w:afterAutospacing="1" w:line="240" w:lineRule="auto"/>
    </w:pPr>
    <w:rPr>
      <w:rFonts w:ascii="Aptos" w:eastAsia="Aptos" w:hAnsi="Aptos" w:cs="Apto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2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5030</Characters>
  <Application>Microsoft Office Word</Application>
  <DocSecurity>4</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2025-02-20T17:48:00Z</dcterms:created>
  <dcterms:modified xsi:type="dcterms:W3CDTF">2025-02-20T17:48:00Z</dcterms:modified>
</cp:coreProperties>
</file>