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495"/>
        <w:gridCol w:w="4855"/>
      </w:tblGrid>
      <w:tr w:rsidR="00A312D2" w:rsidRPr="00885137" w14:paraId="0EC2BC77" w14:textId="77777777" w:rsidTr="002B2B05">
        <w:tc>
          <w:tcPr>
            <w:tcW w:w="4495" w:type="dxa"/>
          </w:tcPr>
          <w:p w14:paraId="4D3CFBBF" w14:textId="7DF90665" w:rsidR="00A312D2" w:rsidRPr="00885137" w:rsidRDefault="00A312D2" w:rsidP="002B2B05">
            <w:pPr>
              <w:spacing w:after="160" w:line="259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MDS Policy and Procedure </w:t>
            </w:r>
          </w:p>
        </w:tc>
        <w:tc>
          <w:tcPr>
            <w:tcW w:w="4855" w:type="dxa"/>
          </w:tcPr>
          <w:p w14:paraId="37929DF6" w14:textId="00FA797A" w:rsidR="00A312D2" w:rsidRPr="00885137" w:rsidRDefault="00A312D2" w:rsidP="002B2B05">
            <w:pPr>
              <w:spacing w:after="160" w:line="259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885137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Subject: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Accuracy of Assessments </w:t>
            </w:r>
          </w:p>
        </w:tc>
      </w:tr>
      <w:tr w:rsidR="00A312D2" w:rsidRPr="00885137" w14:paraId="565E7C84" w14:textId="77777777" w:rsidTr="002B2B05">
        <w:tc>
          <w:tcPr>
            <w:tcW w:w="4495" w:type="dxa"/>
          </w:tcPr>
          <w:p w14:paraId="5FC4C964" w14:textId="77777777" w:rsidR="00A312D2" w:rsidRPr="00885137" w:rsidRDefault="00A312D2" w:rsidP="002B2B05">
            <w:pPr>
              <w:spacing w:line="259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885137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Approved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By</w:t>
            </w:r>
            <w:r w:rsidRPr="00885137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: </w:t>
            </w:r>
          </w:p>
          <w:p w14:paraId="1B6EE8F5" w14:textId="77777777" w:rsidR="00A312D2" w:rsidRPr="00885137" w:rsidRDefault="00A312D2" w:rsidP="002B2B0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55" w:type="dxa"/>
          </w:tcPr>
          <w:p w14:paraId="08EBBA80" w14:textId="77777777" w:rsidR="00A312D2" w:rsidRPr="00885137" w:rsidRDefault="00A312D2" w:rsidP="002B2B05">
            <w:pPr>
              <w:spacing w:after="160" w:line="259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312D2" w:rsidRPr="00885137" w14:paraId="17AA869A" w14:textId="77777777" w:rsidTr="002B2B05">
        <w:tc>
          <w:tcPr>
            <w:tcW w:w="4495" w:type="dxa"/>
          </w:tcPr>
          <w:p w14:paraId="01DBC0C1" w14:textId="77777777" w:rsidR="00A312D2" w:rsidRPr="00885137" w:rsidRDefault="00A312D2" w:rsidP="002B2B05">
            <w:pPr>
              <w:spacing w:after="160" w:line="259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885137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Effective:  </w:t>
            </w:r>
          </w:p>
        </w:tc>
        <w:tc>
          <w:tcPr>
            <w:tcW w:w="4855" w:type="dxa"/>
          </w:tcPr>
          <w:p w14:paraId="667E55B2" w14:textId="059F3314" w:rsidR="00A312D2" w:rsidRPr="00BF42F1" w:rsidRDefault="00A312D2" w:rsidP="002B2B05">
            <w:pPr>
              <w:rPr>
                <w:rFonts w:ascii="Times New Roman" w:hAnsi="Times New Roman"/>
                <w:sz w:val="24"/>
                <w:szCs w:val="24"/>
              </w:rPr>
            </w:pPr>
            <w:r w:rsidRPr="00885137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Revised: </w:t>
            </w:r>
            <w:r w:rsidRPr="00A312D2">
              <w:rPr>
                <w:rFonts w:ascii="Times New Roman" w:hAnsi="Times New Roman"/>
                <w:sz w:val="24"/>
                <w:szCs w:val="24"/>
              </w:rPr>
              <w:t>12/12/2024</w:t>
            </w:r>
            <w:r w:rsidR="00487954" w:rsidRPr="006867D7">
              <w:rPr>
                <w:rFonts w:ascii="Times New Roman" w:hAnsi="Times New Roman"/>
                <w:sz w:val="24"/>
                <w:szCs w:val="24"/>
              </w:rPr>
              <w:t>, 2/20/25</w:t>
            </w:r>
          </w:p>
        </w:tc>
      </w:tr>
    </w:tbl>
    <w:p w14:paraId="62167D8D" w14:textId="77777777" w:rsidR="0072132C" w:rsidRDefault="0072132C"/>
    <w:p w14:paraId="60B3C465" w14:textId="4ACFDC64" w:rsidR="00A312D2" w:rsidRPr="0005193E" w:rsidRDefault="00A312D2" w:rsidP="00583E22">
      <w:pPr>
        <w:spacing w:after="0"/>
        <w:rPr>
          <w:b/>
          <w:bCs/>
        </w:rPr>
      </w:pPr>
      <w:r w:rsidRPr="0005193E">
        <w:rPr>
          <w:b/>
          <w:bCs/>
        </w:rPr>
        <w:t>POLICY</w:t>
      </w:r>
    </w:p>
    <w:p w14:paraId="5837718C" w14:textId="0E6CEE54" w:rsidR="001B09A0" w:rsidRDefault="00583E22" w:rsidP="00583E22">
      <w:pPr>
        <w:spacing w:after="0"/>
      </w:pPr>
      <w:r w:rsidRPr="006867D7">
        <w:t xml:space="preserve">It is the policy of the facility to </w:t>
      </w:r>
      <w:r w:rsidR="00930386" w:rsidRPr="006867D7">
        <w:t xml:space="preserve">conduct and </w:t>
      </w:r>
      <w:r w:rsidRPr="006867D7">
        <w:t xml:space="preserve">ensure a comprehensive assessment </w:t>
      </w:r>
      <w:r w:rsidR="004C0554" w:rsidRPr="006867D7">
        <w:t xml:space="preserve">that accurately </w:t>
      </w:r>
      <w:r w:rsidR="00B61694" w:rsidRPr="006867D7">
        <w:t xml:space="preserve">reflects the </w:t>
      </w:r>
      <w:proofErr w:type="gramStart"/>
      <w:r w:rsidR="00B61694" w:rsidRPr="006867D7">
        <w:t>residents</w:t>
      </w:r>
      <w:proofErr w:type="gramEnd"/>
      <w:r w:rsidR="00B61694" w:rsidRPr="006867D7">
        <w:t xml:space="preserve"> status </w:t>
      </w:r>
      <w:r w:rsidRPr="006867D7">
        <w:t>will be completed</w:t>
      </w:r>
      <w:r w:rsidRPr="00583E22">
        <w:t xml:space="preserve"> in the format and in accordance with time frames stipulated by the Department of Health and Human Services Center for Medicare and Medicaid Services. Th</w:t>
      </w:r>
      <w:r>
        <w:t xml:space="preserve">e MDS </w:t>
      </w:r>
      <w:r w:rsidRPr="00583E22">
        <w:t>assessment will provide a comprehensive, accurate, standardized, reproducible assessment of each resident’s functional capacities and assist staff to identify health problems for care plan development.</w:t>
      </w:r>
    </w:p>
    <w:p w14:paraId="370479C1" w14:textId="77777777" w:rsidR="00583E22" w:rsidRDefault="00583E22">
      <w:pPr>
        <w:rPr>
          <w:b/>
          <w:bCs/>
        </w:rPr>
      </w:pPr>
    </w:p>
    <w:p w14:paraId="0A8D2B8F" w14:textId="0908F0A4" w:rsidR="00A312D2" w:rsidRPr="0005193E" w:rsidRDefault="00A312D2">
      <w:pPr>
        <w:rPr>
          <w:b/>
          <w:bCs/>
        </w:rPr>
      </w:pPr>
      <w:r w:rsidRPr="0005193E">
        <w:rPr>
          <w:b/>
          <w:bCs/>
        </w:rPr>
        <w:t>REGULATORY REQUIREMENT</w:t>
      </w:r>
    </w:p>
    <w:p w14:paraId="4968A8B4" w14:textId="77777777" w:rsidR="0005193E" w:rsidRPr="0005193E" w:rsidRDefault="006C4C33" w:rsidP="0005193E">
      <w:pPr>
        <w:spacing w:after="0"/>
        <w:rPr>
          <w:b/>
          <w:bCs/>
        </w:rPr>
      </w:pPr>
      <w:r w:rsidRPr="0005193E">
        <w:rPr>
          <w:b/>
          <w:bCs/>
        </w:rPr>
        <w:t xml:space="preserve">F641§483.20(g) Accuracy of Assessments. </w:t>
      </w:r>
    </w:p>
    <w:p w14:paraId="7211B947" w14:textId="77777777" w:rsidR="0005193E" w:rsidRDefault="006C4C33" w:rsidP="0005193E">
      <w:pPr>
        <w:spacing w:after="0"/>
      </w:pPr>
      <w:r w:rsidRPr="006C4C33">
        <w:t xml:space="preserve">The assessment must accurately reflect the resident’s status. </w:t>
      </w:r>
    </w:p>
    <w:p w14:paraId="356584F6" w14:textId="77777777" w:rsidR="001B09A0" w:rsidRDefault="001B09A0" w:rsidP="0005193E">
      <w:pPr>
        <w:spacing w:after="0"/>
        <w:rPr>
          <w:b/>
          <w:bCs/>
        </w:rPr>
      </w:pPr>
    </w:p>
    <w:p w14:paraId="0468E867" w14:textId="69FD4C50" w:rsidR="001825FD" w:rsidRDefault="006C4C33" w:rsidP="0005193E">
      <w:pPr>
        <w:spacing w:after="0"/>
      </w:pPr>
      <w:r w:rsidRPr="00003469">
        <w:rPr>
          <w:b/>
          <w:bCs/>
        </w:rPr>
        <w:t>§483.20(h) Coordination</w:t>
      </w:r>
      <w:r w:rsidRPr="006C4C33">
        <w:t xml:space="preserve">. A registered nurse must conduct or coordinate each assessment with the appropriate participation of health professionals. </w:t>
      </w:r>
    </w:p>
    <w:p w14:paraId="14B21DAB" w14:textId="77777777" w:rsidR="0001220C" w:rsidRDefault="006C4C33" w:rsidP="0005193E">
      <w:pPr>
        <w:spacing w:after="0"/>
      </w:pPr>
      <w:r w:rsidRPr="00003469">
        <w:rPr>
          <w:b/>
          <w:bCs/>
        </w:rPr>
        <w:t>§483.20(</w:t>
      </w:r>
      <w:proofErr w:type="spellStart"/>
      <w:r w:rsidRPr="00003469">
        <w:rPr>
          <w:b/>
          <w:bCs/>
        </w:rPr>
        <w:t>i</w:t>
      </w:r>
      <w:proofErr w:type="spellEnd"/>
      <w:r w:rsidRPr="00003469">
        <w:rPr>
          <w:b/>
          <w:bCs/>
        </w:rPr>
        <w:t>) Certification</w:t>
      </w:r>
      <w:r w:rsidRPr="006C4C33">
        <w:t xml:space="preserve">. </w:t>
      </w:r>
    </w:p>
    <w:p w14:paraId="0B3084EC" w14:textId="77777777" w:rsidR="0001220C" w:rsidRDefault="006C4C33" w:rsidP="0005193E">
      <w:pPr>
        <w:spacing w:after="0"/>
      </w:pPr>
      <w:r w:rsidRPr="006C4C33">
        <w:t>§483.20(</w:t>
      </w:r>
      <w:proofErr w:type="spellStart"/>
      <w:r w:rsidRPr="006C4C33">
        <w:t>i</w:t>
      </w:r>
      <w:proofErr w:type="spellEnd"/>
      <w:r w:rsidRPr="006C4C33">
        <w:t>)(1) A registered nurse must sign and certify that the assessment is completed. §483.20(</w:t>
      </w:r>
      <w:proofErr w:type="spellStart"/>
      <w:r w:rsidRPr="006C4C33">
        <w:t>i</w:t>
      </w:r>
      <w:proofErr w:type="spellEnd"/>
      <w:r w:rsidRPr="006C4C33">
        <w:t xml:space="preserve">)(2) Each individual who completes a portion of the assessment must sign and certify the accuracy of that portion of the assessment. </w:t>
      </w:r>
    </w:p>
    <w:p w14:paraId="33076C86" w14:textId="77777777" w:rsidR="0001220C" w:rsidRDefault="006C4C33" w:rsidP="0005193E">
      <w:pPr>
        <w:spacing w:after="0"/>
      </w:pPr>
      <w:r w:rsidRPr="00003469">
        <w:rPr>
          <w:b/>
          <w:bCs/>
        </w:rPr>
        <w:t>§483.20(j) Penalty for Falsification</w:t>
      </w:r>
      <w:r w:rsidRPr="006C4C33">
        <w:t xml:space="preserve">. </w:t>
      </w:r>
    </w:p>
    <w:p w14:paraId="4DC54F9D" w14:textId="77777777" w:rsidR="00003469" w:rsidRDefault="006C4C33" w:rsidP="0005193E">
      <w:pPr>
        <w:spacing w:after="0"/>
      </w:pPr>
      <w:r w:rsidRPr="006C4C33">
        <w:t xml:space="preserve">§483.20(j)(1) Under Medicare and Medicaid, an individual who willfully and </w:t>
      </w:r>
    </w:p>
    <w:p w14:paraId="0942514B" w14:textId="50355DDF" w:rsidR="00003469" w:rsidRDefault="006C4C33" w:rsidP="00003469">
      <w:pPr>
        <w:pStyle w:val="ListParagraph"/>
        <w:numPr>
          <w:ilvl w:val="0"/>
          <w:numId w:val="1"/>
        </w:numPr>
        <w:spacing w:after="0"/>
      </w:pPr>
      <w:r w:rsidRPr="006C4C33">
        <w:t xml:space="preserve">Certifies a material and false statement in a resident assessment is subject to a civil money penalty of not more than $1,000 for each assessment; or </w:t>
      </w:r>
    </w:p>
    <w:p w14:paraId="143CE122" w14:textId="637B1A69" w:rsidR="00003469" w:rsidRDefault="006C4C33" w:rsidP="00003469">
      <w:pPr>
        <w:pStyle w:val="ListParagraph"/>
        <w:numPr>
          <w:ilvl w:val="0"/>
          <w:numId w:val="1"/>
        </w:numPr>
        <w:spacing w:after="0"/>
      </w:pPr>
      <w:r w:rsidRPr="006C4C33">
        <w:t xml:space="preserve">Causes another individual to certify a material and false statement in a resident assessment is subject to a civil money penalty or not more than $5,000 for each assessment. </w:t>
      </w:r>
    </w:p>
    <w:p w14:paraId="0883EA10" w14:textId="4FCA055F" w:rsidR="00A312D2" w:rsidRDefault="006C4C33" w:rsidP="0005193E">
      <w:pPr>
        <w:spacing w:after="0"/>
      </w:pPr>
      <w:r w:rsidRPr="006C4C33">
        <w:t>§483.20(j)(2) Clinical disagreement does not constitute a material and false statement.</w:t>
      </w:r>
    </w:p>
    <w:p w14:paraId="1FD09252" w14:textId="77777777" w:rsidR="00A312D2" w:rsidRDefault="00A312D2"/>
    <w:p w14:paraId="732E57ED" w14:textId="1BF8C95C" w:rsidR="009D53EF" w:rsidRPr="00504FB2" w:rsidRDefault="009D53EF" w:rsidP="00504FB2">
      <w:pPr>
        <w:spacing w:after="0"/>
        <w:rPr>
          <w:b/>
          <w:bCs/>
        </w:rPr>
      </w:pPr>
      <w:r w:rsidRPr="00504FB2">
        <w:rPr>
          <w:b/>
          <w:bCs/>
        </w:rPr>
        <w:t>PROCEDURE</w:t>
      </w:r>
    </w:p>
    <w:p w14:paraId="42F6E15E" w14:textId="7462E5B2" w:rsidR="00504FB2" w:rsidRDefault="00D65C5E" w:rsidP="006B41D4">
      <w:pPr>
        <w:pStyle w:val="ListParagraph"/>
        <w:numPr>
          <w:ilvl w:val="0"/>
          <w:numId w:val="2"/>
        </w:numPr>
        <w:spacing w:after="0"/>
      </w:pPr>
      <w:r>
        <w:t>The</w:t>
      </w:r>
      <w:r w:rsidR="00681818" w:rsidRPr="00681818">
        <w:t xml:space="preserve"> facility will complete a comprehensive assessment of </w:t>
      </w:r>
      <w:r>
        <w:t>the</w:t>
      </w:r>
      <w:r w:rsidR="00681818" w:rsidRPr="00681818">
        <w:t xml:space="preserve"> resident’s needs, functional and health status, strengths, goals, life history and preferences, using the resident assessment instrument (RAI) specified by CMS. </w:t>
      </w:r>
    </w:p>
    <w:p w14:paraId="086E032D" w14:textId="1A994E15" w:rsidR="00D65C5E" w:rsidRDefault="006211D6" w:rsidP="009D53EF">
      <w:pPr>
        <w:pStyle w:val="ListParagraph"/>
        <w:numPr>
          <w:ilvl w:val="0"/>
          <w:numId w:val="2"/>
        </w:numPr>
      </w:pPr>
      <w:r>
        <w:lastRenderedPageBreak/>
        <w:t xml:space="preserve">The Minimum Date Set (MDS) will be completed by the </w:t>
      </w:r>
      <w:r w:rsidR="00EB2C7A">
        <w:t xml:space="preserve">interdisciplinary team </w:t>
      </w:r>
      <w:r w:rsidR="00980B15">
        <w:t>(</w:t>
      </w:r>
      <w:r w:rsidR="00980B15" w:rsidRPr="00980B15">
        <w:rPr>
          <w:highlight w:val="yellow"/>
        </w:rPr>
        <w:t>F</w:t>
      </w:r>
      <w:r w:rsidR="00EB2C7A" w:rsidRPr="00980B15">
        <w:rPr>
          <w:highlight w:val="yellow"/>
        </w:rPr>
        <w:t>acili</w:t>
      </w:r>
      <w:r w:rsidR="00EB2C7A" w:rsidRPr="00EB2C7A">
        <w:rPr>
          <w:highlight w:val="yellow"/>
        </w:rPr>
        <w:t xml:space="preserve">ty </w:t>
      </w:r>
      <w:r w:rsidR="00980B15">
        <w:rPr>
          <w:highlight w:val="yellow"/>
        </w:rPr>
        <w:t xml:space="preserve">designate discipline /MDS section </w:t>
      </w:r>
      <w:r w:rsidR="007C5F79">
        <w:rPr>
          <w:highlight w:val="yellow"/>
        </w:rPr>
        <w:t>completion</w:t>
      </w:r>
      <w:r w:rsidR="007C5F79" w:rsidRPr="00EB2C7A">
        <w:rPr>
          <w:highlight w:val="yellow"/>
        </w:rPr>
        <w:t>)</w:t>
      </w:r>
      <w:r w:rsidR="008F755A">
        <w:t xml:space="preserve"> </w:t>
      </w:r>
      <w:r w:rsidR="008F755A" w:rsidRPr="008F755A">
        <w:t xml:space="preserve">in accordance with professional standards of care and the Resident Assessment </w:t>
      </w:r>
      <w:r w:rsidR="007C5F79" w:rsidRPr="008F755A">
        <w:t>Instrument</w:t>
      </w:r>
      <w:r w:rsidR="008F755A" w:rsidRPr="008F755A">
        <w:t xml:space="preserve"> (RAI</w:t>
      </w:r>
      <w:r w:rsidR="008F755A">
        <w:t>).</w:t>
      </w:r>
    </w:p>
    <w:p w14:paraId="2CDAA8D6" w14:textId="77777777" w:rsidR="00077204" w:rsidRDefault="00077204" w:rsidP="009D53EF">
      <w:pPr>
        <w:pStyle w:val="ListParagraph"/>
        <w:numPr>
          <w:ilvl w:val="0"/>
          <w:numId w:val="2"/>
        </w:numPr>
      </w:pPr>
      <w:r w:rsidRPr="00077204">
        <w:t xml:space="preserve">The completed MDS </w:t>
      </w:r>
      <w:r>
        <w:t>will be</w:t>
      </w:r>
      <w:r w:rsidRPr="00077204">
        <w:t xml:space="preserve"> verified and signed by the MDS Coordinator. </w:t>
      </w:r>
    </w:p>
    <w:p w14:paraId="68F2F9DE" w14:textId="471B2265" w:rsidR="00EB2C7A" w:rsidRDefault="00077204" w:rsidP="00077204">
      <w:pPr>
        <w:pStyle w:val="ListParagraph"/>
        <w:numPr>
          <w:ilvl w:val="1"/>
          <w:numId w:val="2"/>
        </w:numPr>
      </w:pPr>
      <w:r w:rsidRPr="00077204">
        <w:t xml:space="preserve">Staff members who complete portions of the assessment attest to the accuracy of their sections by signature. </w:t>
      </w:r>
    </w:p>
    <w:p w14:paraId="58E660D3" w14:textId="03D90F26" w:rsidR="00F53F28" w:rsidRPr="006867D7" w:rsidRDefault="00F53F28" w:rsidP="00077204">
      <w:pPr>
        <w:pStyle w:val="ListParagraph"/>
        <w:numPr>
          <w:ilvl w:val="1"/>
          <w:numId w:val="2"/>
        </w:numPr>
      </w:pPr>
      <w:r w:rsidRPr="006867D7">
        <w:t xml:space="preserve">Staff </w:t>
      </w:r>
      <w:r w:rsidR="00B33E91" w:rsidRPr="006867D7">
        <w:t xml:space="preserve">completing the MDS are </w:t>
      </w:r>
      <w:r w:rsidR="006C578A" w:rsidRPr="006867D7">
        <w:t xml:space="preserve">responsible </w:t>
      </w:r>
      <w:r w:rsidR="00C02417" w:rsidRPr="006867D7">
        <w:t>for ensuring</w:t>
      </w:r>
      <w:r w:rsidR="00DB5323" w:rsidRPr="006867D7">
        <w:t xml:space="preserve"> that there is </w:t>
      </w:r>
      <w:r w:rsidR="003D60F4" w:rsidRPr="006867D7">
        <w:t xml:space="preserve">sufficient and supporting </w:t>
      </w:r>
      <w:r w:rsidR="00DB5323" w:rsidRPr="006867D7">
        <w:t xml:space="preserve">documentation </w:t>
      </w:r>
      <w:r w:rsidR="003D60F4" w:rsidRPr="006867D7">
        <w:t xml:space="preserve">in </w:t>
      </w:r>
      <w:r w:rsidR="00DB5323" w:rsidRPr="006867D7">
        <w:t xml:space="preserve">the medical record </w:t>
      </w:r>
      <w:r w:rsidRPr="006867D7">
        <w:t>to support a</w:t>
      </w:r>
      <w:r w:rsidR="00DB5323" w:rsidRPr="006867D7">
        <w:t>ny</w:t>
      </w:r>
      <w:r w:rsidRPr="006867D7">
        <w:t xml:space="preserve"> medical condition</w:t>
      </w:r>
      <w:r w:rsidR="00DB5323" w:rsidRPr="006867D7">
        <w:t>(</w:t>
      </w:r>
      <w:proofErr w:type="gramStart"/>
      <w:r w:rsidR="00DB5323" w:rsidRPr="006867D7">
        <w:t xml:space="preserve">s) </w:t>
      </w:r>
      <w:r w:rsidRPr="006867D7">
        <w:t xml:space="preserve"> </w:t>
      </w:r>
      <w:r w:rsidR="00C02417" w:rsidRPr="006867D7">
        <w:t>identified</w:t>
      </w:r>
      <w:proofErr w:type="gramEnd"/>
      <w:r w:rsidR="00C02417" w:rsidRPr="006867D7">
        <w:t xml:space="preserve"> </w:t>
      </w:r>
      <w:r w:rsidR="006867D7" w:rsidRPr="006867D7">
        <w:t xml:space="preserve">(e.g., </w:t>
      </w:r>
      <w:r w:rsidR="00C02417" w:rsidRPr="006867D7">
        <w:t>Schizophrenia</w:t>
      </w:r>
      <w:r w:rsidR="006867D7" w:rsidRPr="006867D7">
        <w:t>)</w:t>
      </w:r>
    </w:p>
    <w:p w14:paraId="7E74E5EE" w14:textId="7DE5393C" w:rsidR="00077204" w:rsidRPr="00935100" w:rsidRDefault="00032F9E" w:rsidP="009D53EF">
      <w:pPr>
        <w:pStyle w:val="ListParagraph"/>
        <w:numPr>
          <w:ilvl w:val="0"/>
          <w:numId w:val="2"/>
        </w:numPr>
      </w:pPr>
      <w:r w:rsidRPr="00935100">
        <w:t xml:space="preserve">Significant Change Assessments will be completed within 14 days after the facility has determined </w:t>
      </w:r>
      <w:r w:rsidR="00856FF5" w:rsidRPr="00935100">
        <w:t xml:space="preserve">that there has been a significant change in the resident’s physical or mental condition. </w:t>
      </w:r>
    </w:p>
    <w:p w14:paraId="13E833CD" w14:textId="77777777" w:rsidR="003B193D" w:rsidRPr="00935100" w:rsidRDefault="003B193D" w:rsidP="009D53EF">
      <w:pPr>
        <w:pStyle w:val="ListParagraph"/>
        <w:numPr>
          <w:ilvl w:val="0"/>
          <w:numId w:val="2"/>
        </w:numPr>
      </w:pPr>
      <w:r w:rsidRPr="00935100">
        <w:t>Prospective Payment System (PPS)</w:t>
      </w:r>
      <w:r w:rsidR="00255F9C" w:rsidRPr="00935100">
        <w:t xml:space="preserve"> and Quarterly Assessments will be transmitted within 14 days of completion date. </w:t>
      </w:r>
    </w:p>
    <w:p w14:paraId="74ED1B50" w14:textId="77777777" w:rsidR="003B193D" w:rsidRPr="00935100" w:rsidRDefault="00255F9C" w:rsidP="009D53EF">
      <w:pPr>
        <w:pStyle w:val="ListParagraph"/>
        <w:numPr>
          <w:ilvl w:val="0"/>
          <w:numId w:val="2"/>
        </w:numPr>
      </w:pPr>
      <w:r w:rsidRPr="00935100">
        <w:t xml:space="preserve">Comprehensive assessments will be transmitted within 14 days of the Care Plan completion date. </w:t>
      </w:r>
    </w:p>
    <w:p w14:paraId="3C48C907" w14:textId="0645B402" w:rsidR="003B193D" w:rsidRDefault="00255F9C" w:rsidP="009D53EF">
      <w:pPr>
        <w:pStyle w:val="ListParagraph"/>
        <w:numPr>
          <w:ilvl w:val="0"/>
          <w:numId w:val="2"/>
        </w:numPr>
      </w:pPr>
      <w:r w:rsidRPr="00255F9C">
        <w:t>The MDS Coordinator will tra</w:t>
      </w:r>
      <w:r w:rsidRPr="00935100">
        <w:t xml:space="preserve">nsmit the file </w:t>
      </w:r>
      <w:r w:rsidR="00935100" w:rsidRPr="00935100">
        <w:t xml:space="preserve">via the </w:t>
      </w:r>
      <w:r w:rsidR="00935100" w:rsidRPr="00935100">
        <w:rPr>
          <w:szCs w:val="24"/>
        </w:rPr>
        <w:t>I</w:t>
      </w:r>
      <w:r w:rsidR="00935100" w:rsidRPr="00935100">
        <w:rPr>
          <w:color w:val="001D35"/>
          <w:szCs w:val="24"/>
          <w:shd w:val="clear" w:color="auto" w:fill="FFFFFF"/>
        </w:rPr>
        <w:t>nternet Quality Improvement and Evaluation System (iQIES)</w:t>
      </w:r>
      <w:r w:rsidRPr="00935100">
        <w:t>and</w:t>
      </w:r>
      <w:r w:rsidRPr="00255F9C">
        <w:t xml:space="preserve"> print the initial and final Validation Report.</w:t>
      </w:r>
    </w:p>
    <w:p w14:paraId="2F896654" w14:textId="77777777" w:rsidR="003B193D" w:rsidRDefault="00255F9C" w:rsidP="009D53EF">
      <w:pPr>
        <w:pStyle w:val="ListParagraph"/>
        <w:numPr>
          <w:ilvl w:val="0"/>
          <w:numId w:val="2"/>
        </w:numPr>
      </w:pPr>
      <w:r w:rsidRPr="00255F9C">
        <w:t xml:space="preserve">The MDS Coordinator will facilitate the correction of any fatal errors immediately and retransmit the assessment until an accepted Validation Report is received. </w:t>
      </w:r>
    </w:p>
    <w:p w14:paraId="7353F084" w14:textId="178BA8E6" w:rsidR="007C5F79" w:rsidRPr="007D63A6" w:rsidRDefault="007C5F79" w:rsidP="009D53EF">
      <w:pPr>
        <w:pStyle w:val="ListParagraph"/>
        <w:numPr>
          <w:ilvl w:val="0"/>
          <w:numId w:val="2"/>
        </w:numPr>
      </w:pPr>
      <w:r w:rsidRPr="007D63A6">
        <w:t xml:space="preserve">The MDS Coordinator will be responsible for submitting any MDS </w:t>
      </w:r>
      <w:r w:rsidR="00C96D6F" w:rsidRPr="007D63A6">
        <w:t>Correction thr</w:t>
      </w:r>
      <w:r w:rsidR="00695154" w:rsidRPr="007D63A6">
        <w:t>ough</w:t>
      </w:r>
      <w:r w:rsidR="00C96D6F" w:rsidRPr="007D63A6">
        <w:t xml:space="preserve"> the iQIES </w:t>
      </w:r>
      <w:r w:rsidR="002C5D35" w:rsidRPr="007D63A6">
        <w:t>system when</w:t>
      </w:r>
      <w:r w:rsidRPr="007D63A6">
        <w:t xml:space="preserve"> an error in coding is identified by the IDT Team.</w:t>
      </w:r>
    </w:p>
    <w:p w14:paraId="5017C0D2" w14:textId="058688F5" w:rsidR="00856FF5" w:rsidRDefault="00255F9C" w:rsidP="009D53EF">
      <w:pPr>
        <w:pStyle w:val="ListParagraph"/>
        <w:numPr>
          <w:ilvl w:val="0"/>
          <w:numId w:val="2"/>
        </w:numPr>
      </w:pPr>
      <w:r w:rsidRPr="007D63A6">
        <w:t xml:space="preserve">The MDS Coordinator will also address non-fatal errors using the </w:t>
      </w:r>
      <w:r w:rsidR="008D18BA" w:rsidRPr="007D63A6">
        <w:t xml:space="preserve">Internet </w:t>
      </w:r>
      <w:r w:rsidRPr="007D63A6">
        <w:t>Quality Improvement and Evaluation System (</w:t>
      </w:r>
      <w:r w:rsidR="007C5F79" w:rsidRPr="007D63A6">
        <w:t>i</w:t>
      </w:r>
      <w:r w:rsidRPr="007D63A6">
        <w:t>QIES)</w:t>
      </w:r>
      <w:r w:rsidRPr="00255F9C">
        <w:t xml:space="preserve"> system</w:t>
      </w:r>
      <w:r w:rsidR="008D18BA">
        <w:t xml:space="preserve"> and </w:t>
      </w:r>
      <w:r w:rsidRPr="00255F9C">
        <w:t>MDS 3.0 Provider User’s Guide.</w:t>
      </w:r>
    </w:p>
    <w:p w14:paraId="3D04C945" w14:textId="77777777" w:rsidR="009D53EF" w:rsidRDefault="009D53EF"/>
    <w:p w14:paraId="4C307376" w14:textId="77777777" w:rsidR="009D53EF" w:rsidRDefault="009D53EF"/>
    <w:p w14:paraId="02CEC805" w14:textId="4CB0E465" w:rsidR="00583E22" w:rsidRPr="009D53EF" w:rsidRDefault="00583E22">
      <w:pPr>
        <w:rPr>
          <w:b/>
          <w:bCs/>
        </w:rPr>
      </w:pPr>
      <w:r w:rsidRPr="009D53EF">
        <w:rPr>
          <w:b/>
          <w:bCs/>
        </w:rPr>
        <w:t>Reference</w:t>
      </w:r>
    </w:p>
    <w:p w14:paraId="05F66E13" w14:textId="642B1291" w:rsidR="00583E22" w:rsidRDefault="00583E22" w:rsidP="009D53EF">
      <w:pPr>
        <w:ind w:left="720" w:hanging="720"/>
      </w:pPr>
      <w:r>
        <w:t>CMS (</w:t>
      </w:r>
      <w:r w:rsidR="009D53EF">
        <w:t xml:space="preserve">1/15/2025). QSO-25-12-NH. F641 Accuracy of Assessments. </w:t>
      </w:r>
      <w:hyperlink r:id="rId7" w:history="1">
        <w:r w:rsidR="009D53EF" w:rsidRPr="009D53EF">
          <w:rPr>
            <w:rStyle w:val="Hyperlink"/>
          </w:rPr>
          <w:t>REVISED: Revised Long-Term Care (LTC) Surveyor Guidance: Significant revisions to enhance quality and oversight of the LTC survey process</w:t>
        </w:r>
      </w:hyperlink>
    </w:p>
    <w:p w14:paraId="1CB60B6A" w14:textId="141DFEE2" w:rsidR="00A312D2" w:rsidRDefault="007D63A6">
      <w:r>
        <w:t xml:space="preserve">CMS (10/2024). </w:t>
      </w:r>
      <w:hyperlink r:id="rId8" w:history="1">
        <w:r w:rsidRPr="007D63A6">
          <w:rPr>
            <w:rStyle w:val="Hyperlink"/>
          </w:rPr>
          <w:t>Minimum Data Set 3.0 Resident Assessment Instrument User’s Manual v1.19.1</w:t>
        </w:r>
      </w:hyperlink>
    </w:p>
    <w:sectPr w:rsidR="00A312D2" w:rsidSect="006C40AF">
      <w:headerReference w:type="default" r:id="rId9"/>
      <w:footerReference w:type="default" r:id="rId10"/>
      <w:pgSz w:w="12240" w:h="15840"/>
      <w:pgMar w:top="720" w:right="1296" w:bottom="720" w:left="1296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F1052D" w14:textId="77777777" w:rsidR="00657306" w:rsidRDefault="00657306" w:rsidP="00F945A8">
      <w:pPr>
        <w:spacing w:after="0" w:line="240" w:lineRule="auto"/>
      </w:pPr>
      <w:r>
        <w:separator/>
      </w:r>
    </w:p>
  </w:endnote>
  <w:endnote w:type="continuationSeparator" w:id="0">
    <w:p w14:paraId="279779D8" w14:textId="77777777" w:rsidR="00657306" w:rsidRDefault="00657306" w:rsidP="00F945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855023954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496959F8" w14:textId="3BEE86D7" w:rsidR="006C40AF" w:rsidRDefault="006C40AF">
            <w:pPr>
              <w:pStyle w:val="Footer"/>
              <w:jc w:val="center"/>
            </w:pPr>
            <w:r w:rsidRPr="006C40AF">
              <w:rPr>
                <w:sz w:val="20"/>
                <w:szCs w:val="20"/>
              </w:rPr>
              <w:t xml:space="preserve">Page </w:t>
            </w:r>
            <w:r w:rsidRPr="006C40AF">
              <w:rPr>
                <w:b/>
                <w:bCs/>
                <w:sz w:val="20"/>
                <w:szCs w:val="20"/>
              </w:rPr>
              <w:fldChar w:fldCharType="begin"/>
            </w:r>
            <w:r w:rsidRPr="006C40AF">
              <w:rPr>
                <w:b/>
                <w:bCs/>
                <w:sz w:val="20"/>
                <w:szCs w:val="20"/>
              </w:rPr>
              <w:instrText xml:space="preserve"> PAGE </w:instrText>
            </w:r>
            <w:r w:rsidRPr="006C40AF">
              <w:rPr>
                <w:b/>
                <w:bCs/>
                <w:sz w:val="20"/>
                <w:szCs w:val="20"/>
              </w:rPr>
              <w:fldChar w:fldCharType="separate"/>
            </w:r>
            <w:r w:rsidRPr="006C40AF">
              <w:rPr>
                <w:b/>
                <w:bCs/>
                <w:noProof/>
                <w:sz w:val="20"/>
                <w:szCs w:val="20"/>
              </w:rPr>
              <w:t>2</w:t>
            </w:r>
            <w:r w:rsidRPr="006C40AF">
              <w:rPr>
                <w:b/>
                <w:bCs/>
                <w:sz w:val="20"/>
                <w:szCs w:val="20"/>
              </w:rPr>
              <w:fldChar w:fldCharType="end"/>
            </w:r>
            <w:r w:rsidRPr="006C40AF">
              <w:rPr>
                <w:sz w:val="20"/>
                <w:szCs w:val="20"/>
              </w:rPr>
              <w:t xml:space="preserve"> of </w:t>
            </w:r>
            <w:r w:rsidRPr="006C40AF">
              <w:rPr>
                <w:b/>
                <w:bCs/>
                <w:sz w:val="20"/>
                <w:szCs w:val="20"/>
              </w:rPr>
              <w:fldChar w:fldCharType="begin"/>
            </w:r>
            <w:r w:rsidRPr="006C40AF">
              <w:rPr>
                <w:b/>
                <w:bCs/>
                <w:sz w:val="20"/>
                <w:szCs w:val="20"/>
              </w:rPr>
              <w:instrText xml:space="preserve"> NUMPAGES  </w:instrText>
            </w:r>
            <w:r w:rsidRPr="006C40AF">
              <w:rPr>
                <w:b/>
                <w:bCs/>
                <w:sz w:val="20"/>
                <w:szCs w:val="20"/>
              </w:rPr>
              <w:fldChar w:fldCharType="separate"/>
            </w:r>
            <w:r w:rsidRPr="006C40AF">
              <w:rPr>
                <w:b/>
                <w:bCs/>
                <w:noProof/>
                <w:sz w:val="20"/>
                <w:szCs w:val="20"/>
              </w:rPr>
              <w:t>2</w:t>
            </w:r>
            <w:r w:rsidRPr="006C40AF">
              <w:rPr>
                <w:b/>
                <w:bCs/>
                <w:sz w:val="20"/>
                <w:szCs w:val="20"/>
              </w:rPr>
              <w:fldChar w:fldCharType="end"/>
            </w:r>
          </w:p>
        </w:sdtContent>
      </w:sdt>
    </w:sdtContent>
  </w:sdt>
  <w:p w14:paraId="094BF20E" w14:textId="25841881" w:rsidR="006C40AF" w:rsidRDefault="006C40AF" w:rsidP="006C40AF">
    <w:pPr>
      <w:pStyle w:val="Footer"/>
      <w:tabs>
        <w:tab w:val="clear" w:pos="4680"/>
        <w:tab w:val="clear" w:pos="9360"/>
        <w:tab w:val="left" w:pos="6370"/>
      </w:tabs>
    </w:pP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1CAF5F" w14:textId="77777777" w:rsidR="00657306" w:rsidRDefault="00657306" w:rsidP="00F945A8">
      <w:pPr>
        <w:spacing w:after="0" w:line="240" w:lineRule="auto"/>
      </w:pPr>
      <w:r>
        <w:separator/>
      </w:r>
    </w:p>
  </w:footnote>
  <w:footnote w:type="continuationSeparator" w:id="0">
    <w:p w14:paraId="544BB5A0" w14:textId="77777777" w:rsidR="00657306" w:rsidRDefault="00657306" w:rsidP="00F945A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6B028E" w14:textId="1BF07CDD" w:rsidR="00F945A8" w:rsidRDefault="00F945A8">
    <w:pPr>
      <w:pStyle w:val="Header"/>
    </w:pPr>
    <w:r>
      <w:rPr>
        <w:noProof/>
      </w:rPr>
      <w:drawing>
        <wp:inline distT="0" distB="0" distL="0" distR="0" wp14:anchorId="08D3C8AC" wp14:editId="126789D3">
          <wp:extent cx="5943600" cy="590550"/>
          <wp:effectExtent l="0" t="0" r="0" b="0"/>
          <wp:docPr id="1" name="Picture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43600" cy="590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372899C5" w14:textId="403E0C86" w:rsidR="00F945A8" w:rsidRPr="006C40AF" w:rsidRDefault="00F945A8" w:rsidP="00F945A8">
    <w:pPr>
      <w:pStyle w:val="Header"/>
      <w:jc w:val="center"/>
      <w:rPr>
        <w:b/>
        <w:bCs/>
      </w:rPr>
    </w:pPr>
    <w:r w:rsidRPr="006C40AF">
      <w:rPr>
        <w:b/>
        <w:bCs/>
      </w:rPr>
      <w:t>Policy and Procedure</w:t>
    </w:r>
    <w:r w:rsidR="006C40AF" w:rsidRPr="006C40AF">
      <w:rPr>
        <w:b/>
        <w:bCs/>
      </w:rPr>
      <w:t xml:space="preserve"> – MDS: Accuracy of Assessments</w:t>
    </w:r>
  </w:p>
  <w:p w14:paraId="0B525543" w14:textId="77777777" w:rsidR="006C40AF" w:rsidRDefault="006C40AF" w:rsidP="00F945A8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A47351"/>
    <w:multiLevelType w:val="hybridMultilevel"/>
    <w:tmpl w:val="F990ACD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840D7C"/>
    <w:multiLevelType w:val="hybridMultilevel"/>
    <w:tmpl w:val="8D0C724E"/>
    <w:lvl w:ilvl="0" w:tplc="A484F494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2044400569">
    <w:abstractNumId w:val="1"/>
  </w:num>
  <w:num w:numId="2" w16cid:durableId="9963495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62F8"/>
    <w:rsid w:val="00003469"/>
    <w:rsid w:val="0001220C"/>
    <w:rsid w:val="00032F9E"/>
    <w:rsid w:val="0005193E"/>
    <w:rsid w:val="00077204"/>
    <w:rsid w:val="00113601"/>
    <w:rsid w:val="001825FD"/>
    <w:rsid w:val="00192C58"/>
    <w:rsid w:val="001B09A0"/>
    <w:rsid w:val="0021693F"/>
    <w:rsid w:val="0025400D"/>
    <w:rsid w:val="00255F9C"/>
    <w:rsid w:val="002C5D35"/>
    <w:rsid w:val="003454FE"/>
    <w:rsid w:val="003B193D"/>
    <w:rsid w:val="003D60F4"/>
    <w:rsid w:val="00487954"/>
    <w:rsid w:val="004C0554"/>
    <w:rsid w:val="004D69C7"/>
    <w:rsid w:val="00504FB2"/>
    <w:rsid w:val="00583E22"/>
    <w:rsid w:val="006211D6"/>
    <w:rsid w:val="006436B1"/>
    <w:rsid w:val="00657306"/>
    <w:rsid w:val="00681818"/>
    <w:rsid w:val="006867D7"/>
    <w:rsid w:val="00695154"/>
    <w:rsid w:val="006B41D4"/>
    <w:rsid w:val="006C40AF"/>
    <w:rsid w:val="006C4C33"/>
    <w:rsid w:val="006C578A"/>
    <w:rsid w:val="006C7DC2"/>
    <w:rsid w:val="0072132C"/>
    <w:rsid w:val="007B286C"/>
    <w:rsid w:val="007C5F79"/>
    <w:rsid w:val="007D63A6"/>
    <w:rsid w:val="00856FF5"/>
    <w:rsid w:val="00874487"/>
    <w:rsid w:val="008D18BA"/>
    <w:rsid w:val="008F755A"/>
    <w:rsid w:val="00930386"/>
    <w:rsid w:val="00930D52"/>
    <w:rsid w:val="00935100"/>
    <w:rsid w:val="00980B15"/>
    <w:rsid w:val="0098494C"/>
    <w:rsid w:val="009D53EF"/>
    <w:rsid w:val="00A312D2"/>
    <w:rsid w:val="00A60FF2"/>
    <w:rsid w:val="00B33E91"/>
    <w:rsid w:val="00B61694"/>
    <w:rsid w:val="00B86D66"/>
    <w:rsid w:val="00C02417"/>
    <w:rsid w:val="00C27173"/>
    <w:rsid w:val="00C96D6F"/>
    <w:rsid w:val="00CB7C42"/>
    <w:rsid w:val="00D440CE"/>
    <w:rsid w:val="00D65C5E"/>
    <w:rsid w:val="00D876D6"/>
    <w:rsid w:val="00DB5323"/>
    <w:rsid w:val="00DB62F8"/>
    <w:rsid w:val="00DC2336"/>
    <w:rsid w:val="00E3496B"/>
    <w:rsid w:val="00E43616"/>
    <w:rsid w:val="00E67653"/>
    <w:rsid w:val="00EB2C7A"/>
    <w:rsid w:val="00F07064"/>
    <w:rsid w:val="00F53F28"/>
    <w:rsid w:val="00F945A8"/>
    <w:rsid w:val="00FB50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06F32F1"/>
  <w15:chartTrackingRefBased/>
  <w15:docId w15:val="{65ADBDA9-B84E-4EEA-B7DB-D9BBA8F14B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kern w:val="2"/>
        <w:sz w:val="24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312D2"/>
  </w:style>
  <w:style w:type="paragraph" w:styleId="Heading1">
    <w:name w:val="heading 1"/>
    <w:basedOn w:val="Normal"/>
    <w:next w:val="Normal"/>
    <w:link w:val="Heading1Char"/>
    <w:uiPriority w:val="9"/>
    <w:qFormat/>
    <w:rsid w:val="00DB62F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B62F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B62F8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B62F8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B62F8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B62F8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B62F8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B62F8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B62F8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B62F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B62F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B62F8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B62F8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B62F8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B62F8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B62F8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B62F8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B62F8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B62F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B62F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B62F8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B62F8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B62F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B62F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B62F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B62F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B62F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B62F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B62F8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F945A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945A8"/>
  </w:style>
  <w:style w:type="paragraph" w:styleId="Footer">
    <w:name w:val="footer"/>
    <w:basedOn w:val="Normal"/>
    <w:link w:val="FooterChar"/>
    <w:uiPriority w:val="99"/>
    <w:unhideWhenUsed/>
    <w:rsid w:val="00F945A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945A8"/>
  </w:style>
  <w:style w:type="table" w:styleId="TableGrid">
    <w:name w:val="Table Grid"/>
    <w:basedOn w:val="TableNormal"/>
    <w:uiPriority w:val="59"/>
    <w:rsid w:val="00A312D2"/>
    <w:pPr>
      <w:spacing w:after="0" w:line="240" w:lineRule="auto"/>
    </w:pPr>
    <w:rPr>
      <w:rFonts w:asciiTheme="minorHAnsi" w:hAnsiTheme="minorHAnsi"/>
      <w:kern w:val="0"/>
      <w:sz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9D53EF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D53E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cms.gov/files/document/finalmds-30-rai-manual-v1191october2024.pdf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cms.gov/files/document/qso-25-12-nh.pdf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603</Words>
  <Characters>3442</Characters>
  <Application>Microsoft Office Word</Application>
  <DocSecurity>4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Arlette Drigpaul</dc:creator>
  <cp:keywords/>
  <dc:description/>
  <cp:lastModifiedBy>Laura Brick</cp:lastModifiedBy>
  <cp:revision>2</cp:revision>
  <dcterms:created xsi:type="dcterms:W3CDTF">2025-02-20T18:18:00Z</dcterms:created>
  <dcterms:modified xsi:type="dcterms:W3CDTF">2025-02-20T18:18:00Z</dcterms:modified>
</cp:coreProperties>
</file>