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EDE1" w14:textId="7B50C94C" w:rsidR="000734CA" w:rsidRPr="000734CA" w:rsidRDefault="000734CA" w:rsidP="000734CA">
      <w:pPr>
        <w:pStyle w:val="Subtitle"/>
        <w:rPr>
          <w:rFonts w:ascii="Times New Roman" w:hAnsi="Times New Roman"/>
          <w:b w:val="0"/>
          <w:iCs/>
          <w:szCs w:val="24"/>
          <w:u w:val="none"/>
        </w:rPr>
      </w:pPr>
      <w:r w:rsidRPr="000734CA">
        <w:rPr>
          <w:rFonts w:ascii="Times New Roman" w:hAnsi="Times New Roman"/>
          <w:b w:val="0"/>
          <w:iCs/>
          <w:szCs w:val="24"/>
          <w:u w:val="none"/>
        </w:rPr>
        <w:t>POLICY and PROCEDURES</w:t>
      </w:r>
    </w:p>
    <w:p w14:paraId="1C168EC8" w14:textId="77777777" w:rsidR="000734CA" w:rsidRPr="000734CA" w:rsidRDefault="000734CA" w:rsidP="000734CA">
      <w:pPr>
        <w:pStyle w:val="Head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91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3"/>
        <w:gridCol w:w="3408"/>
        <w:gridCol w:w="204"/>
        <w:gridCol w:w="1555"/>
      </w:tblGrid>
      <w:tr w:rsidR="000734CA" w:rsidRPr="000734CA" w14:paraId="5845F543" w14:textId="77777777" w:rsidTr="00C757A8">
        <w:trPr>
          <w:gridBefore w:val="2"/>
          <w:wBefore w:w="7151" w:type="dxa"/>
        </w:trPr>
        <w:tc>
          <w:tcPr>
            <w:tcW w:w="175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2870516B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F049A3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4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Page No.:  </w:t>
            </w:r>
          </w:p>
        </w:tc>
      </w:tr>
      <w:tr w:rsidR="000734CA" w:rsidRPr="000734CA" w14:paraId="72B9E148" w14:textId="77777777" w:rsidTr="00C757A8">
        <w:tc>
          <w:tcPr>
            <w:tcW w:w="891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DEFFB5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C04799B" w14:textId="5E08F6F2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4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Title:  SAMPLE P/ P – ANAPHYLAXIS </w:t>
            </w:r>
          </w:p>
        </w:tc>
      </w:tr>
      <w:tr w:rsidR="000734CA" w:rsidRPr="000734CA" w14:paraId="62B62D36" w14:textId="77777777" w:rsidTr="00C757A8">
        <w:tc>
          <w:tcPr>
            <w:tcW w:w="891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048D47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ACBC07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4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Issued By:  </w:t>
            </w:r>
          </w:p>
        </w:tc>
      </w:tr>
      <w:tr w:rsidR="000734CA" w:rsidRPr="000734CA" w14:paraId="48B92000" w14:textId="77777777" w:rsidTr="00C757A8">
        <w:tc>
          <w:tcPr>
            <w:tcW w:w="37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F15433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237EB5E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4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Effective Date: </w:t>
            </w:r>
          </w:p>
        </w:tc>
        <w:tc>
          <w:tcPr>
            <w:tcW w:w="36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4D2986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93EE93F" w14:textId="1E74A0FD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4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Last Review Date: 1.10.23 </w:t>
            </w:r>
          </w:p>
        </w:tc>
        <w:tc>
          <w:tcPr>
            <w:tcW w:w="15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87017C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F50C598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4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Supersedes:   </w:t>
            </w:r>
          </w:p>
        </w:tc>
      </w:tr>
      <w:tr w:rsidR="000734CA" w:rsidRPr="000734CA" w14:paraId="4C6C6D07" w14:textId="77777777" w:rsidTr="00C757A8">
        <w:tc>
          <w:tcPr>
            <w:tcW w:w="891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0D7A4B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D193DFF" w14:textId="77777777" w:rsidR="000734CA" w:rsidRPr="000734CA" w:rsidRDefault="000734CA" w:rsidP="00C757A8">
            <w:pPr>
              <w:pStyle w:val="Head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4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Distribution: </w:t>
            </w:r>
          </w:p>
        </w:tc>
      </w:tr>
    </w:tbl>
    <w:p w14:paraId="769F81A0" w14:textId="77777777" w:rsidR="000734CA" w:rsidRPr="00344BFD" w:rsidRDefault="000734CA" w:rsidP="000734CA">
      <w:pPr>
        <w:rPr>
          <w:bCs/>
        </w:rPr>
      </w:pPr>
    </w:p>
    <w:p w14:paraId="48B3B82F" w14:textId="09CD0F08" w:rsidR="00E20FE8" w:rsidRPr="000734CA" w:rsidRDefault="00E20FE8" w:rsidP="00E20FE8">
      <w:pPr>
        <w:rPr>
          <w:rFonts w:ascii="Times New Roman" w:hAnsi="Times New Roman" w:cs="Times New Roman"/>
          <w:sz w:val="24"/>
          <w:szCs w:val="24"/>
        </w:rPr>
      </w:pPr>
      <w:r w:rsidRPr="000734CA">
        <w:rPr>
          <w:rFonts w:ascii="Times New Roman" w:hAnsi="Times New Roman" w:cs="Times New Roman"/>
          <w:b/>
          <w:bCs/>
          <w:sz w:val="24"/>
          <w:szCs w:val="24"/>
          <w:u w:val="single"/>
        </w:rPr>
        <w:t>Background</w:t>
      </w:r>
      <w:r w:rsidRPr="000734CA">
        <w:rPr>
          <w:rFonts w:ascii="Times New Roman" w:hAnsi="Times New Roman" w:cs="Times New Roman"/>
          <w:sz w:val="24"/>
          <w:szCs w:val="24"/>
        </w:rPr>
        <w:t>: Anaphylaxis is a severe and sometimes sudden</w:t>
      </w:r>
      <w:r w:rsidR="00762325">
        <w:rPr>
          <w:rFonts w:ascii="Times New Roman" w:hAnsi="Times New Roman" w:cs="Times New Roman"/>
          <w:sz w:val="24"/>
          <w:szCs w:val="24"/>
        </w:rPr>
        <w:t xml:space="preserve"> </w:t>
      </w:r>
      <w:r w:rsidRPr="000734CA">
        <w:rPr>
          <w:rFonts w:ascii="Times New Roman" w:hAnsi="Times New Roman" w:cs="Times New Roman"/>
          <w:sz w:val="24"/>
          <w:szCs w:val="24"/>
        </w:rPr>
        <w:t xml:space="preserve">allergic reaction which is potentially life threatening. </w:t>
      </w:r>
      <w:r w:rsidR="007A03D5" w:rsidRPr="00E26E95">
        <w:rPr>
          <w:rFonts w:ascii="Times New Roman" w:hAnsi="Times New Roman" w:cs="Times New Roman"/>
          <w:sz w:val="24"/>
          <w:szCs w:val="24"/>
        </w:rPr>
        <w:t xml:space="preserve">Signs and symptoms include a rapid, weak pulse; </w:t>
      </w:r>
      <w:r w:rsidR="009C6C5E" w:rsidRPr="00E26E95">
        <w:rPr>
          <w:rFonts w:ascii="Times New Roman" w:hAnsi="Times New Roman" w:cs="Times New Roman"/>
          <w:sz w:val="24"/>
          <w:szCs w:val="24"/>
        </w:rPr>
        <w:t>constrictions of the airways and a swollen tongue or throat; dizziness or fainting; skin reactions including hives and itching</w:t>
      </w:r>
      <w:r w:rsidR="007A03D5" w:rsidRPr="00E26E95">
        <w:rPr>
          <w:rFonts w:ascii="Times New Roman" w:hAnsi="Times New Roman" w:cs="Times New Roman"/>
          <w:sz w:val="24"/>
          <w:szCs w:val="24"/>
        </w:rPr>
        <w:t>; and nausea and vomiting</w:t>
      </w:r>
      <w:r w:rsidR="007A03D5">
        <w:rPr>
          <w:rFonts w:ascii="Times New Roman" w:hAnsi="Times New Roman" w:cs="Times New Roman"/>
          <w:sz w:val="24"/>
          <w:szCs w:val="24"/>
        </w:rPr>
        <w:t xml:space="preserve">. </w:t>
      </w:r>
      <w:r w:rsidRPr="000734CA">
        <w:rPr>
          <w:rFonts w:ascii="Times New Roman" w:hAnsi="Times New Roman" w:cs="Times New Roman"/>
          <w:sz w:val="24"/>
          <w:szCs w:val="24"/>
        </w:rPr>
        <w:t>It can occur when a person is exposed to an allergen (</w:t>
      </w:r>
      <w:r w:rsidRPr="00C01F75">
        <w:rPr>
          <w:rFonts w:ascii="Times New Roman" w:hAnsi="Times New Roman" w:cs="Times New Roman"/>
          <w:sz w:val="24"/>
          <w:szCs w:val="24"/>
        </w:rPr>
        <w:t>such as food</w:t>
      </w:r>
      <w:r w:rsidR="00C01F75" w:rsidRPr="00C01F75">
        <w:rPr>
          <w:rFonts w:ascii="Times New Roman" w:hAnsi="Times New Roman" w:cs="Times New Roman"/>
          <w:sz w:val="24"/>
          <w:szCs w:val="24"/>
        </w:rPr>
        <w:t xml:space="preserve">, </w:t>
      </w:r>
      <w:r w:rsidRPr="00C01F75">
        <w:rPr>
          <w:rFonts w:ascii="Times New Roman" w:hAnsi="Times New Roman" w:cs="Times New Roman"/>
          <w:sz w:val="24"/>
          <w:szCs w:val="24"/>
        </w:rPr>
        <w:t>an insect sting</w:t>
      </w:r>
      <w:r w:rsidR="00C01F75" w:rsidRPr="00C01F75">
        <w:rPr>
          <w:rFonts w:ascii="Times New Roman" w:hAnsi="Times New Roman" w:cs="Times New Roman"/>
          <w:sz w:val="24"/>
          <w:szCs w:val="24"/>
        </w:rPr>
        <w:t xml:space="preserve">, or </w:t>
      </w:r>
      <w:r w:rsidR="00C01F75" w:rsidRPr="00E26E95">
        <w:rPr>
          <w:rFonts w:ascii="Times New Roman" w:hAnsi="Times New Roman" w:cs="Times New Roman"/>
          <w:sz w:val="24"/>
          <w:szCs w:val="24"/>
        </w:rPr>
        <w:t>medication</w:t>
      </w:r>
      <w:r w:rsidRPr="000734CA">
        <w:rPr>
          <w:rFonts w:ascii="Times New Roman" w:hAnsi="Times New Roman" w:cs="Times New Roman"/>
          <w:sz w:val="24"/>
          <w:szCs w:val="24"/>
        </w:rPr>
        <w:t>). Reactions usually begin within minutes of exposure and can progress rapidly over a period of up to two hours or more. Anaphylaxis should always be treated as a medical emergency, requiring immediate treatment. Most cases of anaphylaxis occur after a person is exposed to the allergen to which they are allergic, usually a food, insect sting or medication.</w:t>
      </w:r>
      <w:r w:rsidR="00B84602">
        <w:rPr>
          <w:rFonts w:ascii="Times New Roman" w:hAnsi="Times New Roman" w:cs="Times New Roman"/>
          <w:sz w:val="24"/>
          <w:szCs w:val="24"/>
        </w:rPr>
        <w:t xml:space="preserve"> </w:t>
      </w:r>
      <w:r w:rsidR="00B84602" w:rsidRPr="00DE3FA0">
        <w:rPr>
          <w:rFonts w:ascii="Times New Roman" w:eastAsia="Times New Roman" w:hAnsi="Times New Roman" w:cs="Times New Roman"/>
          <w:sz w:val="24"/>
          <w:szCs w:val="24"/>
        </w:rPr>
        <w:t>Residents at risk for experiencing an Anaphylactic Reaction include those with a past history, multiple allergies to medications and foods.</w:t>
      </w:r>
      <w:r w:rsidRPr="00DE3FA0">
        <w:rPr>
          <w:rFonts w:ascii="Times New Roman" w:hAnsi="Times New Roman" w:cs="Times New Roman"/>
          <w:sz w:val="24"/>
          <w:szCs w:val="24"/>
        </w:rPr>
        <w:t xml:space="preserve"> </w:t>
      </w:r>
      <w:r w:rsidRPr="000734CA">
        <w:rPr>
          <w:rFonts w:ascii="Times New Roman" w:hAnsi="Times New Roman" w:cs="Times New Roman"/>
          <w:sz w:val="24"/>
          <w:szCs w:val="24"/>
        </w:rPr>
        <w:t>Any anaphylactic reaction always requires an emergency response.</w:t>
      </w:r>
    </w:p>
    <w:p w14:paraId="73AEDA44" w14:textId="2A5A7CB3" w:rsidR="00E20FE8" w:rsidRPr="000734CA" w:rsidRDefault="00E20FE8" w:rsidP="00E20FE8">
      <w:pPr>
        <w:rPr>
          <w:rFonts w:ascii="Times New Roman" w:hAnsi="Times New Roman" w:cs="Times New Roman"/>
          <w:sz w:val="24"/>
          <w:szCs w:val="24"/>
        </w:rPr>
      </w:pPr>
      <w:r w:rsidRPr="000734CA">
        <w:rPr>
          <w:rFonts w:ascii="Times New Roman" w:hAnsi="Times New Roman" w:cs="Times New Roman"/>
          <w:b/>
          <w:bCs/>
          <w:sz w:val="24"/>
          <w:szCs w:val="24"/>
          <w:u w:val="single"/>
        </w:rPr>
        <w:t>Policy</w:t>
      </w:r>
      <w:r w:rsidRPr="000734CA">
        <w:rPr>
          <w:rFonts w:ascii="Times New Roman" w:hAnsi="Times New Roman" w:cs="Times New Roman"/>
          <w:sz w:val="24"/>
          <w:szCs w:val="24"/>
        </w:rPr>
        <w:t>: It is the policy of this facility to ensure staff are trained to identify and respond to residents experiencing an anaphylactic episode.</w:t>
      </w:r>
    </w:p>
    <w:p w14:paraId="32C91995" w14:textId="64C3E439" w:rsidR="00E20FE8" w:rsidRPr="000734CA" w:rsidRDefault="00E20FE8" w:rsidP="00E20FE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4CA">
        <w:rPr>
          <w:rFonts w:ascii="Times New Roman" w:hAnsi="Times New Roman" w:cs="Times New Roman"/>
          <w:b/>
          <w:bCs/>
          <w:sz w:val="24"/>
          <w:szCs w:val="24"/>
          <w:u w:val="single"/>
        </w:rPr>
        <w:t>Procedure:</w:t>
      </w:r>
    </w:p>
    <w:p w14:paraId="4A1758D7" w14:textId="0B26B829" w:rsidR="00E20FE8" w:rsidRPr="000734CA" w:rsidRDefault="00E20FE8" w:rsidP="00084E9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34CA">
        <w:rPr>
          <w:rFonts w:ascii="Times New Roman" w:hAnsi="Times New Roman" w:cs="Times New Roman"/>
          <w:sz w:val="24"/>
          <w:szCs w:val="24"/>
        </w:rPr>
        <w:t>The RN admission nurse will identify any reported resident allergies upon admission and document in medical record and inform MD/NP.</w:t>
      </w:r>
    </w:p>
    <w:p w14:paraId="7D54F2B9" w14:textId="23449AB1" w:rsidR="00E20FE8" w:rsidRPr="000734CA" w:rsidRDefault="00E20FE8" w:rsidP="00084E9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34CA">
        <w:rPr>
          <w:rFonts w:ascii="Times New Roman" w:hAnsi="Times New Roman" w:cs="Times New Roman"/>
          <w:sz w:val="24"/>
          <w:szCs w:val="24"/>
        </w:rPr>
        <w:t>The MD/NP will document allergies on medical orders to ensure Pharmacy is notified of any and all resident allergies.</w:t>
      </w:r>
    </w:p>
    <w:p w14:paraId="6A56790B" w14:textId="647DD88C" w:rsidR="00DB6667" w:rsidRPr="00B84602" w:rsidRDefault="00DB6667" w:rsidP="00084E9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 xml:space="preserve">Each Nursing unit will have an emergency box containing an Epi pen </w:t>
      </w:r>
    </w:p>
    <w:p w14:paraId="1FDE5FFA" w14:textId="1C61F3C2" w:rsidR="00926E94" w:rsidRPr="000734CA" w:rsidRDefault="00E20FE8" w:rsidP="00E26E95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4CA">
        <w:rPr>
          <w:rFonts w:ascii="Times New Roman" w:hAnsi="Times New Roman" w:cs="Times New Roman"/>
          <w:sz w:val="24"/>
          <w:szCs w:val="24"/>
        </w:rPr>
        <w:t xml:space="preserve">All Nursing staff will be educated on the </w:t>
      </w:r>
      <w:r w:rsidR="00DE3FA0" w:rsidRPr="00E26E95">
        <w:rPr>
          <w:rFonts w:ascii="Times New Roman" w:hAnsi="Times New Roman" w:cs="Times New Roman"/>
          <w:sz w:val="24"/>
          <w:szCs w:val="24"/>
        </w:rPr>
        <w:t xml:space="preserve">identifying signs and symptoms of </w:t>
      </w:r>
      <w:r w:rsidRPr="00E26E95">
        <w:rPr>
          <w:rFonts w:ascii="Times New Roman" w:hAnsi="Times New Roman" w:cs="Times New Roman"/>
          <w:sz w:val="24"/>
          <w:szCs w:val="24"/>
        </w:rPr>
        <w:t>allergic</w:t>
      </w:r>
      <w:r w:rsidRPr="000734CA">
        <w:rPr>
          <w:rFonts w:ascii="Times New Roman" w:hAnsi="Times New Roman" w:cs="Times New Roman"/>
          <w:sz w:val="24"/>
          <w:szCs w:val="24"/>
        </w:rPr>
        <w:t xml:space="preserve"> reactions and </w:t>
      </w:r>
      <w:r w:rsidR="00926E94" w:rsidRPr="000734CA">
        <w:rPr>
          <w:rFonts w:ascii="Times New Roman" w:hAnsi="Times New Roman" w:cs="Times New Roman"/>
          <w:sz w:val="24"/>
          <w:szCs w:val="24"/>
        </w:rPr>
        <w:t xml:space="preserve">anaphylaxis emergencies </w:t>
      </w:r>
    </w:p>
    <w:p w14:paraId="264D124D" w14:textId="44B8090C" w:rsidR="00F56D28" w:rsidRPr="00B84602" w:rsidRDefault="00A004FA" w:rsidP="00084E9A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 xml:space="preserve">Any staff member observing a change in condition of a resident must immediately report to the Unit Nurse and/or </w:t>
      </w:r>
      <w:r w:rsidR="00DB6667" w:rsidRPr="00B84602">
        <w:rPr>
          <w:rFonts w:ascii="Times New Roman" w:eastAsia="Times New Roman" w:hAnsi="Times New Roman" w:cs="Times New Roman"/>
          <w:sz w:val="24"/>
          <w:szCs w:val="24"/>
        </w:rPr>
        <w:t>Supervisor (</w:t>
      </w:r>
      <w:r w:rsidR="00F56D28" w:rsidRPr="00B84602">
        <w:rPr>
          <w:rFonts w:ascii="Times New Roman" w:eastAsia="Times New Roman" w:hAnsi="Times New Roman" w:cs="Times New Roman"/>
          <w:sz w:val="24"/>
          <w:szCs w:val="24"/>
        </w:rPr>
        <w:t>SEE</w:t>
      </w:r>
      <w:r w:rsidRPr="00B84602">
        <w:rPr>
          <w:rFonts w:ascii="Times New Roman" w:eastAsia="Times New Roman" w:hAnsi="Times New Roman" w:cs="Times New Roman"/>
          <w:sz w:val="24"/>
          <w:szCs w:val="24"/>
        </w:rPr>
        <w:t xml:space="preserve"> PP Change in condition) </w:t>
      </w:r>
    </w:p>
    <w:p w14:paraId="582589D0" w14:textId="7D592C25" w:rsidR="00DB6667" w:rsidRPr="00B84602" w:rsidRDefault="00DB6667" w:rsidP="00084E9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>The steps that must be taken as soon as any sign(s) or symptom(s) of Anaphylaxis reaction identified or suspected</w:t>
      </w:r>
    </w:p>
    <w:p w14:paraId="3324C96E" w14:textId="77777777" w:rsidR="00DB6667" w:rsidRPr="00B84602" w:rsidRDefault="00DB6667" w:rsidP="00DB666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>Stay with resident</w:t>
      </w:r>
    </w:p>
    <w:p w14:paraId="255044C6" w14:textId="1C802F35" w:rsidR="00DB6667" w:rsidRPr="00B84602" w:rsidRDefault="00DB6667" w:rsidP="00DB666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 xml:space="preserve">Call for assistance </w:t>
      </w:r>
    </w:p>
    <w:p w14:paraId="7C9FB5DA" w14:textId="071B62C1" w:rsidR="00BD655A" w:rsidRPr="00B84602" w:rsidRDefault="00245F9E" w:rsidP="00DB666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lastRenderedPageBreak/>
        <w:t>Initiate</w:t>
      </w:r>
      <w:r w:rsidR="00BD655A" w:rsidRPr="00B84602">
        <w:rPr>
          <w:rFonts w:ascii="Times New Roman" w:eastAsia="Times New Roman" w:hAnsi="Times New Roman" w:cs="Times New Roman"/>
          <w:sz w:val="24"/>
          <w:szCs w:val="24"/>
        </w:rPr>
        <w:t xml:space="preserve"> a CODE BLUE </w:t>
      </w:r>
    </w:p>
    <w:p w14:paraId="100A94FB" w14:textId="77777777" w:rsidR="00DB6667" w:rsidRPr="00B84602" w:rsidRDefault="00DB6667" w:rsidP="00DB666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>RN to determine if EPI- Pen is needed</w:t>
      </w:r>
    </w:p>
    <w:p w14:paraId="01020DFF" w14:textId="1DF9B40C" w:rsidR="00DB6667" w:rsidRPr="00B84602" w:rsidRDefault="00DB6667" w:rsidP="00DB6667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 w:rsidR="00245F9E" w:rsidRPr="00B84602">
        <w:rPr>
          <w:rFonts w:ascii="Times New Roman" w:eastAsia="Times New Roman" w:hAnsi="Times New Roman" w:cs="Times New Roman"/>
          <w:sz w:val="24"/>
          <w:szCs w:val="24"/>
        </w:rPr>
        <w:t>nurses</w:t>
      </w:r>
      <w:r w:rsidRPr="00B84602">
        <w:rPr>
          <w:rFonts w:ascii="Times New Roman" w:eastAsia="Times New Roman" w:hAnsi="Times New Roman" w:cs="Times New Roman"/>
          <w:sz w:val="24"/>
          <w:szCs w:val="24"/>
        </w:rPr>
        <w:t xml:space="preserve"> notify PMD and initiate 911 response </w:t>
      </w:r>
    </w:p>
    <w:p w14:paraId="2BBB87F7" w14:textId="15D4A84C" w:rsidR="00DB6667" w:rsidRPr="00B84602" w:rsidRDefault="00BD655A" w:rsidP="00BD655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>Rapidly assess airway, breathing, circulation, and mentation (mental activity).</w:t>
      </w:r>
    </w:p>
    <w:p w14:paraId="1A4933C5" w14:textId="23FD9F06" w:rsidR="00BD655A" w:rsidRPr="00B84602" w:rsidRDefault="00BD655A" w:rsidP="00BD655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 xml:space="preserve">Place the patient in a supine position (face up), with feet elevated, unless upper airway obstruction is present, or the patient is vomiting. </w:t>
      </w:r>
    </w:p>
    <w:p w14:paraId="422D7556" w14:textId="780AF1F8" w:rsidR="00BD655A" w:rsidRPr="00B84602" w:rsidRDefault="00BD655A" w:rsidP="00BD655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>Epinephrine (1 mg/ml aqueous solution [1:1000 dilution]) is the first-line treatment for anaphylaxis and should be administered immediately. In adults, administer a 0.3 mg intramuscular dose using a premeasured or prefilled syringe, or an autoinjector, in the mid-outer thigh (through clothing if necessary). The maximum adult dose is 0.5 mg per dose.</w:t>
      </w:r>
    </w:p>
    <w:p w14:paraId="64FB2CD9" w14:textId="5A0B2D24" w:rsidR="00BD655A" w:rsidRPr="006A4B7A" w:rsidRDefault="00BD655A" w:rsidP="00BD655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B7A">
        <w:rPr>
          <w:rFonts w:ascii="Times New Roman" w:eastAsia="Times New Roman" w:hAnsi="Times New Roman" w:cs="Times New Roman"/>
          <w:sz w:val="24"/>
          <w:szCs w:val="24"/>
        </w:rPr>
        <w:t xml:space="preserve">A dose of epinephrine may be repeated approximately every 5-15 </w:t>
      </w:r>
      <w:r w:rsidR="007C1E0A" w:rsidRPr="006A4B7A">
        <w:rPr>
          <w:rFonts w:ascii="Times New Roman" w:eastAsia="Times New Roman" w:hAnsi="Times New Roman" w:cs="Times New Roman"/>
          <w:sz w:val="24"/>
          <w:szCs w:val="24"/>
        </w:rPr>
        <w:t>minutes until there is a response</w:t>
      </w:r>
      <w:r w:rsidRPr="006A4B7A">
        <w:rPr>
          <w:rFonts w:ascii="Times New Roman" w:eastAsia="Times New Roman" w:hAnsi="Times New Roman" w:cs="Times New Roman"/>
          <w:sz w:val="24"/>
          <w:szCs w:val="24"/>
        </w:rPr>
        <w:t>. The number and timing of epinephrine doses should be recorded and communicated to EMS.</w:t>
      </w:r>
    </w:p>
    <w:p w14:paraId="12F45B0C" w14:textId="77777777" w:rsidR="00BD655A" w:rsidRPr="00B84602" w:rsidRDefault="00BD655A" w:rsidP="00B84602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>Because of the acute, life-threatening nature of anaphylaxis, there are no contraindications to epinephrine administration.</w:t>
      </w:r>
    </w:p>
    <w:p w14:paraId="5FE471C3" w14:textId="7D4ACF58" w:rsidR="00DB6667" w:rsidRPr="000734CA" w:rsidRDefault="00DB6667" w:rsidP="0002443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 xml:space="preserve">Because anaphylaxis may recur after patients begin to recover, unit staff will </w:t>
      </w:r>
      <w:r w:rsidRPr="00B84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stay </w:t>
      </w:r>
      <w:r w:rsidRPr="0007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 the </w:t>
      </w:r>
      <w:r w:rsidR="00084E9A" w:rsidRPr="0007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resident</w:t>
      </w:r>
      <w:r w:rsidRPr="0007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until EMS arrival and </w:t>
      </w:r>
      <w:r w:rsidR="00084E9A" w:rsidRPr="00073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resident is transferred to the ER.</w:t>
      </w:r>
    </w:p>
    <w:p w14:paraId="0A53BA4D" w14:textId="3B33CA05" w:rsidR="00DB6667" w:rsidRDefault="00DB6667" w:rsidP="00084E9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602">
        <w:rPr>
          <w:rFonts w:ascii="Times New Roman" w:eastAsia="Times New Roman" w:hAnsi="Times New Roman" w:cs="Times New Roman"/>
          <w:sz w:val="24"/>
          <w:szCs w:val="24"/>
        </w:rPr>
        <w:t xml:space="preserve">Residents that are at risk for experiencing an Anaphylactic Reaction must be monitored closely when antibiotic therapy is initiated, immunizations are administered, and/or new or medications are started. </w:t>
      </w:r>
    </w:p>
    <w:p w14:paraId="4CDA07F1" w14:textId="4FD2D83D" w:rsidR="00DE3FA0" w:rsidRPr="00B84602" w:rsidRDefault="00DE3FA0" w:rsidP="00084E9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Unit Nurse and/or RNS will document in </w:t>
      </w:r>
      <w:r w:rsidR="00E26E95">
        <w:rPr>
          <w:rFonts w:ascii="Times New Roman" w:eastAsia="Times New Roman" w:hAnsi="Times New Roman" w:cs="Times New Roman"/>
          <w:sz w:val="24"/>
          <w:szCs w:val="24"/>
        </w:rPr>
        <w:t xml:space="preserve">medical </w:t>
      </w:r>
      <w:r>
        <w:rPr>
          <w:rFonts w:ascii="Times New Roman" w:eastAsia="Times New Roman" w:hAnsi="Times New Roman" w:cs="Times New Roman"/>
          <w:sz w:val="24"/>
          <w:szCs w:val="24"/>
        </w:rPr>
        <w:t>record including resident care plan to ensure ongoing follow up.</w:t>
      </w:r>
    </w:p>
    <w:p w14:paraId="33A04F2A" w14:textId="77777777" w:rsidR="00DB6667" w:rsidRPr="000734CA" w:rsidRDefault="00DB6667" w:rsidP="00DB6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31236072" w14:textId="3537D33A" w:rsidR="00FA1207" w:rsidRDefault="00BD655A" w:rsidP="00FA1207">
      <w:pPr>
        <w:pStyle w:val="ListParagraph"/>
        <w:shd w:val="clear" w:color="auto" w:fill="FFFFFF"/>
        <w:spacing w:after="172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4CA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REFERENCES</w:t>
      </w:r>
    </w:p>
    <w:p w14:paraId="7FA584FA" w14:textId="11B9926A" w:rsidR="00BD655A" w:rsidRDefault="00BD655A" w:rsidP="00FA1207">
      <w:pPr>
        <w:pStyle w:val="ListParagraph"/>
        <w:shd w:val="clear" w:color="auto" w:fill="FFFFFF"/>
        <w:spacing w:after="172" w:line="240" w:lineRule="auto"/>
        <w:ind w:left="0"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r w:rsidRPr="000734CA">
        <w:rPr>
          <w:rFonts w:ascii="Times New Roman" w:hAnsi="Times New Roman" w:cs="Times New Roman"/>
          <w:sz w:val="24"/>
          <w:szCs w:val="24"/>
        </w:rPr>
        <w:t xml:space="preserve">CDC (Updated 9/2/2022). </w:t>
      </w:r>
      <w:r w:rsidRPr="000734CA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  <w:t>Interim Considerations: Preparing for the Potential Management of Anaphylaxis after COVID-19 Vaccination</w:t>
      </w:r>
      <w:r w:rsidR="000734CA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  <w:t xml:space="preserve">. </w:t>
      </w:r>
      <w:hyperlink r:id="rId7" w:history="1">
        <w:r w:rsidRPr="000734CA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https://www.cdc.gov/vaccines/covid-19/clinical-considerations/managing-anaphylaxis.html</w:t>
        </w:r>
      </w:hyperlink>
    </w:p>
    <w:p w14:paraId="17329592" w14:textId="0AA0CA33" w:rsidR="007C1E0A" w:rsidRDefault="007C1E0A" w:rsidP="00FA1207">
      <w:pPr>
        <w:pStyle w:val="ListParagraph"/>
        <w:shd w:val="clear" w:color="auto" w:fill="FFFFFF"/>
        <w:spacing w:after="172" w:line="240" w:lineRule="auto"/>
        <w:ind w:left="0"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</w:p>
    <w:p w14:paraId="5579B6EE" w14:textId="125285C6" w:rsidR="007C1E0A" w:rsidRPr="00FA1207" w:rsidRDefault="000C334C" w:rsidP="00FA1207">
      <w:pPr>
        <w:pStyle w:val="ListParagraph"/>
        <w:shd w:val="clear" w:color="auto" w:fill="FFFFFF"/>
        <w:spacing w:after="172" w:line="240" w:lineRule="auto"/>
        <w:ind w:left="0"/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</w:pPr>
      <w:hyperlink r:id="rId8" w:history="1">
        <w:r w:rsidR="007C1E0A" w:rsidRPr="007C1E0A">
          <w:rPr>
            <w:color w:val="0000FF"/>
            <w:u w:val="single"/>
          </w:rPr>
          <w:t>Adrenaline in the Acute Treatment of Anaphylaxis - PMC (nih.gov)</w:t>
        </w:r>
      </w:hyperlink>
    </w:p>
    <w:p w14:paraId="758A8363" w14:textId="77777777" w:rsidR="00926E94" w:rsidRPr="000734CA" w:rsidRDefault="00926E94" w:rsidP="00926E94">
      <w:pPr>
        <w:rPr>
          <w:rFonts w:ascii="Times New Roman" w:hAnsi="Times New Roman" w:cs="Times New Roman"/>
          <w:sz w:val="24"/>
          <w:szCs w:val="24"/>
        </w:rPr>
      </w:pPr>
    </w:p>
    <w:p w14:paraId="5FB1BCF5" w14:textId="40AAF93E" w:rsidR="00E20FE8" w:rsidRPr="000734CA" w:rsidRDefault="00E20FE8" w:rsidP="00E20FE8">
      <w:pPr>
        <w:rPr>
          <w:rFonts w:ascii="Times New Roman" w:hAnsi="Times New Roman" w:cs="Times New Roman"/>
          <w:sz w:val="24"/>
          <w:szCs w:val="24"/>
        </w:rPr>
      </w:pPr>
    </w:p>
    <w:p w14:paraId="1E0F08AB" w14:textId="507797F0" w:rsidR="00E20FE8" w:rsidRPr="00E20FE8" w:rsidRDefault="00926E94" w:rsidP="00E20FE8">
      <w:pPr>
        <w:rPr>
          <w:sz w:val="24"/>
          <w:szCs w:val="24"/>
        </w:rPr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170CAD9A" wp14:editId="7F5EB106">
            <wp:extent cx="5943600" cy="4592955"/>
            <wp:effectExtent l="0" t="0" r="0" b="0"/>
            <wp:docPr id="1" name="Picture 1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0FE8" w:rsidRPr="00E20FE8" w:rsidSect="005D7B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F8D4" w14:textId="77777777" w:rsidR="006F1F96" w:rsidRDefault="006F1F96" w:rsidP="000734CA">
      <w:pPr>
        <w:spacing w:after="0" w:line="240" w:lineRule="auto"/>
      </w:pPr>
      <w:r>
        <w:separator/>
      </w:r>
    </w:p>
  </w:endnote>
  <w:endnote w:type="continuationSeparator" w:id="0">
    <w:p w14:paraId="48674E1B" w14:textId="77777777" w:rsidR="006F1F96" w:rsidRDefault="006F1F96" w:rsidP="0007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5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3B9C6" w14:textId="3B760E8B" w:rsidR="005D7BED" w:rsidRDefault="005D7B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EF18D4" w14:textId="77777777" w:rsidR="005D7BED" w:rsidRDefault="005D7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F4A1" w14:textId="77777777" w:rsidR="006F1F96" w:rsidRDefault="006F1F96" w:rsidP="000734CA">
      <w:pPr>
        <w:spacing w:after="0" w:line="240" w:lineRule="auto"/>
      </w:pPr>
      <w:r>
        <w:separator/>
      </w:r>
    </w:p>
  </w:footnote>
  <w:footnote w:type="continuationSeparator" w:id="0">
    <w:p w14:paraId="354CDDA7" w14:textId="77777777" w:rsidR="006F1F96" w:rsidRDefault="006F1F96" w:rsidP="0007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8CAA" w14:textId="6A2BEEFC" w:rsidR="000734CA" w:rsidRDefault="000734CA">
    <w:pPr>
      <w:pStyle w:val="Header"/>
    </w:pPr>
    <w:r>
      <w:rPr>
        <w:noProof/>
      </w:rPr>
      <w:drawing>
        <wp:inline distT="0" distB="0" distL="0" distR="0" wp14:anchorId="327C328F" wp14:editId="3BA44EA3">
          <wp:extent cx="5943600" cy="723900"/>
          <wp:effectExtent l="0" t="0" r="0" b="0"/>
          <wp:docPr id="2" name="Picture 2" descr="https://gnyhcfa.org/wp-content/uploads/2016/08/gnyhcfa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gnyhcfa.org/wp-content/uploads/2016/08/gnyhcfa-logo-2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EBE"/>
    <w:multiLevelType w:val="hybridMultilevel"/>
    <w:tmpl w:val="C3926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D578E4"/>
    <w:multiLevelType w:val="multilevel"/>
    <w:tmpl w:val="2E8C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D72E1"/>
    <w:multiLevelType w:val="hybridMultilevel"/>
    <w:tmpl w:val="E5629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2D7B41"/>
    <w:multiLevelType w:val="hybridMultilevel"/>
    <w:tmpl w:val="535A0114"/>
    <w:lvl w:ilvl="0" w:tplc="98D6C5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E3F6D"/>
    <w:multiLevelType w:val="hybridMultilevel"/>
    <w:tmpl w:val="6BC4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5083F"/>
    <w:multiLevelType w:val="hybridMultilevel"/>
    <w:tmpl w:val="F16EC780"/>
    <w:lvl w:ilvl="0" w:tplc="DBC6C6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F245A"/>
    <w:multiLevelType w:val="hybridMultilevel"/>
    <w:tmpl w:val="1144DD94"/>
    <w:lvl w:ilvl="0" w:tplc="04090017">
      <w:start w:val="1"/>
      <w:numFmt w:val="lowerLetter"/>
      <w:lvlText w:val="%1)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36242F5F"/>
    <w:multiLevelType w:val="hybridMultilevel"/>
    <w:tmpl w:val="973C4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E36A40"/>
    <w:multiLevelType w:val="hybridMultilevel"/>
    <w:tmpl w:val="EC46B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E5C52"/>
    <w:multiLevelType w:val="hybridMultilevel"/>
    <w:tmpl w:val="EE8AA9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A20B26"/>
    <w:multiLevelType w:val="multilevel"/>
    <w:tmpl w:val="CE16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3509B"/>
    <w:multiLevelType w:val="hybridMultilevel"/>
    <w:tmpl w:val="07EA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7636E"/>
    <w:multiLevelType w:val="hybridMultilevel"/>
    <w:tmpl w:val="939A1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7A478A"/>
    <w:multiLevelType w:val="hybridMultilevel"/>
    <w:tmpl w:val="8928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F6330"/>
    <w:multiLevelType w:val="hybridMultilevel"/>
    <w:tmpl w:val="2F84476A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55B47"/>
    <w:multiLevelType w:val="multilevel"/>
    <w:tmpl w:val="D78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D55E3"/>
    <w:multiLevelType w:val="hybridMultilevel"/>
    <w:tmpl w:val="A28E8DD6"/>
    <w:lvl w:ilvl="0" w:tplc="09BE006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449767">
    <w:abstractNumId w:val="4"/>
  </w:num>
  <w:num w:numId="2" w16cid:durableId="1432777538">
    <w:abstractNumId w:val="10"/>
  </w:num>
  <w:num w:numId="3" w16cid:durableId="1872643416">
    <w:abstractNumId w:val="13"/>
  </w:num>
  <w:num w:numId="4" w16cid:durableId="1288707647">
    <w:abstractNumId w:val="14"/>
  </w:num>
  <w:num w:numId="5" w16cid:durableId="243271188">
    <w:abstractNumId w:val="15"/>
  </w:num>
  <w:num w:numId="6" w16cid:durableId="74130307">
    <w:abstractNumId w:val="1"/>
  </w:num>
  <w:num w:numId="7" w16cid:durableId="226499858">
    <w:abstractNumId w:val="2"/>
  </w:num>
  <w:num w:numId="8" w16cid:durableId="1487208715">
    <w:abstractNumId w:val="0"/>
  </w:num>
  <w:num w:numId="9" w16cid:durableId="945963907">
    <w:abstractNumId w:val="5"/>
  </w:num>
  <w:num w:numId="10" w16cid:durableId="1843545671">
    <w:abstractNumId w:val="6"/>
  </w:num>
  <w:num w:numId="11" w16cid:durableId="1623149703">
    <w:abstractNumId w:val="3"/>
  </w:num>
  <w:num w:numId="12" w16cid:durableId="759834254">
    <w:abstractNumId w:val="11"/>
  </w:num>
  <w:num w:numId="13" w16cid:durableId="1631475597">
    <w:abstractNumId w:val="7"/>
  </w:num>
  <w:num w:numId="14" w16cid:durableId="1164711161">
    <w:abstractNumId w:val="12"/>
  </w:num>
  <w:num w:numId="15" w16cid:durableId="1734158428">
    <w:abstractNumId w:val="16"/>
  </w:num>
  <w:num w:numId="16" w16cid:durableId="1545023692">
    <w:abstractNumId w:val="8"/>
  </w:num>
  <w:num w:numId="17" w16cid:durableId="1060009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E8"/>
    <w:rsid w:val="000734CA"/>
    <w:rsid w:val="00084E9A"/>
    <w:rsid w:val="000C334C"/>
    <w:rsid w:val="00245F9E"/>
    <w:rsid w:val="00373D61"/>
    <w:rsid w:val="005D7BED"/>
    <w:rsid w:val="006A4B7A"/>
    <w:rsid w:val="006F1F96"/>
    <w:rsid w:val="007441E5"/>
    <w:rsid w:val="00762325"/>
    <w:rsid w:val="007A03D5"/>
    <w:rsid w:val="007C1E0A"/>
    <w:rsid w:val="00926E94"/>
    <w:rsid w:val="00964009"/>
    <w:rsid w:val="009C6C5E"/>
    <w:rsid w:val="00A004FA"/>
    <w:rsid w:val="00B84602"/>
    <w:rsid w:val="00BD655A"/>
    <w:rsid w:val="00BE7F1D"/>
    <w:rsid w:val="00C01F75"/>
    <w:rsid w:val="00C0683E"/>
    <w:rsid w:val="00C30C8A"/>
    <w:rsid w:val="00DB6667"/>
    <w:rsid w:val="00DC4794"/>
    <w:rsid w:val="00DE3FA0"/>
    <w:rsid w:val="00E20FE8"/>
    <w:rsid w:val="00E26E95"/>
    <w:rsid w:val="00F56D28"/>
    <w:rsid w:val="00F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44EE"/>
  <w15:chartTrackingRefBased/>
  <w15:docId w15:val="{21DB958F-BB80-47E1-B9C4-DDE87EEE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5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F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6E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6D2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55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6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73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4CA"/>
  </w:style>
  <w:style w:type="paragraph" w:styleId="Footer">
    <w:name w:val="footer"/>
    <w:basedOn w:val="Normal"/>
    <w:link w:val="FooterChar"/>
    <w:uiPriority w:val="99"/>
    <w:unhideWhenUsed/>
    <w:rsid w:val="00073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4CA"/>
  </w:style>
  <w:style w:type="paragraph" w:styleId="Subtitle">
    <w:name w:val="Subtitle"/>
    <w:basedOn w:val="Normal"/>
    <w:link w:val="SubtitleChar"/>
    <w:qFormat/>
    <w:rsid w:val="000734CA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0734CA"/>
    <w:rPr>
      <w:rFonts w:ascii="Garamond" w:eastAsia="Times New Roman" w:hAnsi="Garamond" w:cs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134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194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613136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www.cdc.gov_vaccines_covid-2D19_clinical-2Dconsiderations_managing-2Danaphylaxis.html&amp;d=DwMGaQ&amp;c=euGZstcaTDllvimEN8b7jXrwqOf-v5A_CdpgnVfiiMM&amp;r=UpKKFyStrIwW23Rw_7Y1Xj_RwbcqhK6-puwN65XPycU&amp;m=bY6i8SPASY7RPSAnBjLWwZ7asIk_T6UJyK0VUeNfdwc&amp;s=9RXATwBn2yLPVrxrk46bs0_-PYYfZrl-y4_WAreh4d8&amp;e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Gracey-White</dc:creator>
  <cp:keywords/>
  <dc:description/>
  <cp:lastModifiedBy>Laura Brick</cp:lastModifiedBy>
  <cp:revision>2</cp:revision>
  <dcterms:created xsi:type="dcterms:W3CDTF">2023-01-12T19:55:00Z</dcterms:created>
  <dcterms:modified xsi:type="dcterms:W3CDTF">2023-01-12T19:55:00Z</dcterms:modified>
</cp:coreProperties>
</file>