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8FFF" w14:textId="77777777" w:rsidR="00800CC3" w:rsidRDefault="00800CC3"/>
    <w:p w14:paraId="291F772D" w14:textId="14370DBD" w:rsidR="007A7743" w:rsidRPr="00B752C1" w:rsidRDefault="007A7743" w:rsidP="00B752C1">
      <w:pPr>
        <w:pStyle w:val="Subtitle"/>
        <w:rPr>
          <w:iCs/>
          <w:szCs w:val="24"/>
          <w:u w:val="none"/>
        </w:rPr>
      </w:pPr>
      <w:r>
        <w:rPr>
          <w:iCs/>
          <w:szCs w:val="24"/>
          <w:u w:val="none"/>
        </w:rPr>
        <w:t>POLICY and PROCEDURE</w:t>
      </w:r>
    </w:p>
    <w:tbl>
      <w:tblPr>
        <w:tblW w:w="9990"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3"/>
        <w:gridCol w:w="3408"/>
        <w:gridCol w:w="204"/>
        <w:gridCol w:w="2275"/>
      </w:tblGrid>
      <w:tr w:rsidR="007A7743" w14:paraId="7975593D" w14:textId="77777777" w:rsidTr="007A7743">
        <w:trPr>
          <w:gridBefore w:val="2"/>
          <w:wBefore w:w="7511" w:type="dxa"/>
        </w:trPr>
        <w:tc>
          <w:tcPr>
            <w:tcW w:w="2479" w:type="dxa"/>
            <w:gridSpan w:val="2"/>
            <w:tcBorders>
              <w:top w:val="double" w:sz="6" w:space="0" w:color="auto"/>
              <w:left w:val="double" w:sz="6" w:space="0" w:color="auto"/>
              <w:right w:val="double" w:sz="6" w:space="0" w:color="auto"/>
            </w:tcBorders>
          </w:tcPr>
          <w:p w14:paraId="372BC5B3" w14:textId="77777777" w:rsidR="007A7743" w:rsidRPr="00485F71" w:rsidRDefault="007A7743" w:rsidP="00EB1521">
            <w:pPr>
              <w:pStyle w:val="Header"/>
              <w:tabs>
                <w:tab w:val="clear" w:pos="4320"/>
                <w:tab w:val="clear" w:pos="8640"/>
              </w:tabs>
              <w:rPr>
                <w:i/>
                <w:sz w:val="22"/>
              </w:rPr>
            </w:pPr>
          </w:p>
          <w:p w14:paraId="254C4164" w14:textId="62D72BDF" w:rsidR="007A7743" w:rsidRPr="00485F71" w:rsidRDefault="007A7743" w:rsidP="00EB1521">
            <w:pPr>
              <w:pStyle w:val="Header"/>
              <w:tabs>
                <w:tab w:val="clear" w:pos="4320"/>
                <w:tab w:val="clear" w:pos="8640"/>
              </w:tabs>
              <w:jc w:val="center"/>
              <w:rPr>
                <w:rFonts w:ascii="Garamond" w:hAnsi="Garamond"/>
                <w:b/>
                <w:bCs/>
                <w:i/>
                <w:iCs/>
                <w:sz w:val="22"/>
              </w:rPr>
            </w:pPr>
            <w:r w:rsidRPr="00485F71">
              <w:rPr>
                <w:b/>
                <w:bCs/>
                <w:i/>
                <w:iCs/>
                <w:sz w:val="22"/>
              </w:rPr>
              <w:t>Page No.:</w:t>
            </w:r>
            <w:r w:rsidRPr="00485F71">
              <w:rPr>
                <w:rFonts w:ascii="Garamond" w:hAnsi="Garamond"/>
                <w:b/>
                <w:bCs/>
                <w:i/>
                <w:iCs/>
                <w:sz w:val="22"/>
              </w:rPr>
              <w:t xml:space="preserve">  </w:t>
            </w:r>
            <w:r w:rsidR="00057585">
              <w:rPr>
                <w:rFonts w:ascii="Garamond" w:hAnsi="Garamond"/>
                <w:b/>
                <w:bCs/>
                <w:i/>
                <w:iCs/>
                <w:sz w:val="22"/>
              </w:rPr>
              <w:t xml:space="preserve">1 </w:t>
            </w:r>
            <w:proofErr w:type="gramStart"/>
            <w:r w:rsidR="00057585">
              <w:rPr>
                <w:rFonts w:ascii="Garamond" w:hAnsi="Garamond"/>
                <w:b/>
                <w:bCs/>
                <w:i/>
                <w:iCs/>
                <w:sz w:val="22"/>
              </w:rPr>
              <w:t>of</w:t>
            </w:r>
            <w:r w:rsidRPr="00485F71">
              <w:rPr>
                <w:rFonts w:ascii="Garamond" w:hAnsi="Garamond"/>
                <w:b/>
                <w:bCs/>
                <w:i/>
                <w:iCs/>
                <w:sz w:val="22"/>
              </w:rPr>
              <w:t xml:space="preserve"> </w:t>
            </w:r>
            <w:r w:rsidR="00057585">
              <w:rPr>
                <w:rFonts w:ascii="Garamond" w:hAnsi="Garamond"/>
                <w:b/>
                <w:bCs/>
                <w:i/>
                <w:iCs/>
                <w:sz w:val="22"/>
              </w:rPr>
              <w:t xml:space="preserve"> 3</w:t>
            </w:r>
            <w:proofErr w:type="gramEnd"/>
          </w:p>
        </w:tc>
      </w:tr>
      <w:tr w:rsidR="007A7743" w14:paraId="72BEAD48" w14:textId="77777777" w:rsidTr="007A7743">
        <w:tc>
          <w:tcPr>
            <w:tcW w:w="9990" w:type="dxa"/>
            <w:gridSpan w:val="4"/>
            <w:tcBorders>
              <w:top w:val="double" w:sz="6" w:space="0" w:color="auto"/>
              <w:left w:val="double" w:sz="6" w:space="0" w:color="auto"/>
              <w:bottom w:val="double" w:sz="6" w:space="0" w:color="auto"/>
              <w:right w:val="double" w:sz="6" w:space="0" w:color="auto"/>
            </w:tcBorders>
          </w:tcPr>
          <w:p w14:paraId="25ED770B" w14:textId="77777777" w:rsidR="007A7743" w:rsidRPr="00A5143B" w:rsidRDefault="007A7743" w:rsidP="00EB1521">
            <w:pPr>
              <w:pStyle w:val="Header"/>
              <w:tabs>
                <w:tab w:val="clear" w:pos="4320"/>
                <w:tab w:val="clear" w:pos="8640"/>
              </w:tabs>
              <w:rPr>
                <w:rFonts w:ascii="Garamond" w:hAnsi="Garamond"/>
                <w:b/>
                <w:bCs/>
                <w:i/>
                <w:iCs/>
                <w:sz w:val="24"/>
                <w:szCs w:val="24"/>
              </w:rPr>
            </w:pPr>
          </w:p>
          <w:p w14:paraId="21FC9A78" w14:textId="4DCCD63D" w:rsidR="007A7743" w:rsidRPr="00485F71" w:rsidRDefault="007A7743" w:rsidP="00EB1521">
            <w:pPr>
              <w:rPr>
                <w:rFonts w:ascii="Garamond" w:hAnsi="Garamond"/>
                <w:b/>
                <w:bCs/>
                <w:i/>
                <w:iCs/>
              </w:rPr>
            </w:pPr>
            <w:r w:rsidRPr="00A5143B">
              <w:rPr>
                <w:rFonts w:ascii="Garamond" w:hAnsi="Garamond"/>
                <w:b/>
                <w:bCs/>
                <w:i/>
                <w:iCs/>
              </w:rPr>
              <w:t>Title:</w:t>
            </w:r>
            <w:r w:rsidRPr="00A5143B">
              <w:rPr>
                <w:rFonts w:ascii="Garamond" w:hAnsi="Garamond" w:cs="Arial"/>
                <w:b/>
                <w:bCs/>
                <w:i/>
              </w:rPr>
              <w:t xml:space="preserve"> </w:t>
            </w:r>
            <w:r w:rsidR="00A5143B" w:rsidRPr="00A5143B">
              <w:rPr>
                <w:rFonts w:ascii="Garamond" w:hAnsi="Garamond" w:cs="Arial"/>
                <w:b/>
                <w:bCs/>
                <w:i/>
              </w:rPr>
              <w:t xml:space="preserve"> Psychosocial Wellness</w:t>
            </w:r>
            <w:r w:rsidR="00A5143B">
              <w:rPr>
                <w:rFonts w:ascii="Garamond" w:hAnsi="Garamond" w:cs="Arial"/>
                <w:i/>
              </w:rPr>
              <w:t xml:space="preserve"> </w:t>
            </w:r>
            <w:r>
              <w:rPr>
                <w:rFonts w:ascii="Garamond" w:hAnsi="Garamond" w:cs="Arial"/>
                <w:b/>
                <w:i/>
              </w:rPr>
              <w:t xml:space="preserve">Monitoring for Changes in Mood State </w:t>
            </w:r>
          </w:p>
        </w:tc>
      </w:tr>
      <w:tr w:rsidR="007A7743" w14:paraId="352C61E0" w14:textId="77777777" w:rsidTr="007A7743">
        <w:tc>
          <w:tcPr>
            <w:tcW w:w="9990" w:type="dxa"/>
            <w:gridSpan w:val="4"/>
            <w:tcBorders>
              <w:top w:val="double" w:sz="6" w:space="0" w:color="auto"/>
              <w:left w:val="double" w:sz="6" w:space="0" w:color="auto"/>
              <w:bottom w:val="double" w:sz="6" w:space="0" w:color="auto"/>
              <w:right w:val="double" w:sz="6" w:space="0" w:color="auto"/>
            </w:tcBorders>
          </w:tcPr>
          <w:p w14:paraId="180A8C22" w14:textId="77777777" w:rsidR="007A7743" w:rsidRPr="00485F71" w:rsidRDefault="007A7743" w:rsidP="00EB1521">
            <w:pPr>
              <w:pStyle w:val="Header"/>
              <w:tabs>
                <w:tab w:val="clear" w:pos="4320"/>
                <w:tab w:val="clear" w:pos="8640"/>
              </w:tabs>
              <w:rPr>
                <w:rFonts w:ascii="Garamond" w:hAnsi="Garamond"/>
                <w:b/>
                <w:bCs/>
                <w:i/>
                <w:iCs/>
                <w:sz w:val="24"/>
                <w:szCs w:val="24"/>
              </w:rPr>
            </w:pPr>
          </w:p>
          <w:p w14:paraId="67AEBA42" w14:textId="043D235C" w:rsidR="007A7743" w:rsidRPr="00485F71" w:rsidRDefault="007A7743" w:rsidP="00EB1521">
            <w:pPr>
              <w:pStyle w:val="Header"/>
              <w:tabs>
                <w:tab w:val="clear" w:pos="4320"/>
                <w:tab w:val="clear" w:pos="8640"/>
              </w:tabs>
              <w:rPr>
                <w:rFonts w:ascii="Garamond" w:hAnsi="Garamond"/>
                <w:i/>
                <w:iCs/>
                <w:sz w:val="24"/>
                <w:szCs w:val="24"/>
              </w:rPr>
            </w:pPr>
            <w:r w:rsidRPr="00485F71">
              <w:rPr>
                <w:rFonts w:ascii="Garamond" w:hAnsi="Garamond"/>
                <w:b/>
                <w:bCs/>
                <w:i/>
                <w:iCs/>
                <w:sz w:val="24"/>
                <w:szCs w:val="24"/>
              </w:rPr>
              <w:t xml:space="preserve">Issued By:  </w:t>
            </w:r>
          </w:p>
        </w:tc>
      </w:tr>
      <w:tr w:rsidR="007A7743" w14:paraId="62FA3144" w14:textId="77777777" w:rsidTr="007A7743">
        <w:tc>
          <w:tcPr>
            <w:tcW w:w="4103" w:type="dxa"/>
            <w:tcBorders>
              <w:top w:val="double" w:sz="6" w:space="0" w:color="auto"/>
              <w:left w:val="double" w:sz="6" w:space="0" w:color="auto"/>
              <w:bottom w:val="double" w:sz="6" w:space="0" w:color="auto"/>
              <w:right w:val="double" w:sz="6" w:space="0" w:color="auto"/>
            </w:tcBorders>
          </w:tcPr>
          <w:p w14:paraId="02B3976F" w14:textId="77777777" w:rsidR="007A7743" w:rsidRPr="009A73C0" w:rsidRDefault="007A7743" w:rsidP="00EB1521">
            <w:pPr>
              <w:pStyle w:val="Header"/>
              <w:tabs>
                <w:tab w:val="clear" w:pos="4320"/>
                <w:tab w:val="clear" w:pos="8640"/>
              </w:tabs>
              <w:rPr>
                <w:rFonts w:ascii="Garamond" w:hAnsi="Garamond"/>
                <w:b/>
                <w:bCs/>
                <w:iCs/>
                <w:sz w:val="24"/>
                <w:szCs w:val="24"/>
              </w:rPr>
            </w:pPr>
          </w:p>
          <w:p w14:paraId="3EC5349F" w14:textId="6EEDB89B" w:rsidR="007A7743" w:rsidRPr="00485F71" w:rsidRDefault="007A7743" w:rsidP="00EB1521">
            <w:pPr>
              <w:pStyle w:val="Header"/>
              <w:tabs>
                <w:tab w:val="clear" w:pos="4320"/>
                <w:tab w:val="clear" w:pos="8640"/>
              </w:tabs>
              <w:rPr>
                <w:rFonts w:ascii="Garamond" w:hAnsi="Garamond"/>
                <w:i/>
                <w:iCs/>
                <w:sz w:val="24"/>
                <w:szCs w:val="24"/>
              </w:rPr>
            </w:pPr>
            <w:r w:rsidRPr="00485F71">
              <w:rPr>
                <w:rFonts w:ascii="Garamond" w:hAnsi="Garamond"/>
                <w:b/>
                <w:bCs/>
                <w:i/>
                <w:iCs/>
                <w:sz w:val="24"/>
                <w:szCs w:val="24"/>
              </w:rPr>
              <w:t>Effective Date:</w:t>
            </w:r>
            <w:r>
              <w:rPr>
                <w:rFonts w:ascii="Garamond" w:hAnsi="Garamond"/>
                <w:b/>
                <w:bCs/>
                <w:i/>
                <w:iCs/>
                <w:sz w:val="24"/>
                <w:szCs w:val="24"/>
              </w:rPr>
              <w:t xml:space="preserve">  10/10/2022</w:t>
            </w:r>
          </w:p>
        </w:tc>
        <w:tc>
          <w:tcPr>
            <w:tcW w:w="3612" w:type="dxa"/>
            <w:gridSpan w:val="2"/>
            <w:tcBorders>
              <w:top w:val="double" w:sz="6" w:space="0" w:color="auto"/>
              <w:left w:val="double" w:sz="6" w:space="0" w:color="auto"/>
              <w:bottom w:val="double" w:sz="6" w:space="0" w:color="auto"/>
              <w:right w:val="double" w:sz="6" w:space="0" w:color="auto"/>
            </w:tcBorders>
          </w:tcPr>
          <w:p w14:paraId="2E80938D" w14:textId="77777777" w:rsidR="007A7743" w:rsidRPr="00485F71" w:rsidRDefault="007A7743" w:rsidP="00EB1521">
            <w:pPr>
              <w:pStyle w:val="Header"/>
              <w:tabs>
                <w:tab w:val="clear" w:pos="4320"/>
                <w:tab w:val="clear" w:pos="8640"/>
              </w:tabs>
              <w:rPr>
                <w:rFonts w:ascii="Garamond" w:hAnsi="Garamond"/>
                <w:b/>
                <w:bCs/>
                <w:i/>
                <w:iCs/>
                <w:sz w:val="24"/>
                <w:szCs w:val="24"/>
              </w:rPr>
            </w:pPr>
          </w:p>
          <w:p w14:paraId="15A96643" w14:textId="5159D1F8" w:rsidR="007A7743" w:rsidRPr="00485F71" w:rsidRDefault="007A7743" w:rsidP="00EB1521">
            <w:pPr>
              <w:pStyle w:val="Header"/>
              <w:tabs>
                <w:tab w:val="clear" w:pos="4320"/>
                <w:tab w:val="clear" w:pos="8640"/>
              </w:tabs>
              <w:rPr>
                <w:rFonts w:ascii="Garamond" w:hAnsi="Garamond"/>
                <w:i/>
                <w:iCs/>
                <w:sz w:val="24"/>
                <w:szCs w:val="24"/>
              </w:rPr>
            </w:pPr>
            <w:r w:rsidRPr="00485F71">
              <w:rPr>
                <w:rFonts w:ascii="Garamond" w:hAnsi="Garamond"/>
                <w:b/>
                <w:bCs/>
                <w:i/>
                <w:iCs/>
                <w:sz w:val="24"/>
                <w:szCs w:val="24"/>
              </w:rPr>
              <w:t xml:space="preserve">Last Review Date:  </w:t>
            </w:r>
            <w:r>
              <w:rPr>
                <w:rFonts w:ascii="Garamond" w:hAnsi="Garamond"/>
                <w:b/>
                <w:bCs/>
                <w:i/>
                <w:iCs/>
                <w:sz w:val="24"/>
                <w:szCs w:val="24"/>
              </w:rPr>
              <w:t>10/10/2022</w:t>
            </w:r>
          </w:p>
        </w:tc>
        <w:tc>
          <w:tcPr>
            <w:tcW w:w="2275" w:type="dxa"/>
            <w:tcBorders>
              <w:top w:val="double" w:sz="6" w:space="0" w:color="auto"/>
              <w:left w:val="double" w:sz="6" w:space="0" w:color="auto"/>
              <w:bottom w:val="double" w:sz="6" w:space="0" w:color="auto"/>
              <w:right w:val="double" w:sz="6" w:space="0" w:color="auto"/>
            </w:tcBorders>
          </w:tcPr>
          <w:p w14:paraId="1EC4CA3F" w14:textId="77777777" w:rsidR="007A7743" w:rsidRPr="00485F71" w:rsidRDefault="007A7743" w:rsidP="00EB1521">
            <w:pPr>
              <w:pStyle w:val="Header"/>
              <w:tabs>
                <w:tab w:val="clear" w:pos="4320"/>
                <w:tab w:val="clear" w:pos="8640"/>
              </w:tabs>
              <w:rPr>
                <w:rFonts w:ascii="Garamond" w:hAnsi="Garamond"/>
                <w:b/>
                <w:bCs/>
                <w:i/>
                <w:iCs/>
                <w:sz w:val="24"/>
                <w:szCs w:val="24"/>
              </w:rPr>
            </w:pPr>
          </w:p>
          <w:p w14:paraId="7E8F854F" w14:textId="77777777" w:rsidR="007A7743" w:rsidRPr="00485F71" w:rsidRDefault="007A7743" w:rsidP="00EB1521">
            <w:pPr>
              <w:pStyle w:val="Header"/>
              <w:tabs>
                <w:tab w:val="clear" w:pos="4320"/>
                <w:tab w:val="clear" w:pos="8640"/>
              </w:tabs>
              <w:rPr>
                <w:rFonts w:ascii="Garamond" w:hAnsi="Garamond"/>
                <w:i/>
                <w:iCs/>
                <w:sz w:val="24"/>
                <w:szCs w:val="24"/>
              </w:rPr>
            </w:pPr>
            <w:r w:rsidRPr="00485F71">
              <w:rPr>
                <w:rFonts w:ascii="Garamond" w:hAnsi="Garamond"/>
                <w:b/>
                <w:bCs/>
                <w:i/>
                <w:iCs/>
                <w:sz w:val="24"/>
                <w:szCs w:val="24"/>
              </w:rPr>
              <w:t>Supersedes:   All Previous</w:t>
            </w:r>
          </w:p>
        </w:tc>
      </w:tr>
      <w:tr w:rsidR="007A7743" w14:paraId="07E4A476" w14:textId="77777777" w:rsidTr="007A7743">
        <w:tc>
          <w:tcPr>
            <w:tcW w:w="9990" w:type="dxa"/>
            <w:gridSpan w:val="4"/>
            <w:tcBorders>
              <w:top w:val="double" w:sz="6" w:space="0" w:color="auto"/>
              <w:left w:val="double" w:sz="6" w:space="0" w:color="auto"/>
              <w:bottom w:val="double" w:sz="6" w:space="0" w:color="auto"/>
              <w:right w:val="double" w:sz="6" w:space="0" w:color="auto"/>
            </w:tcBorders>
          </w:tcPr>
          <w:p w14:paraId="3340EA6D" w14:textId="77777777" w:rsidR="007A7743" w:rsidRPr="00485F71" w:rsidRDefault="007A7743" w:rsidP="00EB1521">
            <w:pPr>
              <w:pStyle w:val="Header"/>
              <w:tabs>
                <w:tab w:val="clear" w:pos="4320"/>
                <w:tab w:val="clear" w:pos="8640"/>
              </w:tabs>
              <w:rPr>
                <w:rFonts w:ascii="Garamond" w:hAnsi="Garamond"/>
                <w:i/>
                <w:iCs/>
                <w:sz w:val="24"/>
                <w:szCs w:val="24"/>
              </w:rPr>
            </w:pPr>
          </w:p>
          <w:p w14:paraId="5C6E2094" w14:textId="77777777" w:rsidR="007A7743" w:rsidRPr="00485F71" w:rsidRDefault="007A7743" w:rsidP="00EB1521">
            <w:pPr>
              <w:pStyle w:val="Header"/>
              <w:tabs>
                <w:tab w:val="clear" w:pos="4320"/>
                <w:tab w:val="clear" w:pos="8640"/>
              </w:tabs>
              <w:rPr>
                <w:rFonts w:ascii="Garamond" w:hAnsi="Garamond"/>
                <w:b/>
                <w:bCs/>
                <w:i/>
                <w:iCs/>
                <w:sz w:val="24"/>
                <w:szCs w:val="24"/>
              </w:rPr>
            </w:pPr>
            <w:r w:rsidRPr="00485F71">
              <w:rPr>
                <w:rFonts w:ascii="Garamond" w:hAnsi="Garamond"/>
                <w:b/>
                <w:bCs/>
                <w:i/>
                <w:iCs/>
                <w:sz w:val="24"/>
                <w:szCs w:val="24"/>
              </w:rPr>
              <w:t>Distribution: All Departments</w:t>
            </w:r>
          </w:p>
        </w:tc>
      </w:tr>
    </w:tbl>
    <w:p w14:paraId="1CA96F8C" w14:textId="215F1E7C" w:rsidR="00800CC3" w:rsidRDefault="002B1FF3">
      <w:r>
        <w:t>Psychosocial:  Involves both the Psychological and Social conditions experienced by residents. Psychosocial health covers a resident’s mental, emotional, social, and spiritual health.  Psychosocial Outcomes</w:t>
      </w:r>
      <w:r w:rsidR="00A5143B">
        <w:t xml:space="preserve"> related to experiences</w:t>
      </w:r>
      <w:r>
        <w:t xml:space="preserve"> include various domains such as feelings, behavior, self-esteem, body image, social interactions, sexual activities, relationships, and social cognition.  Residents that experience abuse, mistreatment or neglect are at high risk to experience negative psychosocial outcomes. </w:t>
      </w:r>
      <w:r w:rsidR="00800CC3">
        <w:t>The IDT has the responsibility to monitor residents for changes in mood state after an incident</w:t>
      </w:r>
      <w:r w:rsidR="00A5143B">
        <w:t xml:space="preserve"> and/or allegation</w:t>
      </w:r>
      <w:r w:rsidR="00800CC3">
        <w:t xml:space="preserve"> has occurred</w:t>
      </w:r>
      <w:r w:rsidR="00A5143B">
        <w:t xml:space="preserve"> that is related to abuse, mistreatment of neglect. The IDT must   </w:t>
      </w:r>
      <w:r w:rsidR="00800CC3">
        <w:t>put in place interventions that w</w:t>
      </w:r>
      <w:r w:rsidR="00E74D06">
        <w:t>ill</w:t>
      </w:r>
      <w:r w:rsidR="00800CC3">
        <w:t xml:space="preserve"> mitigate </w:t>
      </w:r>
      <w:r w:rsidR="00A5143B">
        <w:t xml:space="preserve">negative responses </w:t>
      </w:r>
      <w:r w:rsidR="00E74D06">
        <w:t xml:space="preserve">and </w:t>
      </w:r>
      <w:r w:rsidR="00800CC3">
        <w:t>provide the resident with the needed support to maintain</w:t>
      </w:r>
      <w:r w:rsidR="00E74D06">
        <w:t>/regain</w:t>
      </w:r>
      <w:r w:rsidR="00800CC3">
        <w:t xml:space="preserve"> a stable mood state.</w:t>
      </w:r>
    </w:p>
    <w:p w14:paraId="72225B6E" w14:textId="1510B2B4" w:rsidR="00313DD7" w:rsidRDefault="00313DD7">
      <w:r>
        <w:t xml:space="preserve">CMS Definitions that describe </w:t>
      </w:r>
      <w:r w:rsidR="002B1FF3">
        <w:t>the Negative</w:t>
      </w:r>
      <w:r>
        <w:t xml:space="preserve"> Psychosocial Outcomes that a resident may experience related to facility non- compliance</w:t>
      </w:r>
      <w:r w:rsidR="002B1FF3">
        <w:t>.</w:t>
      </w:r>
    </w:p>
    <w:p w14:paraId="70F01248" w14:textId="77777777" w:rsidR="00313DD7" w:rsidRPr="00313DD7" w:rsidRDefault="00313DD7" w:rsidP="00313DD7">
      <w:r w:rsidRPr="00313DD7">
        <w:rPr>
          <w:b/>
          <w:bCs/>
          <w:i/>
          <w:iCs/>
        </w:rPr>
        <w:t>“Anger”</w:t>
      </w:r>
      <w:r w:rsidRPr="00313DD7">
        <w:rPr>
          <w:i/>
          <w:iCs/>
        </w:rPr>
        <w:t xml:space="preserve"> refers to an emotion caused by the frustrated attempts to attain a goal, or in response to hostile or disturbing actions such as insults, injuries, or threats. </w:t>
      </w:r>
    </w:p>
    <w:p w14:paraId="44FA57BB" w14:textId="77777777" w:rsidR="00313DD7" w:rsidRPr="00313DD7" w:rsidRDefault="00313DD7" w:rsidP="00313DD7">
      <w:r w:rsidRPr="00313DD7">
        <w:rPr>
          <w:b/>
          <w:bCs/>
          <w:i/>
          <w:iCs/>
        </w:rPr>
        <w:t>“Apathy</w:t>
      </w:r>
      <w:r w:rsidRPr="00313DD7">
        <w:rPr>
          <w:i/>
          <w:iCs/>
        </w:rPr>
        <w:t xml:space="preserve">” refers to a marked indifference to the environment; lack of a response to a situation; lack of interest in or concern for things that others find moving or exciting; absence or suppression of passion, emotion, or excitement. </w:t>
      </w:r>
    </w:p>
    <w:p w14:paraId="53047946" w14:textId="77777777" w:rsidR="00313DD7" w:rsidRPr="00313DD7" w:rsidRDefault="00313DD7" w:rsidP="00313DD7">
      <w:r w:rsidRPr="00313DD7">
        <w:rPr>
          <w:b/>
          <w:bCs/>
          <w:i/>
          <w:iCs/>
        </w:rPr>
        <w:t>“Anxiety</w:t>
      </w:r>
      <w:r w:rsidRPr="00313DD7">
        <w:rPr>
          <w:i/>
          <w:iCs/>
        </w:rPr>
        <w:t xml:space="preserve">” refers to the apprehensive anticipation of future danger or misfortune accompanied by a feeling of distress, sadness, or somatic symptoms of tension. Somatic symptoms of tension may include, but are not limited to, restlessness, irritability, hyper- vigilance, an exaggerated startle response, increased muscle tone, and teeth grinding. The focus of anticipated danger may be internal or external. </w:t>
      </w:r>
    </w:p>
    <w:p w14:paraId="6DAD5230" w14:textId="77777777" w:rsidR="00313DD7" w:rsidRPr="00313DD7" w:rsidRDefault="00313DD7" w:rsidP="00313DD7">
      <w:r w:rsidRPr="00313DD7">
        <w:rPr>
          <w:b/>
          <w:bCs/>
          <w:i/>
          <w:iCs/>
        </w:rPr>
        <w:t>“Dehumanization”</w:t>
      </w:r>
      <w:r w:rsidRPr="00313DD7">
        <w:rPr>
          <w:i/>
          <w:iCs/>
        </w:rPr>
        <w:t xml:space="preserve"> refers to the deprivation of human qualities or attributes such as individuality, compassion, or civility. Dehumanization is the outcome resulting from having been treated as an inanimate object or as having no emotions, feelings, or sensations. </w:t>
      </w:r>
    </w:p>
    <w:p w14:paraId="284B97F4" w14:textId="458805A4" w:rsidR="002B1FF3" w:rsidRDefault="00313DD7" w:rsidP="002B1FF3">
      <w:r w:rsidRPr="00313DD7">
        <w:rPr>
          <w:b/>
          <w:bCs/>
          <w:i/>
          <w:iCs/>
        </w:rPr>
        <w:t>“Depressed mood”</w:t>
      </w:r>
      <w:r w:rsidRPr="00313DD7">
        <w:rPr>
          <w:i/>
          <w:iCs/>
        </w:rPr>
        <w:t xml:space="preserve"> (which does not necessarily constitute clinical depression) is indicated by negative statements; self-deprecation; sad facial expressions; crying and tearfulness; withdrawal from activities of </w:t>
      </w:r>
      <w:r w:rsidRPr="00313DD7">
        <w:rPr>
          <w:i/>
          <w:iCs/>
        </w:rPr>
        <w:lastRenderedPageBreak/>
        <w:t>interest; and/or reduced social interactions. Some residents such as those with moderate or severe cognitive impairment may be more likely to demonstrate nonverbal symptoms of depression.</w:t>
      </w:r>
    </w:p>
    <w:p w14:paraId="6C879427" w14:textId="771121D0" w:rsidR="002B1FF3" w:rsidRDefault="002B1FF3" w:rsidP="002B1FF3">
      <w:r w:rsidRPr="00313DD7">
        <w:rPr>
          <w:b/>
          <w:bCs/>
          <w:i/>
          <w:iCs/>
        </w:rPr>
        <w:t xml:space="preserve">“Fear” </w:t>
      </w:r>
      <w:r w:rsidRPr="00313DD7">
        <w:rPr>
          <w:i/>
          <w:iCs/>
        </w:rPr>
        <w:t>is defined as an unpleasant often strong emotion caused by anticipation or awareness of danger</w:t>
      </w:r>
    </w:p>
    <w:p w14:paraId="508667B1" w14:textId="4FAE4B32" w:rsidR="00800CC3" w:rsidRDefault="00800CC3">
      <w:r>
        <w:t>Procedure:</w:t>
      </w:r>
    </w:p>
    <w:p w14:paraId="37888DF8" w14:textId="043D1432" w:rsidR="00313DD7" w:rsidRDefault="00A5143B" w:rsidP="00800CC3">
      <w:pPr>
        <w:pStyle w:val="ListParagraph"/>
        <w:numPr>
          <w:ilvl w:val="0"/>
          <w:numId w:val="1"/>
        </w:numPr>
      </w:pPr>
      <w:r>
        <w:t xml:space="preserve">Al residents that experienced an untoward event should be reviewed at the morning QA Meeting.  </w:t>
      </w:r>
    </w:p>
    <w:p w14:paraId="19E3E4D8" w14:textId="5417382F" w:rsidR="00B660DE" w:rsidRDefault="00A5143B" w:rsidP="00800CC3">
      <w:pPr>
        <w:pStyle w:val="ListParagraph"/>
        <w:numPr>
          <w:ilvl w:val="0"/>
          <w:numId w:val="1"/>
        </w:numPr>
      </w:pPr>
      <w:r>
        <w:t xml:space="preserve">This includes but is not limited to: </w:t>
      </w:r>
    </w:p>
    <w:p w14:paraId="686A84B5" w14:textId="5501C04A" w:rsidR="00B660DE" w:rsidRDefault="00D672C0" w:rsidP="00B660DE">
      <w:pPr>
        <w:pStyle w:val="ListParagraph"/>
        <w:numPr>
          <w:ilvl w:val="0"/>
          <w:numId w:val="2"/>
        </w:numPr>
      </w:pPr>
      <w:r>
        <w:t xml:space="preserve">Residents involved in </w:t>
      </w:r>
      <w:r w:rsidR="00800CC3">
        <w:t>Accidents and Incidents</w:t>
      </w:r>
      <w:r w:rsidR="00B660DE">
        <w:t xml:space="preserve"> </w:t>
      </w:r>
    </w:p>
    <w:p w14:paraId="05863CE6" w14:textId="338FBA27" w:rsidR="00B660DE" w:rsidRDefault="00D672C0" w:rsidP="00B660DE">
      <w:pPr>
        <w:pStyle w:val="ListParagraph"/>
        <w:numPr>
          <w:ilvl w:val="0"/>
          <w:numId w:val="2"/>
        </w:numPr>
      </w:pPr>
      <w:r>
        <w:t xml:space="preserve">Residents that make a </w:t>
      </w:r>
      <w:r w:rsidR="00800CC3">
        <w:t>Grievances</w:t>
      </w:r>
    </w:p>
    <w:p w14:paraId="06E1F16F" w14:textId="716695AB" w:rsidR="00B660DE" w:rsidRDefault="00D672C0" w:rsidP="00B660DE">
      <w:pPr>
        <w:pStyle w:val="ListParagraph"/>
        <w:numPr>
          <w:ilvl w:val="0"/>
          <w:numId w:val="2"/>
        </w:numPr>
      </w:pPr>
      <w:r>
        <w:t xml:space="preserve">Residents that have </w:t>
      </w:r>
      <w:r w:rsidR="00800CC3">
        <w:t>Complaints</w:t>
      </w:r>
    </w:p>
    <w:p w14:paraId="6E1A611F" w14:textId="59E2EE6B" w:rsidR="00800CC3" w:rsidRDefault="00D672C0" w:rsidP="00B660DE">
      <w:pPr>
        <w:pStyle w:val="ListParagraph"/>
        <w:numPr>
          <w:ilvl w:val="0"/>
          <w:numId w:val="2"/>
        </w:numPr>
      </w:pPr>
      <w:r>
        <w:t xml:space="preserve">Residents that may have been victims of a crime </w:t>
      </w:r>
    </w:p>
    <w:p w14:paraId="593A20E0" w14:textId="3B3B3E63" w:rsidR="00F65154" w:rsidRDefault="00D672C0" w:rsidP="00B660DE">
      <w:pPr>
        <w:pStyle w:val="ListParagraph"/>
        <w:numPr>
          <w:ilvl w:val="0"/>
          <w:numId w:val="2"/>
        </w:numPr>
      </w:pPr>
      <w:r>
        <w:t>Residents that have been abused or have made an allegation of abuse, mistreatment, or neglect</w:t>
      </w:r>
    </w:p>
    <w:p w14:paraId="5096016F" w14:textId="125ADC94" w:rsidR="00F65154" w:rsidRDefault="00D672C0" w:rsidP="00B660DE">
      <w:pPr>
        <w:pStyle w:val="ListParagraph"/>
        <w:numPr>
          <w:ilvl w:val="0"/>
          <w:numId w:val="2"/>
        </w:numPr>
      </w:pPr>
      <w:r>
        <w:t>Residents that have experienced a delay in</w:t>
      </w:r>
      <w:r w:rsidR="00F65154">
        <w:t xml:space="preserve"> the delivery of services</w:t>
      </w:r>
    </w:p>
    <w:p w14:paraId="42CCDEA0" w14:textId="6DB141D6" w:rsidR="00D672C0" w:rsidRDefault="00D672C0" w:rsidP="00D672C0">
      <w:pPr>
        <w:pStyle w:val="ListParagraph"/>
        <w:numPr>
          <w:ilvl w:val="0"/>
          <w:numId w:val="1"/>
        </w:numPr>
      </w:pPr>
      <w:r>
        <w:t xml:space="preserve">The IDT members are responsible to monitor these residents for any signs of negative psychosocial outcomes and report back to the Social Worker and DNS. </w:t>
      </w:r>
    </w:p>
    <w:p w14:paraId="4A84D296" w14:textId="049E5A92" w:rsidR="00F06814" w:rsidRDefault="00F06814" w:rsidP="00D672C0">
      <w:pPr>
        <w:pStyle w:val="ListParagraph"/>
        <w:numPr>
          <w:ilvl w:val="0"/>
          <w:numId w:val="1"/>
        </w:numPr>
      </w:pPr>
      <w:r>
        <w:t>The Social Worker is responsible to meet with the resident</w:t>
      </w:r>
      <w:r w:rsidR="00F65154">
        <w:t xml:space="preserve"> </w:t>
      </w:r>
      <w:r w:rsidR="00E74D06">
        <w:t xml:space="preserve">after </w:t>
      </w:r>
      <w:r w:rsidR="00D672C0">
        <w:t xml:space="preserve">untoward </w:t>
      </w:r>
      <w:r w:rsidR="00A5143B">
        <w:t>event</w:t>
      </w:r>
      <w:r w:rsidR="00B752C1">
        <w:t xml:space="preserve"> </w:t>
      </w:r>
      <w:r w:rsidR="002116A3">
        <w:t>occurs and</w:t>
      </w:r>
      <w:r w:rsidR="00D672C0">
        <w:t xml:space="preserve"> identify the presence</w:t>
      </w:r>
      <w:r w:rsidR="00A5143B">
        <w:t xml:space="preserve"> of </w:t>
      </w:r>
      <w:r w:rsidR="00F65154">
        <w:t xml:space="preserve">anger, depression, fear, anxiety, dehumanization, and/or apathy </w:t>
      </w:r>
      <w:r w:rsidR="00D672C0">
        <w:t>as a result of the experience.</w:t>
      </w:r>
    </w:p>
    <w:p w14:paraId="5D0E610F" w14:textId="18896071" w:rsidR="00856779" w:rsidRDefault="00856779" w:rsidP="00856779">
      <w:pPr>
        <w:pStyle w:val="ListParagraph"/>
        <w:numPr>
          <w:ilvl w:val="0"/>
          <w:numId w:val="1"/>
        </w:numPr>
      </w:pPr>
      <w:r>
        <w:t xml:space="preserve">The resident’s </w:t>
      </w:r>
      <w:r w:rsidR="00B752C1">
        <w:t>M</w:t>
      </w:r>
      <w:r>
        <w:t xml:space="preserve">ood </w:t>
      </w:r>
      <w:r w:rsidR="00B752C1">
        <w:t>S</w:t>
      </w:r>
      <w:r>
        <w:t>tate CCP will be updated accordingly by Social Service.</w:t>
      </w:r>
    </w:p>
    <w:p w14:paraId="2A4DAB11" w14:textId="69458153" w:rsidR="00D672C0" w:rsidRDefault="00D672C0" w:rsidP="00D672C0">
      <w:pPr>
        <w:pStyle w:val="ListParagraph"/>
        <w:numPr>
          <w:ilvl w:val="0"/>
          <w:numId w:val="1"/>
        </w:numPr>
      </w:pPr>
      <w:r>
        <w:t>Residents that experience negative psychosocial outcomes will be reviewed b</w:t>
      </w:r>
      <w:r w:rsidR="00856779">
        <w:t>y</w:t>
      </w:r>
      <w:r>
        <w:t xml:space="preserve"> the IDT and </w:t>
      </w:r>
      <w:r w:rsidR="00856779">
        <w:t>interventions</w:t>
      </w:r>
      <w:r>
        <w:t xml:space="preserve"> </w:t>
      </w:r>
      <w:r w:rsidR="00856779">
        <w:t>will be</w:t>
      </w:r>
      <w:r>
        <w:t xml:space="preserve"> put into place as indicated.</w:t>
      </w:r>
      <w:r w:rsidR="00856779">
        <w:t xml:space="preserve"> </w:t>
      </w:r>
      <w:r>
        <w:t>These include but are not limited to:</w:t>
      </w:r>
    </w:p>
    <w:p w14:paraId="00A86207" w14:textId="77777777" w:rsidR="00D672C0" w:rsidRDefault="00D672C0" w:rsidP="00D672C0">
      <w:pPr>
        <w:pStyle w:val="ListParagraph"/>
        <w:numPr>
          <w:ilvl w:val="0"/>
          <w:numId w:val="4"/>
        </w:numPr>
      </w:pPr>
      <w:r>
        <w:t>Social Work Visitation on a regular basis</w:t>
      </w:r>
    </w:p>
    <w:p w14:paraId="56C55885" w14:textId="77777777" w:rsidR="00D672C0" w:rsidRDefault="00D672C0" w:rsidP="00D672C0">
      <w:pPr>
        <w:pStyle w:val="ListParagraph"/>
        <w:numPr>
          <w:ilvl w:val="0"/>
          <w:numId w:val="4"/>
        </w:numPr>
      </w:pPr>
      <w:r>
        <w:t>Therapeutic Recreational activities to promote calmness</w:t>
      </w:r>
    </w:p>
    <w:p w14:paraId="6BE1C613" w14:textId="77777777" w:rsidR="00D672C0" w:rsidRDefault="00D672C0" w:rsidP="00D672C0">
      <w:pPr>
        <w:pStyle w:val="ListParagraph"/>
        <w:numPr>
          <w:ilvl w:val="0"/>
          <w:numId w:val="4"/>
        </w:numPr>
      </w:pPr>
      <w:r>
        <w:t xml:space="preserve">Psychological services </w:t>
      </w:r>
    </w:p>
    <w:p w14:paraId="4F78B173" w14:textId="77777777" w:rsidR="00D672C0" w:rsidRDefault="00D672C0" w:rsidP="00D672C0">
      <w:pPr>
        <w:pStyle w:val="ListParagraph"/>
        <w:numPr>
          <w:ilvl w:val="0"/>
          <w:numId w:val="4"/>
        </w:numPr>
      </w:pPr>
      <w:r>
        <w:t>Psychiatry Consult</w:t>
      </w:r>
    </w:p>
    <w:p w14:paraId="643C6E01" w14:textId="77777777" w:rsidR="00D672C0" w:rsidRDefault="00D672C0" w:rsidP="00D672C0">
      <w:pPr>
        <w:pStyle w:val="ListParagraph"/>
        <w:numPr>
          <w:ilvl w:val="0"/>
          <w:numId w:val="4"/>
        </w:numPr>
      </w:pPr>
      <w:r>
        <w:t>Representative involvement</w:t>
      </w:r>
    </w:p>
    <w:p w14:paraId="7D550569" w14:textId="77777777" w:rsidR="00D672C0" w:rsidRDefault="00D672C0" w:rsidP="00D672C0">
      <w:pPr>
        <w:pStyle w:val="ListParagraph"/>
        <w:numPr>
          <w:ilvl w:val="0"/>
          <w:numId w:val="4"/>
        </w:numPr>
      </w:pPr>
      <w:r>
        <w:t>Enhanced Monitoring by staff</w:t>
      </w:r>
    </w:p>
    <w:p w14:paraId="41BD804F" w14:textId="0D60C108" w:rsidR="00D672C0" w:rsidRDefault="00856779" w:rsidP="00D672C0">
      <w:pPr>
        <w:pStyle w:val="ListParagraph"/>
        <w:numPr>
          <w:ilvl w:val="0"/>
          <w:numId w:val="1"/>
        </w:numPr>
      </w:pPr>
      <w:r>
        <w:t>T</w:t>
      </w:r>
      <w:r w:rsidR="00D672C0">
        <w:t>he facility will train all staff members to recognize and report changes</w:t>
      </w:r>
      <w:r>
        <w:t xml:space="preserve"> in resident mood state</w:t>
      </w:r>
      <w:r w:rsidR="00D672C0">
        <w:t xml:space="preserve"> after an </w:t>
      </w:r>
      <w:r>
        <w:t>untoward event has occurred.  These changes and symptoms include but are not limited to:</w:t>
      </w:r>
    </w:p>
    <w:p w14:paraId="5FC68851" w14:textId="39365DC8" w:rsidR="00856779" w:rsidRDefault="00856779" w:rsidP="00856779">
      <w:pPr>
        <w:pStyle w:val="ListParagraph"/>
        <w:numPr>
          <w:ilvl w:val="0"/>
          <w:numId w:val="6"/>
        </w:numPr>
      </w:pPr>
      <w:r>
        <w:t xml:space="preserve">Expressions of feelings of hopelessness, worthlessness or guilt  </w:t>
      </w:r>
    </w:p>
    <w:p w14:paraId="68F8913B" w14:textId="77777777" w:rsidR="00856779" w:rsidRDefault="00856779" w:rsidP="00856779">
      <w:pPr>
        <w:pStyle w:val="ListParagraph"/>
        <w:numPr>
          <w:ilvl w:val="0"/>
          <w:numId w:val="6"/>
        </w:numPr>
      </w:pPr>
      <w:r>
        <w:t>Withdrawal from former social patterns, such as isolation from staff, friends and family.</w:t>
      </w:r>
    </w:p>
    <w:p w14:paraId="22E87667" w14:textId="77777777" w:rsidR="00856779" w:rsidRDefault="00856779" w:rsidP="00856779">
      <w:pPr>
        <w:pStyle w:val="ListParagraph"/>
        <w:numPr>
          <w:ilvl w:val="0"/>
          <w:numId w:val="6"/>
        </w:numPr>
      </w:pPr>
      <w:r>
        <w:t xml:space="preserve">Depressed mood that may be manifested by verbal and nonverbal symptoms </w:t>
      </w:r>
    </w:p>
    <w:p w14:paraId="4B130B75" w14:textId="77777777" w:rsidR="00856779" w:rsidRDefault="00856779" w:rsidP="00856779">
      <w:pPr>
        <w:pStyle w:val="ListParagraph"/>
        <w:numPr>
          <w:ilvl w:val="0"/>
          <w:numId w:val="6"/>
        </w:numPr>
      </w:pPr>
      <w:r>
        <w:t>Decreased engagement in social activities; apathy; tearfulness; crying; moaning</w:t>
      </w:r>
    </w:p>
    <w:p w14:paraId="34AB70A1" w14:textId="53DA0B2C" w:rsidR="00856779" w:rsidRDefault="00856779" w:rsidP="00856779">
      <w:pPr>
        <w:pStyle w:val="ListParagraph"/>
        <w:numPr>
          <w:ilvl w:val="0"/>
          <w:numId w:val="6"/>
        </w:numPr>
      </w:pPr>
      <w:r>
        <w:t>Psychomotor movements (e.g., inability to sit still, pacing, hand-wringing, or pulling or rubbing of the skin, clothing, or other objects)</w:t>
      </w:r>
    </w:p>
    <w:p w14:paraId="300CA442" w14:textId="1F1AA6E5" w:rsidR="00856779" w:rsidRDefault="00856779" w:rsidP="00856779">
      <w:pPr>
        <w:pStyle w:val="ListParagraph"/>
        <w:numPr>
          <w:ilvl w:val="0"/>
          <w:numId w:val="6"/>
        </w:numPr>
      </w:pPr>
      <w:r>
        <w:t xml:space="preserve">Psychomotor retardation (e.g., slowed speech, thinking, and body movements; increased pauses before answering) </w:t>
      </w:r>
    </w:p>
    <w:p w14:paraId="3DEACBAF" w14:textId="77777777" w:rsidR="00856779" w:rsidRDefault="00856779" w:rsidP="00856779">
      <w:pPr>
        <w:pStyle w:val="ListParagraph"/>
        <w:numPr>
          <w:ilvl w:val="0"/>
          <w:numId w:val="6"/>
        </w:numPr>
      </w:pPr>
      <w:r>
        <w:lastRenderedPageBreak/>
        <w:t>Distress (e.g., under stimulation as manifested by fidgeting; restlessness; repetitive verbalization of not knowing what to do, needing to go to work, and/or needing to find something), unrelated to medical diagnosis.</w:t>
      </w:r>
    </w:p>
    <w:p w14:paraId="7394CED0" w14:textId="77777777" w:rsidR="00856779" w:rsidRDefault="00856779" w:rsidP="00856779">
      <w:pPr>
        <w:pStyle w:val="ListParagraph"/>
        <w:numPr>
          <w:ilvl w:val="0"/>
          <w:numId w:val="6"/>
        </w:numPr>
      </w:pPr>
      <w:r>
        <w:t xml:space="preserve">Sadness, as reflected in facial expression and/or demeanor, or verbal/vocal disappointment. </w:t>
      </w:r>
    </w:p>
    <w:p w14:paraId="2ECF0464" w14:textId="0B2F80BA" w:rsidR="00856779" w:rsidRDefault="00856779" w:rsidP="00856779">
      <w:pPr>
        <w:pStyle w:val="ListParagraph"/>
        <w:numPr>
          <w:ilvl w:val="0"/>
          <w:numId w:val="6"/>
        </w:numPr>
      </w:pPr>
      <w:r>
        <w:t>Feelings and/or complaints of discomfort or irritability</w:t>
      </w:r>
    </w:p>
    <w:p w14:paraId="34A958F5" w14:textId="178E1A06" w:rsidR="00856779" w:rsidRDefault="00856779" w:rsidP="00856779">
      <w:pPr>
        <w:pStyle w:val="ListParagraph"/>
        <w:numPr>
          <w:ilvl w:val="0"/>
          <w:numId w:val="6"/>
        </w:numPr>
      </w:pPr>
      <w:r>
        <w:t xml:space="preserve">Complaints of boredom and/or reports that there is nothing to do. </w:t>
      </w:r>
    </w:p>
    <w:p w14:paraId="239123A6" w14:textId="453560FC" w:rsidR="00D672C0" w:rsidRDefault="00D672C0" w:rsidP="00D672C0">
      <w:pPr>
        <w:pStyle w:val="ListParagraph"/>
        <w:numPr>
          <w:ilvl w:val="0"/>
          <w:numId w:val="1"/>
        </w:numPr>
      </w:pPr>
      <w:r>
        <w:t xml:space="preserve">The facility will review all </w:t>
      </w:r>
      <w:r w:rsidR="00E74D06">
        <w:t xml:space="preserve">Residents that display </w:t>
      </w:r>
      <w:r w:rsidR="00856779">
        <w:t xml:space="preserve">newly manifested </w:t>
      </w:r>
      <w:r>
        <w:t xml:space="preserve">behaviors to identify if they </w:t>
      </w:r>
      <w:r w:rsidR="00E74D06">
        <w:t xml:space="preserve">are </w:t>
      </w:r>
      <w:r w:rsidR="00856779">
        <w:t xml:space="preserve">the result of an untoward </w:t>
      </w:r>
      <w:r w:rsidR="00E74D06">
        <w:t>incident, or</w:t>
      </w:r>
      <w:r>
        <w:t xml:space="preserve"> </w:t>
      </w:r>
      <w:r w:rsidR="00E74D06">
        <w:t xml:space="preserve">related to the resident’s medical conditions/diagnosis. </w:t>
      </w:r>
    </w:p>
    <w:p w14:paraId="25679A48" w14:textId="77777777" w:rsidR="00856779" w:rsidRDefault="00856779" w:rsidP="00856779">
      <w:pPr>
        <w:pStyle w:val="ListParagraph"/>
      </w:pPr>
    </w:p>
    <w:p w14:paraId="3683B5A5" w14:textId="77777777" w:rsidR="00313DD7" w:rsidRDefault="00313DD7" w:rsidP="00A5143B"/>
    <w:p w14:paraId="066B1C9C" w14:textId="77777777" w:rsidR="00F06814" w:rsidRDefault="00F06814" w:rsidP="00F06814"/>
    <w:sectPr w:rsidR="00F0681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B472" w14:textId="77777777" w:rsidR="007312C4" w:rsidRDefault="007312C4" w:rsidP="00F06814">
      <w:pPr>
        <w:spacing w:after="0" w:line="240" w:lineRule="auto"/>
      </w:pPr>
      <w:r>
        <w:separator/>
      </w:r>
    </w:p>
  </w:endnote>
  <w:endnote w:type="continuationSeparator" w:id="0">
    <w:p w14:paraId="714CE5EE" w14:textId="77777777" w:rsidR="007312C4" w:rsidRDefault="007312C4" w:rsidP="00F0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291519"/>
      <w:docPartObj>
        <w:docPartGallery w:val="Page Numbers (Bottom of Page)"/>
        <w:docPartUnique/>
      </w:docPartObj>
    </w:sdtPr>
    <w:sdtEndPr>
      <w:rPr>
        <w:color w:val="7F7F7F" w:themeColor="background1" w:themeShade="7F"/>
        <w:spacing w:val="60"/>
      </w:rPr>
    </w:sdtEndPr>
    <w:sdtContent>
      <w:p w14:paraId="370D6108" w14:textId="202C801B" w:rsidR="00F06814" w:rsidRDefault="00F068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2B325BA" w14:textId="77777777" w:rsidR="00F06814" w:rsidRDefault="00F06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31D3" w14:textId="77777777" w:rsidR="007312C4" w:rsidRDefault="007312C4" w:rsidP="00F06814">
      <w:pPr>
        <w:spacing w:after="0" w:line="240" w:lineRule="auto"/>
      </w:pPr>
      <w:r>
        <w:separator/>
      </w:r>
    </w:p>
  </w:footnote>
  <w:footnote w:type="continuationSeparator" w:id="0">
    <w:p w14:paraId="775324C6" w14:textId="77777777" w:rsidR="007312C4" w:rsidRDefault="007312C4" w:rsidP="00F06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EB51" w14:textId="27EEF757" w:rsidR="00CB7ECF" w:rsidRDefault="00CB7ECF">
    <w:pPr>
      <w:pStyle w:val="Header"/>
    </w:pPr>
    <w:r>
      <w:rPr>
        <w:noProof/>
      </w:rPr>
      <w:drawing>
        <wp:inline distT="0" distB="0" distL="0" distR="0" wp14:anchorId="15937A68" wp14:editId="78D2F598">
          <wp:extent cx="5943600" cy="723900"/>
          <wp:effectExtent l="0" t="0" r="0" b="0"/>
          <wp:docPr id="1" name="Picture 1"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gnyhcfa.org/wp-content/uploads/2016/08/gnyhcfa-logo-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17DCC"/>
    <w:multiLevelType w:val="hybridMultilevel"/>
    <w:tmpl w:val="82683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935507"/>
    <w:multiLevelType w:val="hybridMultilevel"/>
    <w:tmpl w:val="87345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9D5BE4"/>
    <w:multiLevelType w:val="hybridMultilevel"/>
    <w:tmpl w:val="A68CF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948E3"/>
    <w:multiLevelType w:val="hybridMultilevel"/>
    <w:tmpl w:val="BD505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501CF"/>
    <w:multiLevelType w:val="hybridMultilevel"/>
    <w:tmpl w:val="B1083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2D70241"/>
    <w:multiLevelType w:val="hybridMultilevel"/>
    <w:tmpl w:val="2DBA8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694455">
    <w:abstractNumId w:val="2"/>
  </w:num>
  <w:num w:numId="2" w16cid:durableId="91439191">
    <w:abstractNumId w:val="0"/>
  </w:num>
  <w:num w:numId="3" w16cid:durableId="1956400682">
    <w:abstractNumId w:val="5"/>
  </w:num>
  <w:num w:numId="4" w16cid:durableId="2136559590">
    <w:abstractNumId w:val="4"/>
  </w:num>
  <w:num w:numId="5" w16cid:durableId="933631312">
    <w:abstractNumId w:val="3"/>
  </w:num>
  <w:num w:numId="6" w16cid:durableId="100035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C3"/>
    <w:rsid w:val="00057585"/>
    <w:rsid w:val="002116A3"/>
    <w:rsid w:val="002B1FF3"/>
    <w:rsid w:val="00313DD7"/>
    <w:rsid w:val="0064011F"/>
    <w:rsid w:val="007312C4"/>
    <w:rsid w:val="007A7743"/>
    <w:rsid w:val="00800CC3"/>
    <w:rsid w:val="00856779"/>
    <w:rsid w:val="009B398B"/>
    <w:rsid w:val="00A5143B"/>
    <w:rsid w:val="00A831EF"/>
    <w:rsid w:val="00B31110"/>
    <w:rsid w:val="00B660DE"/>
    <w:rsid w:val="00B752C1"/>
    <w:rsid w:val="00BB4E19"/>
    <w:rsid w:val="00C1043C"/>
    <w:rsid w:val="00CB7ECF"/>
    <w:rsid w:val="00D672C0"/>
    <w:rsid w:val="00E74D06"/>
    <w:rsid w:val="00E806A7"/>
    <w:rsid w:val="00F06814"/>
    <w:rsid w:val="00F6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01EC"/>
  <w15:chartTrackingRefBased/>
  <w15:docId w15:val="{A6902438-4136-4627-822D-61C8842B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CC3"/>
    <w:pPr>
      <w:ind w:left="720"/>
      <w:contextualSpacing/>
    </w:pPr>
  </w:style>
  <w:style w:type="paragraph" w:styleId="Header">
    <w:name w:val="header"/>
    <w:basedOn w:val="Normal"/>
    <w:link w:val="HeaderChar"/>
    <w:rsid w:val="007A774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A7743"/>
    <w:rPr>
      <w:rFonts w:ascii="Times New Roman" w:eastAsia="Times New Roman" w:hAnsi="Times New Roman" w:cs="Times New Roman"/>
      <w:sz w:val="20"/>
      <w:szCs w:val="20"/>
    </w:rPr>
  </w:style>
  <w:style w:type="paragraph" w:styleId="Subtitle">
    <w:name w:val="Subtitle"/>
    <w:basedOn w:val="Normal"/>
    <w:link w:val="SubtitleChar"/>
    <w:qFormat/>
    <w:rsid w:val="007A7743"/>
    <w:pPr>
      <w:spacing w:after="0" w:line="240" w:lineRule="auto"/>
      <w:jc w:val="center"/>
    </w:pPr>
    <w:rPr>
      <w:rFonts w:ascii="Garamond" w:eastAsia="Times New Roman" w:hAnsi="Garamond" w:cs="Times New Roman"/>
      <w:b/>
      <w:bCs/>
      <w:sz w:val="24"/>
      <w:szCs w:val="20"/>
      <w:u w:val="single"/>
    </w:rPr>
  </w:style>
  <w:style w:type="character" w:customStyle="1" w:styleId="SubtitleChar">
    <w:name w:val="Subtitle Char"/>
    <w:basedOn w:val="DefaultParagraphFont"/>
    <w:link w:val="Subtitle"/>
    <w:rsid w:val="007A7743"/>
    <w:rPr>
      <w:rFonts w:ascii="Garamond" w:eastAsia="Times New Roman" w:hAnsi="Garamond" w:cs="Times New Roman"/>
      <w:b/>
      <w:bCs/>
      <w:sz w:val="24"/>
      <w:szCs w:val="20"/>
      <w:u w:val="single"/>
    </w:rPr>
  </w:style>
  <w:style w:type="paragraph" w:styleId="Footer">
    <w:name w:val="footer"/>
    <w:basedOn w:val="Normal"/>
    <w:link w:val="FooterChar"/>
    <w:uiPriority w:val="99"/>
    <w:unhideWhenUsed/>
    <w:rsid w:val="00F06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0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McGill</dc:creator>
  <cp:keywords/>
  <dc:description/>
  <cp:lastModifiedBy>Laura Brick</cp:lastModifiedBy>
  <cp:revision>2</cp:revision>
  <cp:lastPrinted>2022-10-12T14:32:00Z</cp:lastPrinted>
  <dcterms:created xsi:type="dcterms:W3CDTF">2022-11-08T17:04:00Z</dcterms:created>
  <dcterms:modified xsi:type="dcterms:W3CDTF">2022-11-08T17:04:00Z</dcterms:modified>
</cp:coreProperties>
</file>