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35F9" w14:textId="121655B6" w:rsidR="003D001A" w:rsidRPr="003D001A" w:rsidRDefault="003D001A" w:rsidP="003D001A">
      <w:pPr>
        <w:pStyle w:val="Subtitle"/>
        <w:rPr>
          <w:i/>
          <w:szCs w:val="24"/>
          <w:u w:val="none"/>
        </w:rPr>
      </w:pPr>
      <w:r w:rsidRPr="003D001A">
        <w:rPr>
          <w:i/>
          <w:szCs w:val="24"/>
          <w:u w:val="none"/>
        </w:rPr>
        <w:t>FACILITY</w:t>
      </w:r>
    </w:p>
    <w:p w14:paraId="0E1B0CF8" w14:textId="622E58B0" w:rsidR="003D001A" w:rsidRPr="00DF1893" w:rsidRDefault="003D001A" w:rsidP="003D001A">
      <w:pPr>
        <w:pStyle w:val="Subtitle"/>
        <w:rPr>
          <w:iCs/>
          <w:szCs w:val="24"/>
          <w:u w:val="none"/>
        </w:rPr>
      </w:pPr>
      <w:r>
        <w:rPr>
          <w:iCs/>
          <w:szCs w:val="24"/>
          <w:u w:val="none"/>
        </w:rPr>
        <w:t>POLICY and PROCEDURE</w:t>
      </w:r>
    </w:p>
    <w:p w14:paraId="3ECD4AE1" w14:textId="77777777" w:rsidR="003D001A" w:rsidRDefault="003D001A" w:rsidP="003D001A">
      <w:pPr>
        <w:pStyle w:val="Header"/>
      </w:pPr>
    </w:p>
    <w:p w14:paraId="64BE69D6" w14:textId="77777777" w:rsidR="003D001A" w:rsidRDefault="003D001A" w:rsidP="003D001A">
      <w:pPr>
        <w:pStyle w:val="Header"/>
      </w:pPr>
    </w:p>
    <w:tbl>
      <w:tblPr>
        <w:tblW w:w="990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3"/>
        <w:gridCol w:w="3408"/>
        <w:gridCol w:w="204"/>
        <w:gridCol w:w="2005"/>
      </w:tblGrid>
      <w:tr w:rsidR="003D001A" w14:paraId="1E6C6335" w14:textId="77777777" w:rsidTr="003D001A">
        <w:trPr>
          <w:gridBefore w:val="2"/>
          <w:wBefore w:w="7691" w:type="dxa"/>
        </w:trPr>
        <w:tc>
          <w:tcPr>
            <w:tcW w:w="2209" w:type="dxa"/>
            <w:gridSpan w:val="2"/>
            <w:tcBorders>
              <w:top w:val="double" w:sz="6" w:space="0" w:color="auto"/>
              <w:left w:val="double" w:sz="6" w:space="0" w:color="auto"/>
              <w:right w:val="double" w:sz="6" w:space="0" w:color="auto"/>
            </w:tcBorders>
          </w:tcPr>
          <w:p w14:paraId="74AD3351" w14:textId="77777777" w:rsidR="003D001A" w:rsidRDefault="003D001A" w:rsidP="00786873">
            <w:pPr>
              <w:pStyle w:val="Header"/>
              <w:rPr>
                <w:rFonts w:ascii="Garamond" w:hAnsi="Garamond"/>
                <w:b/>
                <w:bCs/>
                <w:i/>
                <w:iCs/>
              </w:rPr>
            </w:pPr>
            <w:r w:rsidRPr="00485F71">
              <w:rPr>
                <w:b/>
                <w:bCs/>
                <w:i/>
                <w:iCs/>
              </w:rPr>
              <w:t>Page No.:</w:t>
            </w:r>
            <w:r w:rsidRPr="00485F71">
              <w:rPr>
                <w:rFonts w:ascii="Garamond" w:hAnsi="Garamond"/>
                <w:b/>
                <w:bCs/>
                <w:i/>
                <w:iCs/>
              </w:rPr>
              <w:t xml:space="preserve">  1 of </w:t>
            </w:r>
            <w:r>
              <w:rPr>
                <w:rFonts w:ascii="Garamond" w:hAnsi="Garamond"/>
                <w:b/>
                <w:bCs/>
                <w:i/>
                <w:iCs/>
              </w:rPr>
              <w:t>2</w:t>
            </w:r>
          </w:p>
          <w:p w14:paraId="2A5BCA4B" w14:textId="2FB1E09C" w:rsidR="00786873" w:rsidRPr="00485F71" w:rsidRDefault="00786873" w:rsidP="00BB2258">
            <w:pPr>
              <w:pStyle w:val="Header"/>
              <w:jc w:val="center"/>
              <w:rPr>
                <w:rFonts w:ascii="Garamond" w:hAnsi="Garamond"/>
                <w:b/>
                <w:bCs/>
                <w:i/>
                <w:iCs/>
              </w:rPr>
            </w:pPr>
            <w:r>
              <w:rPr>
                <w:rFonts w:ascii="Garamond" w:hAnsi="Garamond"/>
                <w:b/>
                <w:bCs/>
                <w:i/>
                <w:iCs/>
              </w:rPr>
              <w:t>With PDF attachment</w:t>
            </w:r>
          </w:p>
        </w:tc>
      </w:tr>
      <w:tr w:rsidR="003D001A" w14:paraId="3EFB4DD3" w14:textId="77777777" w:rsidTr="003D001A">
        <w:tc>
          <w:tcPr>
            <w:tcW w:w="9900" w:type="dxa"/>
            <w:gridSpan w:val="4"/>
            <w:tcBorders>
              <w:top w:val="double" w:sz="6" w:space="0" w:color="auto"/>
              <w:left w:val="double" w:sz="6" w:space="0" w:color="auto"/>
              <w:bottom w:val="double" w:sz="6" w:space="0" w:color="auto"/>
              <w:right w:val="double" w:sz="6" w:space="0" w:color="auto"/>
            </w:tcBorders>
          </w:tcPr>
          <w:p w14:paraId="3F26B86D" w14:textId="77777777" w:rsidR="003D001A" w:rsidRPr="00485F71" w:rsidRDefault="003D001A" w:rsidP="00BB2258">
            <w:pPr>
              <w:pStyle w:val="Header"/>
              <w:rPr>
                <w:rFonts w:ascii="Garamond" w:hAnsi="Garamond"/>
                <w:b/>
                <w:bCs/>
                <w:i/>
                <w:iCs/>
                <w:sz w:val="24"/>
                <w:szCs w:val="24"/>
              </w:rPr>
            </w:pPr>
          </w:p>
          <w:p w14:paraId="4B7E1513" w14:textId="76ED9661" w:rsidR="003D001A" w:rsidRPr="00485F71" w:rsidRDefault="003D001A" w:rsidP="00BB2258">
            <w:pPr>
              <w:rPr>
                <w:rFonts w:ascii="Garamond" w:hAnsi="Garamond"/>
                <w:b/>
                <w:bCs/>
                <w:i/>
                <w:iCs/>
              </w:rPr>
            </w:pPr>
            <w:r w:rsidRPr="00485F71">
              <w:rPr>
                <w:rFonts w:ascii="Garamond" w:hAnsi="Garamond"/>
                <w:b/>
                <w:bCs/>
                <w:i/>
                <w:iCs/>
              </w:rPr>
              <w:t>Title:</w:t>
            </w:r>
            <w:r w:rsidRPr="00485F71">
              <w:rPr>
                <w:rFonts w:ascii="Garamond" w:hAnsi="Garamond" w:cs="Arial"/>
                <w:i/>
              </w:rPr>
              <w:t xml:space="preserve"> </w:t>
            </w:r>
            <w:r w:rsidRPr="003D001A">
              <w:rPr>
                <w:rFonts w:ascii="Garamond" w:hAnsi="Garamond" w:cs="Arial"/>
                <w:b/>
                <w:i/>
                <w:sz w:val="24"/>
                <w:szCs w:val="24"/>
              </w:rPr>
              <w:t>Opioid Prescribing</w:t>
            </w:r>
          </w:p>
        </w:tc>
      </w:tr>
      <w:tr w:rsidR="003D001A" w14:paraId="538F8E4B" w14:textId="77777777" w:rsidTr="003D001A">
        <w:tc>
          <w:tcPr>
            <w:tcW w:w="9900" w:type="dxa"/>
            <w:gridSpan w:val="4"/>
            <w:tcBorders>
              <w:top w:val="double" w:sz="6" w:space="0" w:color="auto"/>
              <w:left w:val="double" w:sz="6" w:space="0" w:color="auto"/>
              <w:bottom w:val="double" w:sz="6" w:space="0" w:color="auto"/>
              <w:right w:val="double" w:sz="6" w:space="0" w:color="auto"/>
            </w:tcBorders>
          </w:tcPr>
          <w:p w14:paraId="49E55BE9" w14:textId="77777777" w:rsidR="003D001A" w:rsidRPr="00485F71" w:rsidRDefault="003D001A" w:rsidP="00BB2258">
            <w:pPr>
              <w:pStyle w:val="Header"/>
              <w:rPr>
                <w:rFonts w:ascii="Garamond" w:hAnsi="Garamond"/>
                <w:b/>
                <w:bCs/>
                <w:i/>
                <w:iCs/>
                <w:sz w:val="24"/>
                <w:szCs w:val="24"/>
              </w:rPr>
            </w:pPr>
          </w:p>
          <w:p w14:paraId="7F03E5B0" w14:textId="67839D38" w:rsidR="003D001A" w:rsidRPr="00485F71" w:rsidRDefault="003D001A" w:rsidP="00BB2258">
            <w:pPr>
              <w:pStyle w:val="Header"/>
              <w:rPr>
                <w:rFonts w:ascii="Garamond" w:hAnsi="Garamond"/>
                <w:i/>
                <w:iCs/>
                <w:sz w:val="24"/>
                <w:szCs w:val="24"/>
              </w:rPr>
            </w:pPr>
            <w:r w:rsidRPr="00485F71">
              <w:rPr>
                <w:rFonts w:ascii="Garamond" w:hAnsi="Garamond"/>
                <w:b/>
                <w:bCs/>
                <w:i/>
                <w:iCs/>
                <w:sz w:val="24"/>
                <w:szCs w:val="24"/>
              </w:rPr>
              <w:t xml:space="preserve">Issued By:  </w:t>
            </w:r>
          </w:p>
        </w:tc>
      </w:tr>
      <w:tr w:rsidR="003D001A" w14:paraId="2F424670" w14:textId="77777777" w:rsidTr="003D001A">
        <w:tc>
          <w:tcPr>
            <w:tcW w:w="4283" w:type="dxa"/>
            <w:tcBorders>
              <w:top w:val="double" w:sz="6" w:space="0" w:color="auto"/>
              <w:left w:val="double" w:sz="6" w:space="0" w:color="auto"/>
              <w:bottom w:val="double" w:sz="6" w:space="0" w:color="auto"/>
              <w:right w:val="double" w:sz="6" w:space="0" w:color="auto"/>
            </w:tcBorders>
          </w:tcPr>
          <w:p w14:paraId="4552A8BD" w14:textId="77777777" w:rsidR="003D001A" w:rsidRPr="009A73C0" w:rsidRDefault="003D001A" w:rsidP="00BB2258">
            <w:pPr>
              <w:pStyle w:val="Header"/>
              <w:rPr>
                <w:rFonts w:ascii="Garamond" w:hAnsi="Garamond"/>
                <w:b/>
                <w:bCs/>
                <w:iCs/>
                <w:sz w:val="24"/>
                <w:szCs w:val="24"/>
              </w:rPr>
            </w:pPr>
          </w:p>
          <w:p w14:paraId="0F203E2B" w14:textId="6A8C95D1" w:rsidR="003D001A" w:rsidRPr="00485F71" w:rsidRDefault="003D001A" w:rsidP="00BB2258">
            <w:pPr>
              <w:pStyle w:val="Header"/>
              <w:rPr>
                <w:rFonts w:ascii="Garamond" w:hAnsi="Garamond"/>
                <w:i/>
                <w:iCs/>
                <w:sz w:val="24"/>
                <w:szCs w:val="24"/>
              </w:rPr>
            </w:pPr>
            <w:r w:rsidRPr="00485F71">
              <w:rPr>
                <w:rFonts w:ascii="Garamond" w:hAnsi="Garamond"/>
                <w:b/>
                <w:bCs/>
                <w:i/>
                <w:iCs/>
                <w:sz w:val="24"/>
                <w:szCs w:val="24"/>
              </w:rPr>
              <w:t xml:space="preserve">Effective Date: </w:t>
            </w:r>
          </w:p>
        </w:tc>
        <w:tc>
          <w:tcPr>
            <w:tcW w:w="3612" w:type="dxa"/>
            <w:gridSpan w:val="2"/>
            <w:tcBorders>
              <w:top w:val="double" w:sz="6" w:space="0" w:color="auto"/>
              <w:left w:val="double" w:sz="6" w:space="0" w:color="auto"/>
              <w:bottom w:val="double" w:sz="6" w:space="0" w:color="auto"/>
              <w:right w:val="double" w:sz="6" w:space="0" w:color="auto"/>
            </w:tcBorders>
          </w:tcPr>
          <w:p w14:paraId="62FDB37D" w14:textId="77777777" w:rsidR="003D001A" w:rsidRPr="00485F71" w:rsidRDefault="003D001A" w:rsidP="00BB2258">
            <w:pPr>
              <w:pStyle w:val="Header"/>
              <w:rPr>
                <w:rFonts w:ascii="Garamond" w:hAnsi="Garamond"/>
                <w:b/>
                <w:bCs/>
                <w:i/>
                <w:iCs/>
                <w:sz w:val="24"/>
                <w:szCs w:val="24"/>
              </w:rPr>
            </w:pPr>
          </w:p>
          <w:p w14:paraId="39DBA145" w14:textId="2E5C5216" w:rsidR="003D001A" w:rsidRPr="00485F71" w:rsidRDefault="003D001A" w:rsidP="00BB2258">
            <w:pPr>
              <w:pStyle w:val="Header"/>
              <w:rPr>
                <w:rFonts w:ascii="Garamond" w:hAnsi="Garamond"/>
                <w:i/>
                <w:iCs/>
                <w:sz w:val="24"/>
                <w:szCs w:val="24"/>
              </w:rPr>
            </w:pPr>
            <w:r w:rsidRPr="00485F71">
              <w:rPr>
                <w:rFonts w:ascii="Garamond" w:hAnsi="Garamond"/>
                <w:b/>
                <w:bCs/>
                <w:i/>
                <w:iCs/>
                <w:sz w:val="24"/>
                <w:szCs w:val="24"/>
              </w:rPr>
              <w:t xml:space="preserve">Last Review Date:  </w:t>
            </w:r>
          </w:p>
        </w:tc>
        <w:tc>
          <w:tcPr>
            <w:tcW w:w="2005" w:type="dxa"/>
            <w:tcBorders>
              <w:top w:val="double" w:sz="6" w:space="0" w:color="auto"/>
              <w:left w:val="double" w:sz="6" w:space="0" w:color="auto"/>
              <w:bottom w:val="double" w:sz="6" w:space="0" w:color="auto"/>
              <w:right w:val="double" w:sz="6" w:space="0" w:color="auto"/>
            </w:tcBorders>
          </w:tcPr>
          <w:p w14:paraId="39C6AC42" w14:textId="77777777" w:rsidR="003D001A" w:rsidRPr="00485F71" w:rsidRDefault="003D001A" w:rsidP="00BB2258">
            <w:pPr>
              <w:pStyle w:val="Header"/>
              <w:rPr>
                <w:rFonts w:ascii="Garamond" w:hAnsi="Garamond"/>
                <w:b/>
                <w:bCs/>
                <w:i/>
                <w:iCs/>
                <w:sz w:val="24"/>
                <w:szCs w:val="24"/>
              </w:rPr>
            </w:pPr>
          </w:p>
          <w:p w14:paraId="15CB31CD" w14:textId="77777777" w:rsidR="003D001A" w:rsidRPr="00485F71" w:rsidRDefault="003D001A" w:rsidP="00BB2258">
            <w:pPr>
              <w:pStyle w:val="Header"/>
              <w:rPr>
                <w:rFonts w:ascii="Garamond" w:hAnsi="Garamond"/>
                <w:i/>
                <w:iCs/>
                <w:sz w:val="24"/>
                <w:szCs w:val="24"/>
              </w:rPr>
            </w:pPr>
            <w:r w:rsidRPr="00485F71">
              <w:rPr>
                <w:rFonts w:ascii="Garamond" w:hAnsi="Garamond"/>
                <w:b/>
                <w:bCs/>
                <w:i/>
                <w:iCs/>
                <w:sz w:val="24"/>
                <w:szCs w:val="24"/>
              </w:rPr>
              <w:t>Supersedes:   All Previous</w:t>
            </w:r>
          </w:p>
        </w:tc>
      </w:tr>
      <w:tr w:rsidR="003D001A" w14:paraId="24E794D9" w14:textId="77777777" w:rsidTr="003D001A">
        <w:tc>
          <w:tcPr>
            <w:tcW w:w="9900" w:type="dxa"/>
            <w:gridSpan w:val="4"/>
            <w:tcBorders>
              <w:top w:val="double" w:sz="6" w:space="0" w:color="auto"/>
              <w:left w:val="double" w:sz="6" w:space="0" w:color="auto"/>
              <w:bottom w:val="double" w:sz="6" w:space="0" w:color="auto"/>
              <w:right w:val="double" w:sz="6" w:space="0" w:color="auto"/>
            </w:tcBorders>
          </w:tcPr>
          <w:p w14:paraId="1C94FCAC" w14:textId="77777777" w:rsidR="003D001A" w:rsidRPr="00485F71" w:rsidRDefault="003D001A" w:rsidP="00BB2258">
            <w:pPr>
              <w:pStyle w:val="Header"/>
              <w:rPr>
                <w:rFonts w:ascii="Garamond" w:hAnsi="Garamond"/>
                <w:i/>
                <w:iCs/>
                <w:sz w:val="24"/>
                <w:szCs w:val="24"/>
              </w:rPr>
            </w:pPr>
          </w:p>
          <w:p w14:paraId="1AAE1EFD" w14:textId="77777777" w:rsidR="003D001A" w:rsidRPr="00485F71" w:rsidRDefault="003D001A" w:rsidP="00BB2258">
            <w:pPr>
              <w:pStyle w:val="Header"/>
              <w:rPr>
                <w:rFonts w:ascii="Garamond" w:hAnsi="Garamond"/>
                <w:b/>
                <w:bCs/>
                <w:i/>
                <w:iCs/>
                <w:sz w:val="24"/>
                <w:szCs w:val="24"/>
              </w:rPr>
            </w:pPr>
            <w:r w:rsidRPr="00485F71">
              <w:rPr>
                <w:rFonts w:ascii="Garamond" w:hAnsi="Garamond"/>
                <w:b/>
                <w:bCs/>
                <w:i/>
                <w:iCs/>
                <w:sz w:val="24"/>
                <w:szCs w:val="24"/>
              </w:rPr>
              <w:t>Distribution: All Departments</w:t>
            </w:r>
          </w:p>
        </w:tc>
      </w:tr>
    </w:tbl>
    <w:p w14:paraId="06D01AA3" w14:textId="77777777" w:rsidR="003D001A" w:rsidRDefault="003D001A">
      <w:pPr>
        <w:rPr>
          <w:b/>
          <w:u w:val="single"/>
        </w:rPr>
      </w:pPr>
    </w:p>
    <w:p w14:paraId="4DAF50A0" w14:textId="210CE594" w:rsidR="00F41080" w:rsidRPr="00191361" w:rsidRDefault="00F41080">
      <w:pPr>
        <w:rPr>
          <w:b/>
        </w:rPr>
      </w:pPr>
      <w:r>
        <w:rPr>
          <w:b/>
          <w:u w:val="single"/>
        </w:rPr>
        <w:t>Policy:</w:t>
      </w:r>
      <w:r w:rsidR="00191361">
        <w:rPr>
          <w:b/>
          <w:u w:val="single"/>
        </w:rPr>
        <w:t xml:space="preserve"> </w:t>
      </w:r>
      <w:r w:rsidR="00191361" w:rsidRPr="00191361">
        <w:rPr>
          <w:b/>
        </w:rPr>
        <w:t xml:space="preserve">The Facility will provide pain </w:t>
      </w:r>
      <w:r w:rsidR="00151763" w:rsidRPr="00191361">
        <w:rPr>
          <w:b/>
        </w:rPr>
        <w:t xml:space="preserve">management </w:t>
      </w:r>
      <w:r w:rsidR="00151763">
        <w:rPr>
          <w:b/>
        </w:rPr>
        <w:t xml:space="preserve">for residents that may </w:t>
      </w:r>
      <w:r w:rsidR="00191361" w:rsidRPr="00191361">
        <w:rPr>
          <w:b/>
        </w:rPr>
        <w:t>includ</w:t>
      </w:r>
      <w:r w:rsidR="00151763">
        <w:rPr>
          <w:b/>
        </w:rPr>
        <w:t>e</w:t>
      </w:r>
      <w:r w:rsidR="00191361" w:rsidRPr="00191361">
        <w:rPr>
          <w:b/>
        </w:rPr>
        <w:t xml:space="preserve"> the use of </w:t>
      </w:r>
      <w:r w:rsidR="00151763">
        <w:rPr>
          <w:b/>
        </w:rPr>
        <w:t>o</w:t>
      </w:r>
      <w:r w:rsidR="0052409C" w:rsidRPr="00191361">
        <w:rPr>
          <w:b/>
        </w:rPr>
        <w:t>pioids</w:t>
      </w:r>
      <w:r w:rsidR="00191361" w:rsidRPr="00191361">
        <w:rPr>
          <w:b/>
        </w:rPr>
        <w:t xml:space="preserve"> after assessment and review of individual resident needs by the Physician and </w:t>
      </w:r>
      <w:r w:rsidR="0024269C">
        <w:rPr>
          <w:b/>
        </w:rPr>
        <w:t>Interdisciplinary</w:t>
      </w:r>
      <w:r w:rsidR="00191361" w:rsidRPr="00191361">
        <w:rPr>
          <w:b/>
        </w:rPr>
        <w:t xml:space="preserve"> Team</w:t>
      </w:r>
      <w:r w:rsidR="0052409C">
        <w:rPr>
          <w:b/>
        </w:rPr>
        <w:t>.</w:t>
      </w:r>
      <w:r w:rsidR="0024269C">
        <w:rPr>
          <w:b/>
        </w:rPr>
        <w:t xml:space="preserve"> The IDT will adhere to</w:t>
      </w:r>
      <w:r w:rsidR="00F8363D">
        <w:rPr>
          <w:b/>
        </w:rPr>
        <w:t xml:space="preserve"> standards of practice as outlined NYS DOH and Substance Abuse and Mental Health Services Administration to</w:t>
      </w:r>
      <w:r w:rsidR="0024269C">
        <w:rPr>
          <w:b/>
        </w:rPr>
        <w:t xml:space="preserve"> prevent untoward effects related to the use of Opioids</w:t>
      </w:r>
    </w:p>
    <w:p w14:paraId="2082C36D" w14:textId="5431CC71" w:rsidR="00415E9B" w:rsidRPr="00304C37" w:rsidRDefault="00F41080" w:rsidP="00415E9B">
      <w:pPr>
        <w:rPr>
          <w:b/>
          <w:u w:val="single"/>
        </w:rPr>
      </w:pPr>
      <w:r w:rsidRPr="00F41080">
        <w:rPr>
          <w:b/>
          <w:u w:val="single"/>
        </w:rPr>
        <w:t xml:space="preserve">Procedure:  </w:t>
      </w:r>
    </w:p>
    <w:p w14:paraId="66A07613" w14:textId="77777777" w:rsidR="009215C0" w:rsidRDefault="009215C0" w:rsidP="009215C0">
      <w:pPr>
        <w:pStyle w:val="ListParagraph"/>
        <w:numPr>
          <w:ilvl w:val="0"/>
          <w:numId w:val="1"/>
        </w:numPr>
      </w:pPr>
      <w:r>
        <w:t xml:space="preserve">Residents that have opioids listed on their discharge summary will require the Registered Nurse doing the admission assessment to: </w:t>
      </w:r>
    </w:p>
    <w:p w14:paraId="34DE98D6" w14:textId="77777777" w:rsidR="009215C0" w:rsidRDefault="009215C0" w:rsidP="009215C0">
      <w:pPr>
        <w:pStyle w:val="ListParagraph"/>
        <w:numPr>
          <w:ilvl w:val="0"/>
          <w:numId w:val="2"/>
        </w:numPr>
      </w:pPr>
      <w:r>
        <w:t>Review the hospital records to identify use of opioids during in- patient hospital stay</w:t>
      </w:r>
    </w:p>
    <w:p w14:paraId="5A9A0CBA" w14:textId="77777777" w:rsidR="009215C0" w:rsidRDefault="009215C0" w:rsidP="009215C0">
      <w:pPr>
        <w:pStyle w:val="ListParagraph"/>
        <w:numPr>
          <w:ilvl w:val="0"/>
          <w:numId w:val="2"/>
        </w:numPr>
      </w:pPr>
      <w:r>
        <w:t xml:space="preserve">Review past medical history to ascertain use of opioids for chronic pain </w:t>
      </w:r>
    </w:p>
    <w:p w14:paraId="62E7243E" w14:textId="5679A2C3" w:rsidR="009215C0" w:rsidRDefault="009215C0" w:rsidP="009215C0">
      <w:pPr>
        <w:pStyle w:val="ListParagraph"/>
        <w:numPr>
          <w:ilvl w:val="0"/>
          <w:numId w:val="2"/>
        </w:numPr>
      </w:pPr>
      <w:r>
        <w:t>Interview the resident to determine his/her desired level of pain and need for opioid management</w:t>
      </w:r>
    </w:p>
    <w:p w14:paraId="2BDB47DD" w14:textId="77777777" w:rsidR="009215C0" w:rsidRDefault="009215C0" w:rsidP="009215C0">
      <w:pPr>
        <w:pStyle w:val="ListParagraph"/>
        <w:numPr>
          <w:ilvl w:val="0"/>
          <w:numId w:val="1"/>
        </w:numPr>
      </w:pPr>
      <w:r>
        <w:t>The Registered Nurse will relay this information to the PMD. The PMD will then determine if the opioid is to be ordered, the frequency, and the number of days.  (Not to exceed a 7-day supply for residents that have no prior history of opioid use) The PMD will take into account:</w:t>
      </w:r>
    </w:p>
    <w:p w14:paraId="1660C560" w14:textId="77777777" w:rsidR="009215C0" w:rsidRDefault="009215C0" w:rsidP="009215C0">
      <w:pPr>
        <w:pStyle w:val="ListParagraph"/>
        <w:numPr>
          <w:ilvl w:val="0"/>
          <w:numId w:val="6"/>
        </w:numPr>
      </w:pPr>
      <w:r>
        <w:t>The type of surgery and customary time frame for opioid usage</w:t>
      </w:r>
    </w:p>
    <w:p w14:paraId="1980B06B" w14:textId="77777777" w:rsidR="009215C0" w:rsidRDefault="009215C0" w:rsidP="009215C0">
      <w:pPr>
        <w:pStyle w:val="ListParagraph"/>
        <w:numPr>
          <w:ilvl w:val="0"/>
          <w:numId w:val="6"/>
        </w:numPr>
      </w:pPr>
      <w:r>
        <w:t>The age of resident</w:t>
      </w:r>
    </w:p>
    <w:p w14:paraId="2E271761" w14:textId="7DDB80E4" w:rsidR="009215C0" w:rsidRDefault="009215C0" w:rsidP="009215C0">
      <w:pPr>
        <w:pStyle w:val="ListParagraph"/>
        <w:numPr>
          <w:ilvl w:val="0"/>
          <w:numId w:val="6"/>
        </w:numPr>
      </w:pPr>
      <w:r>
        <w:t>The other medications being ordered.</w:t>
      </w:r>
    </w:p>
    <w:p w14:paraId="4403045A" w14:textId="5B842C10" w:rsidR="009215C0" w:rsidRDefault="009215C0" w:rsidP="009215C0">
      <w:pPr>
        <w:pStyle w:val="ListParagraph"/>
        <w:numPr>
          <w:ilvl w:val="0"/>
          <w:numId w:val="1"/>
        </w:numPr>
      </w:pPr>
      <w:r>
        <w:t>The PMD will document in the History and Physical Admission Assessment the use of opioids and the reason for same.</w:t>
      </w:r>
    </w:p>
    <w:p w14:paraId="42CACC7C" w14:textId="77777777" w:rsidR="009215C0" w:rsidRPr="009215C0" w:rsidRDefault="009215C0" w:rsidP="009215C0">
      <w:pPr>
        <w:pStyle w:val="ListParagraph"/>
        <w:numPr>
          <w:ilvl w:val="0"/>
          <w:numId w:val="1"/>
        </w:numPr>
      </w:pPr>
      <w:r w:rsidRPr="009215C0">
        <w:rPr>
          <w:b/>
        </w:rPr>
        <w:t>The PMD will refrain from ordering two different types of opioids for PRN pain management.</w:t>
      </w:r>
    </w:p>
    <w:p w14:paraId="79137813" w14:textId="77777777" w:rsidR="009215C0" w:rsidRDefault="009215C0" w:rsidP="009215C0">
      <w:pPr>
        <w:pStyle w:val="ListParagraph"/>
        <w:numPr>
          <w:ilvl w:val="0"/>
          <w:numId w:val="1"/>
        </w:numPr>
      </w:pPr>
      <w:r>
        <w:t>The opioid order will be revised to indicate tapering as the resident recovers from the acute medical event.</w:t>
      </w:r>
    </w:p>
    <w:p w14:paraId="7AF27898" w14:textId="11286045" w:rsidR="009215C0" w:rsidRDefault="00415E9B" w:rsidP="009215C0">
      <w:pPr>
        <w:pStyle w:val="ListParagraph"/>
        <w:numPr>
          <w:ilvl w:val="0"/>
          <w:numId w:val="1"/>
        </w:numPr>
      </w:pPr>
      <w:r>
        <w:lastRenderedPageBreak/>
        <w:t>T</w:t>
      </w:r>
      <w:r w:rsidR="009215C0">
        <w:t xml:space="preserve">he IDT will offer individualized interventions as alternatives to the use of Opioids including but not limited to:  Rehab services, </w:t>
      </w:r>
      <w:r w:rsidR="0052409C">
        <w:t>h</w:t>
      </w:r>
      <w:r w:rsidR="009215C0">
        <w:t>ot and</w:t>
      </w:r>
      <w:r w:rsidR="0052409C">
        <w:t>/or</w:t>
      </w:r>
      <w:r w:rsidR="009215C0">
        <w:t xml:space="preserve"> </w:t>
      </w:r>
      <w:r w:rsidR="0052409C" w:rsidRPr="00BE571A">
        <w:t>co</w:t>
      </w:r>
      <w:r w:rsidR="009215C0" w:rsidRPr="00BE571A">
        <w:t>ld packs</w:t>
      </w:r>
      <w:r w:rsidR="009215C0">
        <w:t>, music therapy, and relaxation techniques</w:t>
      </w:r>
    </w:p>
    <w:p w14:paraId="34A00C63" w14:textId="04D1B52A" w:rsidR="009215C0" w:rsidRPr="00415E9B" w:rsidRDefault="009215C0" w:rsidP="00415E9B">
      <w:pPr>
        <w:pStyle w:val="ListParagraph"/>
        <w:numPr>
          <w:ilvl w:val="0"/>
          <w:numId w:val="1"/>
        </w:numPr>
      </w:pPr>
      <w:r>
        <w:t xml:space="preserve">Residents that require the continued use of opioids after 14 days </w:t>
      </w:r>
      <w:r w:rsidR="0052409C">
        <w:t>may be referred to</w:t>
      </w:r>
      <w:r>
        <w:t xml:space="preserve"> the Pain Management Consultant.</w:t>
      </w:r>
    </w:p>
    <w:p w14:paraId="7F3829D0" w14:textId="77777777" w:rsidR="009215C0" w:rsidRDefault="009215C0" w:rsidP="00415E9B">
      <w:pPr>
        <w:pStyle w:val="ListParagraph"/>
        <w:numPr>
          <w:ilvl w:val="0"/>
          <w:numId w:val="1"/>
        </w:numPr>
      </w:pPr>
      <w:r>
        <w:t xml:space="preserve">When Opioid therapy needs to be initiated for an acute onset of pain it is recommended to start with the lowest effective dose of immediate-release opioid for a maximum of seven days. (Not to exceed a 7-day supply for residents that have no prior history of opioid use)  </w:t>
      </w:r>
    </w:p>
    <w:p w14:paraId="28A91AF5" w14:textId="77777777" w:rsidR="009215C0" w:rsidRDefault="009215C0" w:rsidP="00415E9B">
      <w:pPr>
        <w:pStyle w:val="ListParagraph"/>
        <w:numPr>
          <w:ilvl w:val="0"/>
          <w:numId w:val="1"/>
        </w:numPr>
      </w:pPr>
      <w:r>
        <w:t>The Physician is responsible to provide a medical diagnosis for the use of the opioid.</w:t>
      </w:r>
    </w:p>
    <w:p w14:paraId="7A7BEF5C" w14:textId="1F1A190D" w:rsidR="009215C0" w:rsidRDefault="009215C0" w:rsidP="00415E9B">
      <w:pPr>
        <w:pStyle w:val="ListParagraph"/>
        <w:numPr>
          <w:ilvl w:val="0"/>
          <w:numId w:val="1"/>
        </w:numPr>
      </w:pPr>
      <w:r>
        <w:t xml:space="preserve">The IDT will attempt to identify the </w:t>
      </w:r>
      <w:r w:rsidR="00415E9B">
        <w:t>root</w:t>
      </w:r>
      <w:r>
        <w:t xml:space="preserve"> cause of pain, as well as both nonpharmacologic therapy and non- opioid therapy that can be utilized to treat symptoms.</w:t>
      </w:r>
    </w:p>
    <w:p w14:paraId="7F9A8BC3" w14:textId="27ED5105" w:rsidR="009215C0" w:rsidRDefault="009215C0" w:rsidP="00415E9B">
      <w:pPr>
        <w:pStyle w:val="ListParagraph"/>
        <w:numPr>
          <w:ilvl w:val="0"/>
          <w:numId w:val="1"/>
        </w:numPr>
      </w:pPr>
      <w:r>
        <w:t>Pain management will be reviewed and revised after the acute condition resolves.</w:t>
      </w:r>
    </w:p>
    <w:p w14:paraId="2F672D73" w14:textId="47838345" w:rsidR="001D3ED7" w:rsidRPr="00A36982" w:rsidRDefault="001D3ED7" w:rsidP="00A36982">
      <w:pPr>
        <w:pStyle w:val="ListParagraph"/>
        <w:numPr>
          <w:ilvl w:val="0"/>
          <w:numId w:val="1"/>
        </w:numPr>
      </w:pPr>
      <w:r w:rsidRPr="00415E9B">
        <w:rPr>
          <w:b/>
        </w:rPr>
        <w:t xml:space="preserve">Residents that have been on opioids for more than three </w:t>
      </w:r>
      <w:r w:rsidR="00BE571A" w:rsidRPr="00415E9B">
        <w:rPr>
          <w:b/>
        </w:rPr>
        <w:t>months</w:t>
      </w:r>
      <w:r w:rsidR="00BE571A">
        <w:rPr>
          <w:b/>
        </w:rPr>
        <w:t>,</w:t>
      </w:r>
      <w:r w:rsidR="00BE571A" w:rsidRPr="00415E9B">
        <w:rPr>
          <w:b/>
        </w:rPr>
        <w:t xml:space="preserve"> past</w:t>
      </w:r>
      <w:r w:rsidRPr="00415E9B">
        <w:rPr>
          <w:b/>
        </w:rPr>
        <w:t xml:space="preserve"> the time of normal tissue healing</w:t>
      </w:r>
      <w:r>
        <w:rPr>
          <w:b/>
        </w:rPr>
        <w:t xml:space="preserve">, or </w:t>
      </w:r>
      <w:r>
        <w:t xml:space="preserve">on opioid therapy for a chronic pain condition require </w:t>
      </w:r>
      <w:r w:rsidRPr="00415E9B">
        <w:rPr>
          <w:b/>
        </w:rPr>
        <w:t xml:space="preserve">a </w:t>
      </w:r>
      <w:r>
        <w:t>specific treatment plan is in the medical record documenting the following:</w:t>
      </w:r>
    </w:p>
    <w:p w14:paraId="24475F8F" w14:textId="77777777" w:rsidR="001D3ED7" w:rsidRPr="00B51AB0" w:rsidRDefault="001D3ED7" w:rsidP="001D3ED7">
      <w:pPr>
        <w:pStyle w:val="ListParagraph"/>
        <w:numPr>
          <w:ilvl w:val="0"/>
          <w:numId w:val="5"/>
        </w:numPr>
      </w:pPr>
      <w:r w:rsidRPr="00B51AB0">
        <w:t>Goals for pain management and functional improvement based on diagnosis</w:t>
      </w:r>
    </w:p>
    <w:p w14:paraId="6129AF10" w14:textId="77777777" w:rsidR="001D3ED7" w:rsidRPr="00E21768" w:rsidRDefault="001D3ED7" w:rsidP="001D3ED7">
      <w:pPr>
        <w:pStyle w:val="ListParagraph"/>
        <w:numPr>
          <w:ilvl w:val="0"/>
          <w:numId w:val="5"/>
        </w:numPr>
      </w:pPr>
      <w:r>
        <w:t xml:space="preserve">Explanation on how the opioid therapy would be tapered to lower doses or </w:t>
      </w:r>
      <w:r w:rsidRPr="00E21768">
        <w:t>discontinued if the benefits do not outweigh the risks</w:t>
      </w:r>
    </w:p>
    <w:p w14:paraId="172DE8E8" w14:textId="77777777" w:rsidR="001D3ED7" w:rsidRDefault="001D3ED7" w:rsidP="001D3ED7">
      <w:pPr>
        <w:pStyle w:val="ListParagraph"/>
        <w:numPr>
          <w:ilvl w:val="0"/>
          <w:numId w:val="5"/>
        </w:numPr>
      </w:pPr>
      <w:r>
        <w:t>Documentation that discontinuation of the opioid therapy would result in negative outcomes for resident</w:t>
      </w:r>
    </w:p>
    <w:p w14:paraId="574CDBEE" w14:textId="77777777" w:rsidR="001D3ED7" w:rsidRPr="005D3D77" w:rsidRDefault="001D3ED7" w:rsidP="001D3ED7">
      <w:pPr>
        <w:pStyle w:val="ListParagraph"/>
        <w:numPr>
          <w:ilvl w:val="0"/>
          <w:numId w:val="5"/>
        </w:numPr>
      </w:pPr>
      <w:r w:rsidRPr="00E21768">
        <w:t>Documentation that the risks and alternatives to opioids have been reviewed with</w:t>
      </w:r>
      <w:r>
        <w:t xml:space="preserve"> </w:t>
      </w:r>
      <w:r w:rsidRPr="005D3D77">
        <w:t>resident/representative</w:t>
      </w:r>
    </w:p>
    <w:p w14:paraId="3A9E1686" w14:textId="7702B6E9" w:rsidR="001D3ED7" w:rsidRPr="005D3D77" w:rsidRDefault="001D3ED7" w:rsidP="001D3ED7">
      <w:pPr>
        <w:pStyle w:val="ListParagraph"/>
        <w:numPr>
          <w:ilvl w:val="0"/>
          <w:numId w:val="5"/>
        </w:numPr>
      </w:pPr>
      <w:r w:rsidRPr="005D3D77">
        <w:t>Evaluation of risk factors for opioid related harm</w:t>
      </w:r>
    </w:p>
    <w:p w14:paraId="7B6B97CD" w14:textId="00B4002A" w:rsidR="001D3ED7" w:rsidRPr="005D3D77" w:rsidRDefault="00A36982" w:rsidP="001D3ED7">
      <w:pPr>
        <w:pStyle w:val="ListParagraph"/>
        <w:numPr>
          <w:ilvl w:val="0"/>
          <w:numId w:val="5"/>
        </w:numPr>
      </w:pPr>
      <w:r w:rsidRPr="005D3D77">
        <w:rPr>
          <w:b/>
        </w:rPr>
        <w:t>An annual re-evaluation of the treatment plan</w:t>
      </w:r>
    </w:p>
    <w:p w14:paraId="6D38C4BE" w14:textId="63B81F2F" w:rsidR="00E62845" w:rsidRPr="005D3D77" w:rsidRDefault="00E62845" w:rsidP="00E62845">
      <w:pPr>
        <w:pStyle w:val="ListParagraph"/>
        <w:numPr>
          <w:ilvl w:val="0"/>
          <w:numId w:val="12"/>
        </w:numPr>
      </w:pPr>
      <w:r w:rsidRPr="005D3D77">
        <w:t xml:space="preserve">The Primary Medical Doctor is responsible to document the rational for long term use of opioids </w:t>
      </w:r>
      <w:r w:rsidR="001D3ED7" w:rsidRPr="005D3D77">
        <w:t>o</w:t>
      </w:r>
      <w:r w:rsidRPr="005D3D77">
        <w:t xml:space="preserve">n the </w:t>
      </w:r>
      <w:r w:rsidR="00E21768" w:rsidRPr="005D3D77">
        <w:t>M</w:t>
      </w:r>
      <w:r w:rsidRPr="005D3D77">
        <w:t xml:space="preserve">onthly </w:t>
      </w:r>
      <w:r w:rsidR="00E21768" w:rsidRPr="005D3D77">
        <w:t>r</w:t>
      </w:r>
      <w:r w:rsidR="001D3ED7" w:rsidRPr="005D3D77">
        <w:t xml:space="preserve">esident </w:t>
      </w:r>
      <w:r w:rsidR="00E21768" w:rsidRPr="005D3D77">
        <w:t>physical</w:t>
      </w:r>
    </w:p>
    <w:p w14:paraId="3EAA68F3" w14:textId="7902120B" w:rsidR="003359DD" w:rsidRPr="00E62845" w:rsidRDefault="003359DD" w:rsidP="00E62845">
      <w:pPr>
        <w:pStyle w:val="ListParagraph"/>
        <w:numPr>
          <w:ilvl w:val="0"/>
          <w:numId w:val="12"/>
        </w:numPr>
      </w:pPr>
      <w:r>
        <w:t xml:space="preserve">The Primary Medical Doctor </w:t>
      </w:r>
      <w:r w:rsidR="00F8363D">
        <w:t>is required</w:t>
      </w:r>
      <w:r w:rsidR="0024269C">
        <w:t xml:space="preserve"> </w:t>
      </w:r>
      <w:r>
        <w:t xml:space="preserve">to check the </w:t>
      </w:r>
      <w:r>
        <w:rPr>
          <w:b/>
          <w:bCs/>
          <w:i/>
          <w:iCs/>
        </w:rPr>
        <w:t>Prescription Monitoring Program</w:t>
      </w:r>
      <w:r>
        <w:t xml:space="preserve"> Registry </w:t>
      </w:r>
      <w:r w:rsidR="003D001A">
        <w:t>(</w:t>
      </w:r>
      <w:r w:rsidR="003D001A" w:rsidRPr="003D001A">
        <w:rPr>
          <w:i/>
          <w:iCs/>
        </w:rPr>
        <w:t xml:space="preserve">PMP found on </w:t>
      </w:r>
      <w:r w:rsidR="0079677E">
        <w:rPr>
          <w:i/>
          <w:iCs/>
        </w:rPr>
        <w:t xml:space="preserve">NYS DOH </w:t>
      </w:r>
      <w:r w:rsidR="003D001A" w:rsidRPr="003D001A">
        <w:rPr>
          <w:i/>
          <w:iCs/>
        </w:rPr>
        <w:t>HCS portal)</w:t>
      </w:r>
      <w:r w:rsidR="0079677E">
        <w:rPr>
          <w:i/>
          <w:iCs/>
        </w:rPr>
        <w:t xml:space="preserve"> </w:t>
      </w:r>
      <w:r>
        <w:t>prior to writing a prescription for a controlled substance in schedule II, III, and IV for a resident that is being discharged from the facility and/or uses the controlled substance while OOP from the facility.</w:t>
      </w:r>
    </w:p>
    <w:p w14:paraId="36DB7285" w14:textId="77FBDEDC" w:rsidR="00BE571A" w:rsidRDefault="00BE571A" w:rsidP="00E62845">
      <w:pPr>
        <w:pStyle w:val="ListParagraph"/>
        <w:numPr>
          <w:ilvl w:val="0"/>
          <w:numId w:val="13"/>
        </w:numPr>
      </w:pPr>
      <w:r>
        <w:t xml:space="preserve">Residents receiving Hospice Services do not require the PMD to review their </w:t>
      </w:r>
      <w:r>
        <w:rPr>
          <w:b/>
          <w:bCs/>
          <w:i/>
          <w:iCs/>
        </w:rPr>
        <w:t xml:space="preserve">Prescription Monitoring Program </w:t>
      </w:r>
      <w:r w:rsidR="003359DD">
        <w:t>prior</w:t>
      </w:r>
      <w:r w:rsidR="0024269C">
        <w:t xml:space="preserve"> to writing a prescription for a controlled substance in schedule II, III, and IV</w:t>
      </w:r>
      <w:r w:rsidR="003359DD">
        <w:t xml:space="preserve"> </w:t>
      </w:r>
      <w:r w:rsidR="0024269C">
        <w:t>for discharge back to the community.</w:t>
      </w:r>
    </w:p>
    <w:p w14:paraId="0FADE63B" w14:textId="238D91CE" w:rsidR="00FC1B6A" w:rsidRDefault="00A36982" w:rsidP="00FC1B6A">
      <w:pPr>
        <w:pStyle w:val="ListParagraph"/>
        <w:numPr>
          <w:ilvl w:val="0"/>
          <w:numId w:val="13"/>
        </w:numPr>
      </w:pPr>
      <w:r>
        <w:t>Residents displaying signs/sympt</w:t>
      </w:r>
      <w:r w:rsidR="00AB7AC0">
        <w:t>oms of opioid overdose will immediately be assessed by RN and treated with Narcan s indicated.  (</w:t>
      </w:r>
      <w:r w:rsidR="00AB7AC0" w:rsidRPr="00AB7AC0">
        <w:rPr>
          <w:i/>
          <w:iCs/>
        </w:rPr>
        <w:t>Refer to Policy</w:t>
      </w:r>
      <w:r w:rsidR="00761082">
        <w:rPr>
          <w:i/>
          <w:iCs/>
        </w:rPr>
        <w:t>:  Recognition and Treatment of Opioid Overdose</w:t>
      </w:r>
      <w:r w:rsidR="00AB7AC0" w:rsidRPr="00AB7AC0">
        <w:rPr>
          <w:i/>
          <w:iCs/>
        </w:rPr>
        <w:t>.)</w:t>
      </w:r>
    </w:p>
    <w:p w14:paraId="3E46672C" w14:textId="4683A874" w:rsidR="00BE571A" w:rsidRDefault="00A36982" w:rsidP="003D001A">
      <w:pPr>
        <w:pStyle w:val="NoSpacing"/>
      </w:pPr>
      <w:r w:rsidRPr="00E21768">
        <w:t xml:space="preserve">References:  </w:t>
      </w:r>
    </w:p>
    <w:p w14:paraId="43E2433B" w14:textId="15D7031F" w:rsidR="00E21768" w:rsidRDefault="00E06CD9" w:rsidP="003D001A">
      <w:pPr>
        <w:pStyle w:val="NoSpacing"/>
      </w:pPr>
      <w:hyperlink r:id="rId10" w:history="1">
        <w:r w:rsidR="00E21768" w:rsidRPr="00E21768">
          <w:rPr>
            <w:color w:val="0000FF"/>
            <w:u w:val="single"/>
          </w:rPr>
          <w:t>I-STOP/Prescription Monitoring Program (PMP) Internet System for Tracking Over-Prescribing /Prescription Monitoring Program (ny.gov)</w:t>
        </w:r>
      </w:hyperlink>
      <w:r w:rsidR="00E21768">
        <w:t xml:space="preserve">. </w:t>
      </w:r>
    </w:p>
    <w:p w14:paraId="1E10E8BE" w14:textId="3C61F788" w:rsidR="0024269C" w:rsidRPr="0024269C" w:rsidRDefault="00E06CD9" w:rsidP="003D001A">
      <w:pPr>
        <w:pStyle w:val="NoSpacing"/>
        <w:rPr>
          <w:i/>
          <w:iCs/>
        </w:rPr>
      </w:pPr>
      <w:hyperlink r:id="rId11" w:history="1">
        <w:r w:rsidR="00E21768" w:rsidRPr="00541E8B">
          <w:rPr>
            <w:rStyle w:val="Hyperlink"/>
            <w:i/>
            <w:iCs/>
          </w:rPr>
          <w:t>www.health.ny.gov/professionals/narcotic</w:t>
        </w:r>
      </w:hyperlink>
      <w:r w:rsidR="00E21768">
        <w:rPr>
          <w:i/>
          <w:iCs/>
        </w:rPr>
        <w:t xml:space="preserve">. </w:t>
      </w:r>
    </w:p>
    <w:p w14:paraId="14ADA55F" w14:textId="03F54D6B" w:rsidR="003D001A" w:rsidRDefault="00E06CD9" w:rsidP="003D001A">
      <w:pPr>
        <w:pStyle w:val="NoSpacing"/>
        <w:rPr>
          <w:i/>
          <w:iCs/>
        </w:rPr>
      </w:pPr>
      <w:hyperlink r:id="rId12" w:history="1">
        <w:r w:rsidR="003D001A" w:rsidRPr="00AD7E8D">
          <w:rPr>
            <w:rStyle w:val="Hyperlink"/>
            <w:i/>
            <w:iCs/>
          </w:rPr>
          <w:t>www.samhsa.gov/treatment/</w:t>
        </w:r>
      </w:hyperlink>
    </w:p>
    <w:p w14:paraId="2CCCA26D" w14:textId="77777777" w:rsidR="00E21768" w:rsidRDefault="003D001A" w:rsidP="003D001A">
      <w:pPr>
        <w:pStyle w:val="NoSpacing"/>
        <w:rPr>
          <w:i/>
          <w:iCs/>
        </w:rPr>
      </w:pPr>
      <w:r>
        <w:rPr>
          <w:i/>
          <w:iCs/>
        </w:rPr>
        <w:t>New York State Public Health Law 3331 Section 80.</w:t>
      </w:r>
    </w:p>
    <w:p w14:paraId="33803E78" w14:textId="09FF9390" w:rsidR="00F41080" w:rsidRPr="00F8363D" w:rsidRDefault="00F41080" w:rsidP="003D001A">
      <w:pPr>
        <w:pStyle w:val="NoSpacing"/>
        <w:rPr>
          <w:i/>
          <w:iCs/>
        </w:rPr>
      </w:pPr>
      <w:r w:rsidRPr="00F8363D">
        <w:rPr>
          <w:i/>
          <w:iCs/>
        </w:rPr>
        <w:br w:type="page"/>
      </w:r>
    </w:p>
    <w:p w14:paraId="165329E7" w14:textId="79B0C24B" w:rsidR="00304C37" w:rsidRDefault="00304C37" w:rsidP="00304C37"/>
    <w:p w14:paraId="0D1AAE9C" w14:textId="77777777" w:rsidR="00304C37" w:rsidRDefault="00304C37" w:rsidP="00304C37"/>
    <w:p w14:paraId="144501A6" w14:textId="471416E0" w:rsidR="006E0723" w:rsidRDefault="006E0723" w:rsidP="00A36982">
      <w:r>
        <w:t>.</w:t>
      </w:r>
    </w:p>
    <w:p w14:paraId="57B235C1" w14:textId="1BF08CA9" w:rsidR="00842B53" w:rsidRPr="00B51AB0" w:rsidRDefault="00842B53" w:rsidP="00842B53"/>
    <w:sectPr w:rsidR="00842B53" w:rsidRPr="00B51AB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CB3C" w14:textId="77777777" w:rsidR="005E74EF" w:rsidRDefault="005E74EF" w:rsidP="00B23E5A">
      <w:pPr>
        <w:spacing w:after="0" w:line="240" w:lineRule="auto"/>
      </w:pPr>
      <w:r>
        <w:separator/>
      </w:r>
    </w:p>
  </w:endnote>
  <w:endnote w:type="continuationSeparator" w:id="0">
    <w:p w14:paraId="220FAB3E" w14:textId="77777777" w:rsidR="005E74EF" w:rsidRDefault="005E74EF" w:rsidP="00B2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040658"/>
      <w:docPartObj>
        <w:docPartGallery w:val="Page Numbers (Bottom of Page)"/>
        <w:docPartUnique/>
      </w:docPartObj>
    </w:sdtPr>
    <w:sdtEndPr>
      <w:rPr>
        <w:color w:val="7F7F7F" w:themeColor="background1" w:themeShade="7F"/>
        <w:spacing w:val="60"/>
      </w:rPr>
    </w:sdtEndPr>
    <w:sdtContent>
      <w:p w14:paraId="4A9230C2" w14:textId="7B1DB1E8" w:rsidR="00B23E5A" w:rsidRDefault="00B23E5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B34341" w14:textId="77777777" w:rsidR="00B23E5A" w:rsidRDefault="00B2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8913" w14:textId="77777777" w:rsidR="005E74EF" w:rsidRDefault="005E74EF" w:rsidP="00B23E5A">
      <w:pPr>
        <w:spacing w:after="0" w:line="240" w:lineRule="auto"/>
      </w:pPr>
      <w:r>
        <w:separator/>
      </w:r>
    </w:p>
  </w:footnote>
  <w:footnote w:type="continuationSeparator" w:id="0">
    <w:p w14:paraId="70E2A8DF" w14:textId="77777777" w:rsidR="005E74EF" w:rsidRDefault="005E74EF" w:rsidP="00B2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E004" w14:textId="71CCFD32" w:rsidR="005D3D77" w:rsidRDefault="005D3D77">
    <w:pPr>
      <w:pStyle w:val="Header"/>
    </w:pPr>
    <w:r>
      <w:rPr>
        <w:noProof/>
      </w:rPr>
      <w:drawing>
        <wp:inline distT="0" distB="0" distL="0" distR="0" wp14:anchorId="601A65F1" wp14:editId="71999D5E">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629D6037" w14:textId="09807764" w:rsidR="00B23E5A" w:rsidRDefault="00B2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642"/>
    <w:multiLevelType w:val="hybridMultilevel"/>
    <w:tmpl w:val="B2365B48"/>
    <w:lvl w:ilvl="0" w:tplc="B8CCF9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F02C0"/>
    <w:multiLevelType w:val="hybridMultilevel"/>
    <w:tmpl w:val="811CA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13DCE"/>
    <w:multiLevelType w:val="hybridMultilevel"/>
    <w:tmpl w:val="B276D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89547F"/>
    <w:multiLevelType w:val="hybridMultilevel"/>
    <w:tmpl w:val="1794F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E2217"/>
    <w:multiLevelType w:val="hybridMultilevel"/>
    <w:tmpl w:val="1F3A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91E98"/>
    <w:multiLevelType w:val="hybridMultilevel"/>
    <w:tmpl w:val="CB9CC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1F6308"/>
    <w:multiLevelType w:val="hybridMultilevel"/>
    <w:tmpl w:val="2318C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D2A98"/>
    <w:multiLevelType w:val="hybridMultilevel"/>
    <w:tmpl w:val="A1908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0A4B2D"/>
    <w:multiLevelType w:val="hybridMultilevel"/>
    <w:tmpl w:val="90EAE16C"/>
    <w:lvl w:ilvl="0" w:tplc="AA82C36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52444"/>
    <w:multiLevelType w:val="hybridMultilevel"/>
    <w:tmpl w:val="F4643AE0"/>
    <w:lvl w:ilvl="0" w:tplc="B8CCF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A7B1E"/>
    <w:multiLevelType w:val="hybridMultilevel"/>
    <w:tmpl w:val="3D823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F47DD"/>
    <w:multiLevelType w:val="hybridMultilevel"/>
    <w:tmpl w:val="7C5E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63A66"/>
    <w:multiLevelType w:val="hybridMultilevel"/>
    <w:tmpl w:val="198A3846"/>
    <w:lvl w:ilvl="0" w:tplc="62A25A0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085834">
    <w:abstractNumId w:val="0"/>
  </w:num>
  <w:num w:numId="2" w16cid:durableId="975334584">
    <w:abstractNumId w:val="2"/>
  </w:num>
  <w:num w:numId="3" w16cid:durableId="836724342">
    <w:abstractNumId w:val="6"/>
  </w:num>
  <w:num w:numId="4" w16cid:durableId="285047391">
    <w:abstractNumId w:val="10"/>
  </w:num>
  <w:num w:numId="5" w16cid:durableId="1976984302">
    <w:abstractNumId w:val="7"/>
  </w:num>
  <w:num w:numId="6" w16cid:durableId="683362212">
    <w:abstractNumId w:val="5"/>
  </w:num>
  <w:num w:numId="7" w16cid:durableId="1093823566">
    <w:abstractNumId w:val="4"/>
  </w:num>
  <w:num w:numId="8" w16cid:durableId="670764827">
    <w:abstractNumId w:val="11"/>
  </w:num>
  <w:num w:numId="9" w16cid:durableId="1340229359">
    <w:abstractNumId w:val="3"/>
  </w:num>
  <w:num w:numId="10" w16cid:durableId="1811051117">
    <w:abstractNumId w:val="1"/>
  </w:num>
  <w:num w:numId="11" w16cid:durableId="288364617">
    <w:abstractNumId w:val="9"/>
  </w:num>
  <w:num w:numId="12" w16cid:durableId="1762678841">
    <w:abstractNumId w:val="8"/>
  </w:num>
  <w:num w:numId="13" w16cid:durableId="420953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E6"/>
    <w:rsid w:val="0006720B"/>
    <w:rsid w:val="00151763"/>
    <w:rsid w:val="00152065"/>
    <w:rsid w:val="00161C77"/>
    <w:rsid w:val="00191361"/>
    <w:rsid w:val="001A6EB8"/>
    <w:rsid w:val="001D3ED7"/>
    <w:rsid w:val="0024269C"/>
    <w:rsid w:val="00304B20"/>
    <w:rsid w:val="00304C37"/>
    <w:rsid w:val="00326519"/>
    <w:rsid w:val="003359DD"/>
    <w:rsid w:val="003D001A"/>
    <w:rsid w:val="00415E9B"/>
    <w:rsid w:val="004604DD"/>
    <w:rsid w:val="0052409C"/>
    <w:rsid w:val="005560E6"/>
    <w:rsid w:val="005D3D77"/>
    <w:rsid w:val="005E74EF"/>
    <w:rsid w:val="00684FC5"/>
    <w:rsid w:val="006E0723"/>
    <w:rsid w:val="006E747D"/>
    <w:rsid w:val="00761082"/>
    <w:rsid w:val="00762EBE"/>
    <w:rsid w:val="00786873"/>
    <w:rsid w:val="0079677E"/>
    <w:rsid w:val="00831A56"/>
    <w:rsid w:val="00842B53"/>
    <w:rsid w:val="009215C0"/>
    <w:rsid w:val="0093526C"/>
    <w:rsid w:val="00982AFC"/>
    <w:rsid w:val="009C3B4B"/>
    <w:rsid w:val="00A36982"/>
    <w:rsid w:val="00AB7AC0"/>
    <w:rsid w:val="00AE3269"/>
    <w:rsid w:val="00B23E5A"/>
    <w:rsid w:val="00B51AB0"/>
    <w:rsid w:val="00BE571A"/>
    <w:rsid w:val="00C3667C"/>
    <w:rsid w:val="00C82F7C"/>
    <w:rsid w:val="00DF23A3"/>
    <w:rsid w:val="00E06CD9"/>
    <w:rsid w:val="00E21768"/>
    <w:rsid w:val="00E5610C"/>
    <w:rsid w:val="00E62845"/>
    <w:rsid w:val="00EF21A7"/>
    <w:rsid w:val="00F35DD2"/>
    <w:rsid w:val="00F41080"/>
    <w:rsid w:val="00F8363D"/>
    <w:rsid w:val="00FB0308"/>
    <w:rsid w:val="00FC1B6A"/>
    <w:rsid w:val="00FC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6DA73"/>
  <w15:chartTrackingRefBased/>
  <w15:docId w15:val="{F02081E4-3D95-48F3-9DAD-808EE7D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269"/>
    <w:pPr>
      <w:ind w:left="720"/>
      <w:contextualSpacing/>
    </w:pPr>
  </w:style>
  <w:style w:type="paragraph" w:styleId="Header">
    <w:name w:val="header"/>
    <w:basedOn w:val="Normal"/>
    <w:link w:val="HeaderChar"/>
    <w:uiPriority w:val="99"/>
    <w:unhideWhenUsed/>
    <w:rsid w:val="00B2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A"/>
  </w:style>
  <w:style w:type="paragraph" w:styleId="Footer">
    <w:name w:val="footer"/>
    <w:basedOn w:val="Normal"/>
    <w:link w:val="FooterChar"/>
    <w:uiPriority w:val="99"/>
    <w:unhideWhenUsed/>
    <w:rsid w:val="00B2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A"/>
  </w:style>
  <w:style w:type="paragraph" w:styleId="BalloonText">
    <w:name w:val="Balloon Text"/>
    <w:basedOn w:val="Normal"/>
    <w:link w:val="BalloonTextChar"/>
    <w:uiPriority w:val="99"/>
    <w:semiHidden/>
    <w:unhideWhenUsed/>
    <w:rsid w:val="00FC1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B6A"/>
    <w:rPr>
      <w:rFonts w:ascii="Segoe UI" w:hAnsi="Segoe UI" w:cs="Segoe UI"/>
      <w:sz w:val="18"/>
      <w:szCs w:val="18"/>
    </w:rPr>
  </w:style>
  <w:style w:type="character" w:styleId="Hyperlink">
    <w:name w:val="Hyperlink"/>
    <w:basedOn w:val="DefaultParagraphFont"/>
    <w:uiPriority w:val="99"/>
    <w:unhideWhenUsed/>
    <w:rsid w:val="003D001A"/>
    <w:rPr>
      <w:color w:val="0563C1" w:themeColor="hyperlink"/>
      <w:u w:val="single"/>
    </w:rPr>
  </w:style>
  <w:style w:type="character" w:styleId="UnresolvedMention">
    <w:name w:val="Unresolved Mention"/>
    <w:basedOn w:val="DefaultParagraphFont"/>
    <w:uiPriority w:val="99"/>
    <w:semiHidden/>
    <w:unhideWhenUsed/>
    <w:rsid w:val="003D001A"/>
    <w:rPr>
      <w:color w:val="605E5C"/>
      <w:shd w:val="clear" w:color="auto" w:fill="E1DFDD"/>
    </w:rPr>
  </w:style>
  <w:style w:type="paragraph" w:styleId="Subtitle">
    <w:name w:val="Subtitle"/>
    <w:basedOn w:val="Normal"/>
    <w:link w:val="SubtitleChar"/>
    <w:qFormat/>
    <w:rsid w:val="003D001A"/>
    <w:pPr>
      <w:spacing w:after="0" w:line="240" w:lineRule="auto"/>
      <w:jc w:val="center"/>
    </w:pPr>
    <w:rPr>
      <w:rFonts w:ascii="Garamond" w:eastAsia="Times New Roman" w:hAnsi="Garamond" w:cs="Times New Roman"/>
      <w:b/>
      <w:bCs/>
      <w:sz w:val="24"/>
      <w:szCs w:val="20"/>
      <w:u w:val="single"/>
    </w:rPr>
  </w:style>
  <w:style w:type="character" w:customStyle="1" w:styleId="SubtitleChar">
    <w:name w:val="Subtitle Char"/>
    <w:basedOn w:val="DefaultParagraphFont"/>
    <w:link w:val="Subtitle"/>
    <w:rsid w:val="003D001A"/>
    <w:rPr>
      <w:rFonts w:ascii="Garamond" w:eastAsia="Times New Roman" w:hAnsi="Garamond" w:cs="Times New Roman"/>
      <w:b/>
      <w:bCs/>
      <w:sz w:val="24"/>
      <w:szCs w:val="20"/>
      <w:u w:val="single"/>
    </w:rPr>
  </w:style>
  <w:style w:type="paragraph" w:styleId="NoSpacing">
    <w:name w:val="No Spacing"/>
    <w:uiPriority w:val="1"/>
    <w:qFormat/>
    <w:rsid w:val="003D0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mhsa.gov/treat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ny.gov/professionals/narcoti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alth.ny.gov/professionals/narcotic/prescription_monito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AAE7C-17AD-4991-92E8-9F8FC9D78586}">
  <ds:schemaRefs>
    <ds:schemaRef ds:uri="http://schemas.microsoft.com/sharepoint/v3/contenttype/forms"/>
  </ds:schemaRefs>
</ds:datastoreItem>
</file>

<file path=customXml/itemProps2.xml><?xml version="1.0" encoding="utf-8"?>
<ds:datastoreItem xmlns:ds="http://schemas.openxmlformats.org/officeDocument/2006/customXml" ds:itemID="{AB2E7A83-E076-4978-B262-47A3EA7FEA11}">
  <ds:schemaRefs>
    <ds:schemaRef ds:uri="d054f06b-e3b8-4fcd-a1c9-f1d27eac5867"/>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bae0d445-65ee-4887-953c-977bbde31b6c"/>
  </ds:schemaRefs>
</ds:datastoreItem>
</file>

<file path=customXml/itemProps3.xml><?xml version="1.0" encoding="utf-8"?>
<ds:datastoreItem xmlns:ds="http://schemas.openxmlformats.org/officeDocument/2006/customXml" ds:itemID="{00A9E3C4-D52C-4C11-B018-12BA9817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grandell rehabilitation and nursing center</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grandell rehabilitation and nursing center</dc:title>
  <dc:subject/>
  <dc:creator>Mary McGill</dc:creator>
  <cp:keywords/>
  <dc:description/>
  <cp:lastModifiedBy>Laura Brick</cp:lastModifiedBy>
  <cp:revision>2</cp:revision>
  <cp:lastPrinted>2019-04-30T20:20:00Z</cp:lastPrinted>
  <dcterms:created xsi:type="dcterms:W3CDTF">2023-06-01T15:53:00Z</dcterms:created>
  <dcterms:modified xsi:type="dcterms:W3CDTF">2023-06-01T15:53:00Z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