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675"/>
        <w:gridCol w:w="4675"/>
      </w:tblGrid>
      <w:tr w:rsidR="00FB3C0B" w:rsidRPr="00CA3BD1" w14:paraId="39D5018E" w14:textId="77777777" w:rsidTr="00B063B2">
        <w:tc>
          <w:tcPr>
            <w:tcW w:w="4675" w:type="dxa"/>
          </w:tcPr>
          <w:p w14:paraId="1449013B" w14:textId="77777777" w:rsidR="00FB3C0B" w:rsidRPr="00CA3BD1" w:rsidRDefault="00FB3C0B" w:rsidP="00B063B2">
            <w:pPr>
              <w:spacing w:after="160" w:line="259" w:lineRule="auto"/>
              <w:rPr>
                <w:rFonts w:ascii="Times New Roman" w:hAnsi="Times New Roman" w:cs="Times New Roman"/>
                <w:b/>
                <w:bCs/>
              </w:rPr>
            </w:pPr>
            <w:r w:rsidRPr="00CA3BD1">
              <w:rPr>
                <w:rFonts w:ascii="Times New Roman" w:hAnsi="Times New Roman" w:cs="Times New Roman"/>
                <w:b/>
                <w:bCs/>
              </w:rPr>
              <w:t>Infection Prevention and Control Policy and Procedure</w:t>
            </w:r>
          </w:p>
        </w:tc>
        <w:tc>
          <w:tcPr>
            <w:tcW w:w="4675" w:type="dxa"/>
          </w:tcPr>
          <w:p w14:paraId="4FC0FDCA" w14:textId="45505B07" w:rsidR="00FB3C0B" w:rsidRPr="00CA3BD1" w:rsidRDefault="00FB3C0B" w:rsidP="00B063B2">
            <w:pPr>
              <w:spacing w:after="160" w:line="259" w:lineRule="auto"/>
              <w:rPr>
                <w:rFonts w:ascii="Times New Roman" w:hAnsi="Times New Roman" w:cs="Times New Roman"/>
                <w:b/>
                <w:bCs/>
              </w:rPr>
            </w:pPr>
            <w:r w:rsidRPr="00CA3BD1">
              <w:rPr>
                <w:rFonts w:ascii="Times New Roman" w:hAnsi="Times New Roman" w:cs="Times New Roman"/>
                <w:b/>
                <w:bCs/>
              </w:rPr>
              <w:t xml:space="preserve">Subject: </w:t>
            </w:r>
            <w:r>
              <w:rPr>
                <w:rFonts w:ascii="Times New Roman" w:hAnsi="Times New Roman" w:cs="Times New Roman"/>
                <w:b/>
                <w:bCs/>
              </w:rPr>
              <w:t>Norovirus – Prevention and Management</w:t>
            </w:r>
          </w:p>
        </w:tc>
      </w:tr>
      <w:tr w:rsidR="00FB3C0B" w:rsidRPr="00CA3BD1" w14:paraId="3B441478" w14:textId="77777777" w:rsidTr="00B063B2">
        <w:tc>
          <w:tcPr>
            <w:tcW w:w="4675" w:type="dxa"/>
          </w:tcPr>
          <w:p w14:paraId="3BA96FE4" w14:textId="77777777" w:rsidR="00FB3C0B" w:rsidRPr="00CA3BD1" w:rsidRDefault="00FB3C0B" w:rsidP="00B063B2">
            <w:pPr>
              <w:spacing w:line="259" w:lineRule="auto"/>
              <w:rPr>
                <w:rFonts w:ascii="Times New Roman" w:hAnsi="Times New Roman" w:cs="Times New Roman"/>
                <w:b/>
                <w:bCs/>
              </w:rPr>
            </w:pPr>
            <w:r w:rsidRPr="00CA3BD1">
              <w:rPr>
                <w:rFonts w:ascii="Times New Roman" w:hAnsi="Times New Roman" w:cs="Times New Roman"/>
                <w:b/>
                <w:bCs/>
              </w:rPr>
              <w:t xml:space="preserve">Approved </w:t>
            </w:r>
            <w:r>
              <w:rPr>
                <w:rFonts w:ascii="Times New Roman" w:hAnsi="Times New Roman" w:cs="Times New Roman"/>
                <w:b/>
                <w:bCs/>
              </w:rPr>
              <w:t>B</w:t>
            </w:r>
            <w:r w:rsidRPr="00CA3BD1">
              <w:rPr>
                <w:rFonts w:ascii="Times New Roman" w:hAnsi="Times New Roman" w:cs="Times New Roman"/>
                <w:b/>
                <w:bCs/>
              </w:rPr>
              <w:t xml:space="preserve">y: </w:t>
            </w:r>
          </w:p>
          <w:p w14:paraId="6E36465B" w14:textId="77777777" w:rsidR="00FB3C0B" w:rsidRPr="00CA3BD1" w:rsidRDefault="00FB3C0B" w:rsidP="00B063B2">
            <w:pPr>
              <w:rPr>
                <w:rFonts w:ascii="Times New Roman" w:hAnsi="Times New Roman" w:cs="Times New Roman"/>
              </w:rPr>
            </w:pPr>
          </w:p>
        </w:tc>
        <w:tc>
          <w:tcPr>
            <w:tcW w:w="4675" w:type="dxa"/>
          </w:tcPr>
          <w:p w14:paraId="33360AAB" w14:textId="77777777" w:rsidR="00FB3C0B" w:rsidRPr="00CA3BD1" w:rsidRDefault="00FB3C0B" w:rsidP="00B063B2">
            <w:pPr>
              <w:spacing w:after="160" w:line="259" w:lineRule="auto"/>
              <w:rPr>
                <w:rFonts w:ascii="Times New Roman" w:hAnsi="Times New Roman" w:cs="Times New Roman"/>
              </w:rPr>
            </w:pPr>
          </w:p>
        </w:tc>
      </w:tr>
      <w:tr w:rsidR="00FB3C0B" w:rsidRPr="00CA3BD1" w14:paraId="5D1AFBA2" w14:textId="77777777" w:rsidTr="00B063B2">
        <w:tc>
          <w:tcPr>
            <w:tcW w:w="4675" w:type="dxa"/>
          </w:tcPr>
          <w:p w14:paraId="3DD20AF9" w14:textId="3D54ECD1" w:rsidR="00FB3C0B" w:rsidRDefault="00FB3C0B" w:rsidP="00B063B2">
            <w:pPr>
              <w:spacing w:after="160" w:line="259" w:lineRule="auto"/>
              <w:rPr>
                <w:rFonts w:ascii="Times New Roman" w:hAnsi="Times New Roman" w:cs="Times New Roman"/>
                <w:b/>
                <w:bCs/>
              </w:rPr>
            </w:pPr>
            <w:r w:rsidRPr="00CA3BD1">
              <w:rPr>
                <w:rFonts w:ascii="Times New Roman" w:hAnsi="Times New Roman" w:cs="Times New Roman"/>
                <w:b/>
                <w:bCs/>
              </w:rPr>
              <w:t>Effective:</w:t>
            </w:r>
          </w:p>
          <w:p w14:paraId="3DFBC1F5" w14:textId="77777777" w:rsidR="00FB3C0B" w:rsidRPr="00CA3BD1" w:rsidRDefault="00FB3C0B" w:rsidP="00B063B2">
            <w:pPr>
              <w:rPr>
                <w:rFonts w:ascii="Times New Roman" w:hAnsi="Times New Roman" w:cs="Times New Roman"/>
                <w:b/>
                <w:bCs/>
              </w:rPr>
            </w:pPr>
          </w:p>
        </w:tc>
        <w:tc>
          <w:tcPr>
            <w:tcW w:w="4675" w:type="dxa"/>
          </w:tcPr>
          <w:p w14:paraId="7E4CA320" w14:textId="6DB0DE0E" w:rsidR="00FB3C0B" w:rsidRPr="00FB3C0B" w:rsidRDefault="00FB3C0B" w:rsidP="00B063B2">
            <w:pPr>
              <w:rPr>
                <w:rFonts w:ascii="Times New Roman" w:hAnsi="Times New Roman" w:cs="Times New Roman"/>
              </w:rPr>
            </w:pPr>
            <w:r>
              <w:rPr>
                <w:rFonts w:ascii="Times New Roman" w:hAnsi="Times New Roman" w:cs="Times New Roman"/>
                <w:b/>
                <w:bCs/>
              </w:rPr>
              <w:t>Reviewed/</w:t>
            </w:r>
            <w:r w:rsidRPr="00CA3BD1">
              <w:rPr>
                <w:rFonts w:ascii="Times New Roman" w:hAnsi="Times New Roman" w:cs="Times New Roman"/>
                <w:b/>
                <w:bCs/>
              </w:rPr>
              <w:t>Revised</w:t>
            </w:r>
            <w:r>
              <w:rPr>
                <w:rFonts w:ascii="Times New Roman" w:hAnsi="Times New Roman" w:cs="Times New Roman"/>
                <w:b/>
                <w:bCs/>
              </w:rPr>
              <w:t xml:space="preserve">: </w:t>
            </w:r>
            <w:r>
              <w:rPr>
                <w:rFonts w:ascii="Times New Roman" w:hAnsi="Times New Roman" w:cs="Times New Roman"/>
              </w:rPr>
              <w:t>1/10</w:t>
            </w:r>
            <w:r w:rsidR="003C33FB">
              <w:rPr>
                <w:rFonts w:ascii="Times New Roman" w:hAnsi="Times New Roman" w:cs="Times New Roman"/>
              </w:rPr>
              <w:t>/2025</w:t>
            </w:r>
          </w:p>
        </w:tc>
      </w:tr>
    </w:tbl>
    <w:p w14:paraId="322E40A0" w14:textId="77777777" w:rsidR="0072132C" w:rsidRDefault="0072132C"/>
    <w:p w14:paraId="41865878" w14:textId="74CF7B0B" w:rsidR="003C33FB" w:rsidRPr="00320A16" w:rsidRDefault="0029250D" w:rsidP="00320A16">
      <w:pPr>
        <w:spacing w:after="0"/>
        <w:rPr>
          <w:b/>
          <w:bCs/>
        </w:rPr>
      </w:pPr>
      <w:r w:rsidRPr="00320A16">
        <w:rPr>
          <w:b/>
          <w:bCs/>
        </w:rPr>
        <w:t>POLICY STATEMENT</w:t>
      </w:r>
    </w:p>
    <w:p w14:paraId="431AF5CC" w14:textId="0567E12F" w:rsidR="0029250D" w:rsidRDefault="00F071EC" w:rsidP="00320A16">
      <w:pPr>
        <w:spacing w:after="0"/>
      </w:pPr>
      <w:r w:rsidRPr="00C03EA1">
        <w:t xml:space="preserve">It is the policy of the facility to prevent, identify, report, investigate, and control the spread of </w:t>
      </w:r>
      <w:r w:rsidR="007C1A3B" w:rsidRPr="00C03EA1">
        <w:t xml:space="preserve">Norovirus. The facility will utilize </w:t>
      </w:r>
      <w:r w:rsidRPr="00C03EA1">
        <w:t>State and Federal Regulations as well as national guidelines</w:t>
      </w:r>
      <w:r w:rsidR="00565E8E" w:rsidRPr="00C03EA1">
        <w:t xml:space="preserve"> to </w:t>
      </w:r>
      <w:r w:rsidR="00CB7E93" w:rsidRPr="00C03EA1">
        <w:t>prevent the spread and meet reporting requirements.</w:t>
      </w:r>
      <w:r w:rsidR="00CB7E93">
        <w:t xml:space="preserve"> </w:t>
      </w:r>
    </w:p>
    <w:p w14:paraId="3B97E2DB" w14:textId="77777777" w:rsidR="001B654D" w:rsidRPr="00E9367E" w:rsidRDefault="001B654D">
      <w:pPr>
        <w:rPr>
          <w:b/>
          <w:bCs/>
        </w:rPr>
      </w:pPr>
    </w:p>
    <w:p w14:paraId="738855E0" w14:textId="07484F0D" w:rsidR="00320A16" w:rsidRPr="00E9367E" w:rsidRDefault="00320A16" w:rsidP="00E9367E">
      <w:pPr>
        <w:spacing w:after="0"/>
        <w:rPr>
          <w:b/>
          <w:bCs/>
        </w:rPr>
      </w:pPr>
      <w:r w:rsidRPr="00E9367E">
        <w:rPr>
          <w:b/>
          <w:bCs/>
        </w:rPr>
        <w:t>BACKGROUND</w:t>
      </w:r>
    </w:p>
    <w:p w14:paraId="151CB69C" w14:textId="082E3308" w:rsidR="00742BD7" w:rsidRDefault="004F0458" w:rsidP="00E9367E">
      <w:pPr>
        <w:spacing w:after="0"/>
      </w:pPr>
      <w:r>
        <w:t xml:space="preserve">Norovirus is </w:t>
      </w:r>
      <w:r w:rsidR="00ED40AD">
        <w:t>a</w:t>
      </w:r>
      <w:r w:rsidR="004755B4">
        <w:t xml:space="preserve"> </w:t>
      </w:r>
      <w:r w:rsidR="00ED40AD">
        <w:t xml:space="preserve">contagious virus that causes acute gastroenteritis </w:t>
      </w:r>
      <w:r w:rsidR="00E9367E">
        <w:t xml:space="preserve">(an inflammation of the stomach or intestines), resulting in </w:t>
      </w:r>
      <w:r w:rsidR="004F7DFD">
        <w:t xml:space="preserve">stomach pain, </w:t>
      </w:r>
      <w:r w:rsidR="00E9367E">
        <w:t xml:space="preserve">vomiting and diarrhea. </w:t>
      </w:r>
      <w:r w:rsidR="00886842">
        <w:t>People of all ages can get infected and sick with Norovirus</w:t>
      </w:r>
      <w:r w:rsidR="003159FB">
        <w:t xml:space="preserve"> and most get better within 1-3 days of illness. </w:t>
      </w:r>
      <w:r w:rsidR="00094DDF">
        <w:t xml:space="preserve">Symptoms usually develop 12 – </w:t>
      </w:r>
      <w:r w:rsidR="00EE68DA">
        <w:t xml:space="preserve">48 </w:t>
      </w:r>
      <w:r w:rsidR="00094DDF">
        <w:t xml:space="preserve">hours after being exposed to </w:t>
      </w:r>
      <w:r w:rsidR="00FC2746">
        <w:t xml:space="preserve">virus. Norovirus can spread </w:t>
      </w:r>
      <w:r w:rsidR="00F72BF3">
        <w:t>through</w:t>
      </w:r>
      <w:r w:rsidR="00D27267">
        <w:t xml:space="preserve"> contaminated food</w:t>
      </w:r>
      <w:r w:rsidR="004552C2">
        <w:t>, water, or surfaces by having</w:t>
      </w:r>
      <w:r w:rsidR="00F72BF3">
        <w:t xml:space="preserve"> </w:t>
      </w:r>
      <w:r w:rsidR="00F72BF3" w:rsidRPr="00D0522B">
        <w:rPr>
          <w:b/>
          <w:bCs/>
        </w:rPr>
        <w:t>direct contact</w:t>
      </w:r>
      <w:r w:rsidR="00F72BF3">
        <w:t xml:space="preserve"> with someone with the illness</w:t>
      </w:r>
      <w:r w:rsidR="00D0522B">
        <w:t xml:space="preserve"> (sharing food or eating utensils with them or eating food handled by them), </w:t>
      </w:r>
      <w:r w:rsidR="00660CC3">
        <w:t xml:space="preserve">eating </w:t>
      </w:r>
      <w:r w:rsidR="00660CC3" w:rsidRPr="004552C2">
        <w:rPr>
          <w:b/>
          <w:bCs/>
        </w:rPr>
        <w:t>food</w:t>
      </w:r>
      <w:r w:rsidR="00660CC3">
        <w:t xml:space="preserve"> or drinking </w:t>
      </w:r>
      <w:r w:rsidR="00660CC3" w:rsidRPr="004552C2">
        <w:rPr>
          <w:b/>
          <w:bCs/>
        </w:rPr>
        <w:t>liquids</w:t>
      </w:r>
      <w:r w:rsidR="00660CC3">
        <w:t xml:space="preserve"> that are contaminated with norovirus, or by touching </w:t>
      </w:r>
      <w:r w:rsidR="00660CC3" w:rsidRPr="004552C2">
        <w:rPr>
          <w:b/>
          <w:bCs/>
        </w:rPr>
        <w:t>contaminated objects or surfaces</w:t>
      </w:r>
      <w:r w:rsidR="00F008FA">
        <w:t xml:space="preserve"> and then putting your unwashed finger/hands in your mouth.  </w:t>
      </w:r>
    </w:p>
    <w:p w14:paraId="6404B289" w14:textId="77777777" w:rsidR="009516CC" w:rsidRDefault="009516CC" w:rsidP="00E9367E">
      <w:pPr>
        <w:spacing w:after="0"/>
      </w:pPr>
    </w:p>
    <w:p w14:paraId="6AEC70FA" w14:textId="5A3F6D57" w:rsidR="008312DE" w:rsidRPr="008312DE" w:rsidRDefault="008312DE" w:rsidP="00E9367E">
      <w:pPr>
        <w:spacing w:after="0"/>
        <w:rPr>
          <w:b/>
          <w:bCs/>
        </w:rPr>
      </w:pPr>
      <w:r w:rsidRPr="008312DE">
        <w:rPr>
          <w:b/>
          <w:bCs/>
        </w:rPr>
        <w:t>DEFINITION</w:t>
      </w:r>
    </w:p>
    <w:p w14:paraId="4EBC04BB" w14:textId="7742BF56" w:rsidR="008312DE" w:rsidRDefault="008312DE" w:rsidP="00E9367E">
      <w:pPr>
        <w:spacing w:after="0"/>
      </w:pPr>
      <w:r>
        <w:rPr>
          <w:b/>
          <w:bCs/>
        </w:rPr>
        <w:t>N</w:t>
      </w:r>
      <w:r w:rsidRPr="007720C2">
        <w:rPr>
          <w:b/>
          <w:bCs/>
        </w:rPr>
        <w:t>orovirus outbreak</w:t>
      </w:r>
      <w:r>
        <w:t xml:space="preserve"> - 2 or more</w:t>
      </w:r>
      <w:r w:rsidRPr="007720C2">
        <w:t xml:space="preserve"> similar illnesses resulting from a common exposure that is either suspected or laboratory-confirmed to be caused by norovirus</w:t>
      </w:r>
      <w:r>
        <w:t>.</w:t>
      </w:r>
    </w:p>
    <w:p w14:paraId="24CA12DF" w14:textId="77777777" w:rsidR="008312DE" w:rsidRDefault="008312DE" w:rsidP="00E9367E">
      <w:pPr>
        <w:spacing w:after="0"/>
      </w:pPr>
    </w:p>
    <w:p w14:paraId="3BB803D2" w14:textId="67CCA937" w:rsidR="009516CC" w:rsidRPr="00953BCD" w:rsidRDefault="00953BCD" w:rsidP="00E9367E">
      <w:pPr>
        <w:spacing w:after="0"/>
        <w:rPr>
          <w:b/>
          <w:bCs/>
        </w:rPr>
      </w:pPr>
      <w:r w:rsidRPr="00953BCD">
        <w:rPr>
          <w:b/>
          <w:bCs/>
        </w:rPr>
        <w:t>PROCEDURE</w:t>
      </w:r>
    </w:p>
    <w:p w14:paraId="475E404A" w14:textId="22352165" w:rsidR="00953BCD" w:rsidRDefault="000C01F3" w:rsidP="00953BCD">
      <w:pPr>
        <w:pStyle w:val="ListParagraph"/>
        <w:numPr>
          <w:ilvl w:val="0"/>
          <w:numId w:val="1"/>
        </w:numPr>
        <w:spacing w:after="0"/>
      </w:pPr>
      <w:r>
        <w:t xml:space="preserve">Residents </w:t>
      </w:r>
      <w:r w:rsidR="00B31EB4">
        <w:t xml:space="preserve">suspected or confirmed </w:t>
      </w:r>
      <w:r w:rsidR="00004526">
        <w:t xml:space="preserve">with </w:t>
      </w:r>
      <w:r w:rsidR="00016F39">
        <w:t>n</w:t>
      </w:r>
      <w:r w:rsidR="00004526">
        <w:t xml:space="preserve">orovirus will be placed in a </w:t>
      </w:r>
      <w:r w:rsidR="00004526" w:rsidRPr="00EC5039">
        <w:rPr>
          <w:b/>
          <w:bCs/>
        </w:rPr>
        <w:t>single room</w:t>
      </w:r>
      <w:r w:rsidR="00016F39">
        <w:t>.</w:t>
      </w:r>
      <w:r w:rsidR="00902264">
        <w:t xml:space="preserve"> </w:t>
      </w:r>
    </w:p>
    <w:p w14:paraId="2483D396" w14:textId="008DADD2" w:rsidR="00C70274" w:rsidRDefault="00C70274" w:rsidP="00C70274">
      <w:pPr>
        <w:pStyle w:val="ListParagraph"/>
        <w:numPr>
          <w:ilvl w:val="1"/>
          <w:numId w:val="1"/>
        </w:numPr>
        <w:spacing w:after="0"/>
      </w:pPr>
      <w:r>
        <w:t>If a single room is not available</w:t>
      </w:r>
      <w:r w:rsidR="008F6B02">
        <w:t>, every effort will be made to separate</w:t>
      </w:r>
      <w:r w:rsidR="00016F39">
        <w:t xml:space="preserve"> symptomatic</w:t>
      </w:r>
      <w:r w:rsidR="008F6B02">
        <w:t xml:space="preserve"> </w:t>
      </w:r>
      <w:proofErr w:type="gramStart"/>
      <w:r w:rsidR="008F6B02">
        <w:t>resident</w:t>
      </w:r>
      <w:proofErr w:type="gramEnd"/>
      <w:r w:rsidR="00016F39">
        <w:t>(s)</w:t>
      </w:r>
      <w:r w:rsidR="008F6B02">
        <w:t xml:space="preserve"> from asymptomatic residents.</w:t>
      </w:r>
    </w:p>
    <w:p w14:paraId="58838F5C" w14:textId="6513118E" w:rsidR="00004526" w:rsidRDefault="00D54560" w:rsidP="00953BCD">
      <w:pPr>
        <w:pStyle w:val="ListParagraph"/>
        <w:numPr>
          <w:ilvl w:val="0"/>
          <w:numId w:val="1"/>
        </w:numPr>
        <w:spacing w:after="0"/>
      </w:pPr>
      <w:r>
        <w:t xml:space="preserve">Initiate </w:t>
      </w:r>
      <w:r w:rsidRPr="00CA1462">
        <w:rPr>
          <w:b/>
          <w:bCs/>
        </w:rPr>
        <w:t>contact precautions</w:t>
      </w:r>
      <w:r>
        <w:t xml:space="preserve"> for </w:t>
      </w:r>
      <w:r w:rsidR="00016F39">
        <w:t xml:space="preserve">residents suspected or confirmed with norovirus </w:t>
      </w:r>
      <w:r w:rsidR="00CA1462">
        <w:t xml:space="preserve">for a minimum of </w:t>
      </w:r>
      <w:r w:rsidR="00CA1462" w:rsidRPr="00CA1462">
        <w:rPr>
          <w:b/>
          <w:bCs/>
        </w:rPr>
        <w:t>48 hours after the resolution of symptoms</w:t>
      </w:r>
      <w:r w:rsidR="00CA1462">
        <w:t xml:space="preserve">. </w:t>
      </w:r>
    </w:p>
    <w:p w14:paraId="2EC1E553" w14:textId="0B9C3831" w:rsidR="00F874DF" w:rsidRDefault="00F874DF" w:rsidP="00F874DF">
      <w:pPr>
        <w:pStyle w:val="ListParagraph"/>
        <w:numPr>
          <w:ilvl w:val="0"/>
          <w:numId w:val="1"/>
        </w:numPr>
        <w:spacing w:after="0"/>
      </w:pPr>
      <w:r>
        <w:t>Stool sample specimen will be collected and sent to the lab for testing per physician order.</w:t>
      </w:r>
    </w:p>
    <w:p w14:paraId="625FB618" w14:textId="61414023" w:rsidR="004E5040" w:rsidRDefault="004E5040" w:rsidP="00953BCD">
      <w:pPr>
        <w:pStyle w:val="ListParagraph"/>
        <w:numPr>
          <w:ilvl w:val="0"/>
          <w:numId w:val="1"/>
        </w:numPr>
        <w:spacing w:after="0"/>
      </w:pPr>
      <w:r>
        <w:t xml:space="preserve">Signage for </w:t>
      </w:r>
      <w:r w:rsidR="00A90EE2">
        <w:t xml:space="preserve">contact precautions will be placed on room door and isolation cart containing personal protective equipment (PPE) will be placed in close proximity to </w:t>
      </w:r>
      <w:r w:rsidR="001C21CE">
        <w:t xml:space="preserve">affected resident’s room. </w:t>
      </w:r>
    </w:p>
    <w:p w14:paraId="556C2667" w14:textId="6EAA07F4" w:rsidR="00E07357" w:rsidRDefault="00E07357" w:rsidP="00953BCD">
      <w:pPr>
        <w:pStyle w:val="ListParagraph"/>
        <w:numPr>
          <w:ilvl w:val="0"/>
          <w:numId w:val="1"/>
        </w:numPr>
        <w:spacing w:after="0"/>
      </w:pPr>
      <w:r>
        <w:t>Symptomatic and recovering residents</w:t>
      </w:r>
      <w:r w:rsidR="00943A36">
        <w:t xml:space="preserve"> will be restricted from leaving the resident care area unless it is for essential care or </w:t>
      </w:r>
      <w:r w:rsidR="00F874DF">
        <w:t>treatment.</w:t>
      </w:r>
    </w:p>
    <w:p w14:paraId="00D6F722" w14:textId="3306B4A7" w:rsidR="00BD6106" w:rsidRDefault="00BD6106" w:rsidP="00953BCD">
      <w:pPr>
        <w:pStyle w:val="ListParagraph"/>
        <w:numPr>
          <w:ilvl w:val="0"/>
          <w:numId w:val="1"/>
        </w:numPr>
        <w:spacing w:after="0"/>
      </w:pPr>
      <w:r>
        <w:lastRenderedPageBreak/>
        <w:t>Group activities (e.g., communal dining and recreation activities) may be suspended on affected unit(s)</w:t>
      </w:r>
      <w:r w:rsidR="00142352">
        <w:t xml:space="preserve"> for the duration of the outbreak. </w:t>
      </w:r>
    </w:p>
    <w:p w14:paraId="0B541313" w14:textId="1045AA4C" w:rsidR="00E4785C" w:rsidRPr="00C05DA2" w:rsidRDefault="00E4785C" w:rsidP="00E4785C">
      <w:pPr>
        <w:pStyle w:val="ListParagraph"/>
        <w:numPr>
          <w:ilvl w:val="0"/>
          <w:numId w:val="1"/>
        </w:numPr>
      </w:pPr>
      <w:r w:rsidRPr="00C05DA2">
        <w:t xml:space="preserve">The facility will make every attempt to promote consistent staff and staff assignment when there is suspected or confirmed </w:t>
      </w:r>
      <w:r w:rsidR="00C05DA2" w:rsidRPr="00C05DA2">
        <w:t>norovirus</w:t>
      </w:r>
      <w:r w:rsidRPr="00C05DA2">
        <w:t xml:space="preserve"> disease outbreak. </w:t>
      </w:r>
    </w:p>
    <w:p w14:paraId="336C7A33" w14:textId="77777777" w:rsidR="00E4785C" w:rsidRPr="00C05DA2" w:rsidRDefault="00E4785C" w:rsidP="00E4785C">
      <w:pPr>
        <w:pStyle w:val="ListParagraph"/>
        <w:numPr>
          <w:ilvl w:val="1"/>
          <w:numId w:val="1"/>
        </w:numPr>
        <w:spacing w:line="256" w:lineRule="auto"/>
      </w:pPr>
      <w:r w:rsidRPr="00C05DA2">
        <w:t xml:space="preserve">To the extent possible, staff working on affected unit(s) will not be assigned to other units during the outbreak of an infectious communicable disease. </w:t>
      </w:r>
    </w:p>
    <w:p w14:paraId="5730EF2A" w14:textId="58D412B3" w:rsidR="00E4785C" w:rsidRDefault="00E4785C" w:rsidP="007137A6">
      <w:pPr>
        <w:pStyle w:val="ListParagraph"/>
        <w:numPr>
          <w:ilvl w:val="1"/>
          <w:numId w:val="1"/>
        </w:numPr>
        <w:spacing w:after="0" w:line="256" w:lineRule="auto"/>
      </w:pPr>
      <w:r w:rsidRPr="00C05DA2">
        <w:t xml:space="preserve">Clinical and other staff who have direct resident contact will be limited to specific areas of the facility and not rotating staff between various areas of the facility during the period they are working each day during periods of recognized outbreaks. </w:t>
      </w:r>
    </w:p>
    <w:p w14:paraId="222AFF08" w14:textId="14F2B93F" w:rsidR="004755B4" w:rsidRPr="00C03EA1" w:rsidRDefault="004755B4" w:rsidP="004755B4">
      <w:pPr>
        <w:pStyle w:val="ListParagraph"/>
        <w:numPr>
          <w:ilvl w:val="0"/>
          <w:numId w:val="1"/>
        </w:numPr>
        <w:spacing w:after="0" w:line="256" w:lineRule="auto"/>
      </w:pPr>
      <w:r w:rsidRPr="00C03EA1">
        <w:t>The Infection Preventionist (IP)/Designee will maintain a list of all residents suspected or confirmed with norovirus.</w:t>
      </w:r>
    </w:p>
    <w:p w14:paraId="69DC5CFA" w14:textId="4735D27E" w:rsidR="004755B4" w:rsidRPr="00C03EA1" w:rsidRDefault="004755B4" w:rsidP="004755B4">
      <w:pPr>
        <w:pStyle w:val="ListParagraph"/>
        <w:numPr>
          <w:ilvl w:val="0"/>
          <w:numId w:val="1"/>
        </w:numPr>
        <w:spacing w:after="0" w:line="256" w:lineRule="auto"/>
      </w:pPr>
      <w:r w:rsidRPr="00C03EA1">
        <w:t>The I</w:t>
      </w:r>
      <w:r w:rsidR="00186F9E" w:rsidRPr="00C03EA1">
        <w:t>P</w:t>
      </w:r>
      <w:r w:rsidRPr="00C03EA1">
        <w:t xml:space="preserve">/Designee will </w:t>
      </w:r>
      <w:r w:rsidR="00186F9E" w:rsidRPr="00C03EA1">
        <w:t xml:space="preserve">inform the NYS Dept of Health by submitting a NORA Report via the Health Commerce System (HCS). </w:t>
      </w:r>
    </w:p>
    <w:p w14:paraId="23E681C6" w14:textId="67734A8B" w:rsidR="004E5040" w:rsidRDefault="00C4329E" w:rsidP="00953BCD">
      <w:pPr>
        <w:pStyle w:val="ListParagraph"/>
        <w:numPr>
          <w:ilvl w:val="0"/>
          <w:numId w:val="1"/>
        </w:numPr>
        <w:spacing w:after="0"/>
      </w:pPr>
      <w:r w:rsidRPr="00C03EA1">
        <w:t xml:space="preserve">During outbreaks, staff will </w:t>
      </w:r>
      <w:r w:rsidRPr="00C03EA1">
        <w:rPr>
          <w:b/>
          <w:bCs/>
        </w:rPr>
        <w:t>use soap and water</w:t>
      </w:r>
      <w:r w:rsidRPr="009F405C">
        <w:rPr>
          <w:b/>
          <w:bCs/>
        </w:rPr>
        <w:t xml:space="preserve"> for hand hygiene</w:t>
      </w:r>
      <w:r>
        <w:t xml:space="preserve"> after providing care or having contact </w:t>
      </w:r>
      <w:r w:rsidR="009F405C">
        <w:t>with residents suspected or confirmed with norovirus infection/illness.</w:t>
      </w:r>
    </w:p>
    <w:p w14:paraId="0675E0B5" w14:textId="723F37C6" w:rsidR="009F405C" w:rsidRDefault="00782E19" w:rsidP="00953BCD">
      <w:pPr>
        <w:pStyle w:val="ListParagraph"/>
        <w:numPr>
          <w:ilvl w:val="0"/>
          <w:numId w:val="1"/>
        </w:numPr>
        <w:spacing w:after="0"/>
      </w:pPr>
      <w:r>
        <w:t>Disposable or d</w:t>
      </w:r>
      <w:r w:rsidR="005D089E">
        <w:t xml:space="preserve">edicated </w:t>
      </w:r>
      <w:r w:rsidR="00581776">
        <w:t xml:space="preserve">medical equipment will be utilized for residents suspected or confirmed </w:t>
      </w:r>
      <w:r w:rsidR="00EB1813">
        <w:t xml:space="preserve">with </w:t>
      </w:r>
      <w:r w:rsidR="00581776">
        <w:t xml:space="preserve">norovirus. </w:t>
      </w:r>
    </w:p>
    <w:p w14:paraId="57D4EF29" w14:textId="3E95BF43" w:rsidR="00581776" w:rsidRDefault="00581776" w:rsidP="00581776">
      <w:pPr>
        <w:pStyle w:val="ListParagraph"/>
        <w:numPr>
          <w:ilvl w:val="1"/>
          <w:numId w:val="1"/>
        </w:numPr>
        <w:spacing w:after="0"/>
      </w:pPr>
      <w:r>
        <w:t xml:space="preserve">If medical equipment is shared, clean </w:t>
      </w:r>
      <w:r w:rsidR="00777DC9">
        <w:t>and disinfect with an EPA-registered di</w:t>
      </w:r>
      <w:r w:rsidR="008240E2">
        <w:t>sinfectant with a kill claim against norovirus (List G).</w:t>
      </w:r>
    </w:p>
    <w:p w14:paraId="49B2F12E" w14:textId="77C4E9AE" w:rsidR="00581776" w:rsidRDefault="00A90014" w:rsidP="004F7B48">
      <w:pPr>
        <w:pStyle w:val="ListParagraph"/>
        <w:numPr>
          <w:ilvl w:val="0"/>
          <w:numId w:val="1"/>
        </w:numPr>
        <w:spacing w:after="0"/>
      </w:pPr>
      <w:r>
        <w:t xml:space="preserve">EVS </w:t>
      </w:r>
      <w:r w:rsidR="00D36478">
        <w:t xml:space="preserve">staff will </w:t>
      </w:r>
      <w:r w:rsidR="000858E6">
        <w:t xml:space="preserve">conduct routine cleaning and disinfection as well as </w:t>
      </w:r>
      <w:r w:rsidR="000858E6" w:rsidRPr="00EC5039">
        <w:rPr>
          <w:b/>
          <w:bCs/>
        </w:rPr>
        <w:t>increased cleaning and disinfection</w:t>
      </w:r>
      <w:r w:rsidR="000858E6">
        <w:t xml:space="preserve"> of frequently high touched </w:t>
      </w:r>
      <w:r w:rsidR="00EC5039">
        <w:t xml:space="preserve">environmental surfaces </w:t>
      </w:r>
      <w:r w:rsidR="000F168D">
        <w:t>(</w:t>
      </w:r>
      <w:r w:rsidR="008279CA">
        <w:t xml:space="preserve">e.g., </w:t>
      </w:r>
      <w:r w:rsidR="000F168D">
        <w:t xml:space="preserve">commodes, toilets, faucets, bed rail, </w:t>
      </w:r>
      <w:r w:rsidR="00414A1F">
        <w:t xml:space="preserve">overbed tables, </w:t>
      </w:r>
      <w:r w:rsidR="000F168D">
        <w:t>remotes</w:t>
      </w:r>
      <w:r w:rsidR="00191645">
        <w:t>, door handles/knobs, handrails, elevator keypads</w:t>
      </w:r>
      <w:r w:rsidR="008279CA">
        <w:t>, etc.).</w:t>
      </w:r>
      <w:r w:rsidR="00191645">
        <w:t xml:space="preserve"> </w:t>
      </w:r>
    </w:p>
    <w:p w14:paraId="24860956" w14:textId="4517ADC7" w:rsidR="00320A16" w:rsidRDefault="00384F51" w:rsidP="006D2D83">
      <w:pPr>
        <w:pStyle w:val="ListParagraph"/>
        <w:numPr>
          <w:ilvl w:val="0"/>
          <w:numId w:val="1"/>
        </w:numPr>
        <w:spacing w:after="0"/>
      </w:pPr>
      <w:r>
        <w:t xml:space="preserve">Handle soiled linens </w:t>
      </w:r>
      <w:r w:rsidR="00696AC3">
        <w:t xml:space="preserve">carefully, without agitating them, to avoid dispersal of the virus. </w:t>
      </w:r>
      <w:r w:rsidR="00024DB7">
        <w:t>Use standard precautions, including appropriate use of PPE (e.g., gown and glo</w:t>
      </w:r>
      <w:r w:rsidR="006D2D83">
        <w:t>ves) to minimize the likelihood of cross-contamination.</w:t>
      </w:r>
    </w:p>
    <w:p w14:paraId="0DE43CE9" w14:textId="545FD789" w:rsidR="00431B96" w:rsidRDefault="00431B96" w:rsidP="006D2D83">
      <w:pPr>
        <w:pStyle w:val="ListParagraph"/>
        <w:numPr>
          <w:ilvl w:val="0"/>
          <w:numId w:val="1"/>
        </w:numPr>
        <w:spacing w:after="0"/>
      </w:pPr>
      <w:r>
        <w:t>Visitors will be encouraged to defer non-essential visits</w:t>
      </w:r>
      <w:r w:rsidR="002A7737">
        <w:t xml:space="preserve"> to affected units </w:t>
      </w:r>
      <w:r w:rsidR="008B6E9E">
        <w:t xml:space="preserve">until resolution of the outbreak. </w:t>
      </w:r>
      <w:r w:rsidR="007137A6">
        <w:t xml:space="preserve">Should visitation occur, visitors will be encouraged to perform hand hygiene with soap and water </w:t>
      </w:r>
      <w:r w:rsidR="000565B9">
        <w:t xml:space="preserve">before entering and prior to leaving residents’ rooms and to utilize </w:t>
      </w:r>
      <w:r w:rsidR="00D27479">
        <w:t xml:space="preserve">appropriate PPE as indicated on contact precaution signage. </w:t>
      </w:r>
    </w:p>
    <w:p w14:paraId="1AE90C5B" w14:textId="459F7EE7" w:rsidR="006D2D83" w:rsidRDefault="00DB65EE" w:rsidP="006D2D83">
      <w:pPr>
        <w:pStyle w:val="ListParagraph"/>
        <w:numPr>
          <w:ilvl w:val="0"/>
          <w:numId w:val="1"/>
        </w:numPr>
        <w:spacing w:after="0"/>
      </w:pPr>
      <w:r>
        <w:t xml:space="preserve">Healthcare personnel who have symptoms consistent with </w:t>
      </w:r>
      <w:r w:rsidR="00761DC1">
        <w:t>norovirus infection will adhere to sick leave policies.</w:t>
      </w:r>
    </w:p>
    <w:p w14:paraId="7329CEF5" w14:textId="059E85F2" w:rsidR="00761DC1" w:rsidRPr="00AB1D6E" w:rsidRDefault="00761DC1" w:rsidP="00CC63F5">
      <w:pPr>
        <w:pStyle w:val="ListParagraph"/>
        <w:numPr>
          <w:ilvl w:val="1"/>
          <w:numId w:val="1"/>
        </w:numPr>
        <w:spacing w:after="0"/>
      </w:pPr>
      <w:proofErr w:type="gramStart"/>
      <w:r>
        <w:t>Ill</w:t>
      </w:r>
      <w:proofErr w:type="gramEnd"/>
      <w:r>
        <w:t xml:space="preserve"> personnel will be excluded from work</w:t>
      </w:r>
      <w:r w:rsidR="001C2537">
        <w:t xml:space="preserve"> for a minimum of 48 hours after the resolution of symptoms</w:t>
      </w:r>
      <w:r w:rsidR="00431B96">
        <w:t>.</w:t>
      </w:r>
    </w:p>
    <w:p w14:paraId="01806A19" w14:textId="77777777" w:rsidR="006D2D83" w:rsidRDefault="006D2D83">
      <w:pPr>
        <w:rPr>
          <w:b/>
          <w:bCs/>
        </w:rPr>
      </w:pPr>
    </w:p>
    <w:p w14:paraId="72C0E7C2" w14:textId="77777777" w:rsidR="006D2D83" w:rsidRDefault="006D2D83">
      <w:pPr>
        <w:rPr>
          <w:b/>
          <w:bCs/>
        </w:rPr>
      </w:pPr>
    </w:p>
    <w:p w14:paraId="6C3FC11F" w14:textId="77777777" w:rsidR="00CC63F5" w:rsidRDefault="00CC63F5">
      <w:pPr>
        <w:rPr>
          <w:b/>
          <w:bCs/>
        </w:rPr>
      </w:pPr>
    </w:p>
    <w:p w14:paraId="33DFDDF4" w14:textId="77777777" w:rsidR="00186F9E" w:rsidRDefault="00186F9E">
      <w:pPr>
        <w:rPr>
          <w:b/>
          <w:bCs/>
        </w:rPr>
      </w:pPr>
    </w:p>
    <w:p w14:paraId="570316C7" w14:textId="426EE8A5" w:rsidR="00335C22" w:rsidRDefault="001B654D">
      <w:r w:rsidRPr="00AB1D6E">
        <w:rPr>
          <w:b/>
          <w:bCs/>
        </w:rPr>
        <w:lastRenderedPageBreak/>
        <w:t>References</w:t>
      </w:r>
      <w:r w:rsidRPr="00AB1D6E">
        <w:t>:</w:t>
      </w:r>
    </w:p>
    <w:p w14:paraId="24213ABB" w14:textId="3BCA3293" w:rsidR="002367F9" w:rsidRDefault="002367F9">
      <w:r w:rsidRPr="00AB1D6E">
        <w:t xml:space="preserve">CDC (4/24/2024). </w:t>
      </w:r>
      <w:hyperlink r:id="rId7" w:history="1">
        <w:r w:rsidR="00CC33EA" w:rsidRPr="00AB1D6E">
          <w:rPr>
            <w:rStyle w:val="Hyperlink"/>
          </w:rPr>
          <w:t>About Norovirus | Norovirus | CDC</w:t>
        </w:r>
      </w:hyperlink>
    </w:p>
    <w:p w14:paraId="171724FF" w14:textId="32EDAD87" w:rsidR="00335C22" w:rsidRPr="00AB1D6E" w:rsidRDefault="00335C22">
      <w:r>
        <w:t xml:space="preserve">CDC (1/2/2025). </w:t>
      </w:r>
      <w:hyperlink r:id="rId8" w:history="1">
        <w:r w:rsidRPr="00335C22">
          <w:rPr>
            <w:rStyle w:val="Hyperlink"/>
          </w:rPr>
          <w:t>Norovirus Outbreaks | Norovirus | CDC</w:t>
        </w:r>
      </w:hyperlink>
    </w:p>
    <w:p w14:paraId="1A6D65C9" w14:textId="79AC604C" w:rsidR="001B654D" w:rsidRDefault="001B654D" w:rsidP="00AB1D6E">
      <w:pPr>
        <w:ind w:left="720" w:hanging="720"/>
      </w:pPr>
      <w:r w:rsidRPr="00AB1D6E">
        <w:t>CDC</w:t>
      </w:r>
      <w:r w:rsidR="00AB1D6E" w:rsidRPr="00AB1D6E">
        <w:t xml:space="preserve"> (4/12/2024).</w:t>
      </w:r>
      <w:r w:rsidRPr="00AB1D6E">
        <w:t xml:space="preserve"> </w:t>
      </w:r>
      <w:hyperlink r:id="rId9" w:history="1">
        <w:r w:rsidRPr="00AB1D6E">
          <w:rPr>
            <w:rStyle w:val="Hyperlink"/>
          </w:rPr>
          <w:t>Guideline for the Prevention and Control of Norovirus Gastroenteritis Outbreaks in Healthcare Settings</w:t>
        </w:r>
      </w:hyperlink>
    </w:p>
    <w:p w14:paraId="710D3458" w14:textId="41D848F4" w:rsidR="00023057" w:rsidRDefault="00023057" w:rsidP="00AB1D6E">
      <w:pPr>
        <w:ind w:left="720" w:hanging="720"/>
      </w:pPr>
      <w:r>
        <w:t xml:space="preserve">CDC. </w:t>
      </w:r>
      <w:hyperlink r:id="rId10" w:history="1">
        <w:r w:rsidRPr="00023057">
          <w:rPr>
            <w:rStyle w:val="Hyperlink"/>
          </w:rPr>
          <w:t>Long-Term Care Acute Gastroenteritis Surveillance Line List and Outbreak Summary</w:t>
        </w:r>
      </w:hyperlink>
    </w:p>
    <w:p w14:paraId="1B57D5FD" w14:textId="1BE3B0EB" w:rsidR="00473FD8" w:rsidRDefault="005D089E" w:rsidP="00AB1D6E">
      <w:pPr>
        <w:ind w:left="720" w:hanging="720"/>
      </w:pPr>
      <w:r>
        <w:t xml:space="preserve">EPA (9/6/2020). </w:t>
      </w:r>
      <w:hyperlink r:id="rId11" w:history="1">
        <w:r w:rsidR="00473FD8" w:rsidRPr="00473FD8">
          <w:rPr>
            <w:rStyle w:val="Hyperlink"/>
          </w:rPr>
          <w:t>List G: EPA’s Registered Antimicrobial Products Effective Against Norovirus</w:t>
        </w:r>
      </w:hyperlink>
    </w:p>
    <w:p w14:paraId="6D78292F" w14:textId="0BC03BBF" w:rsidR="000D1D7F" w:rsidRPr="00AB1D6E" w:rsidRDefault="000D1D7F" w:rsidP="00AB1D6E">
      <w:pPr>
        <w:ind w:left="720" w:hanging="720"/>
      </w:pPr>
      <w:r>
        <w:t>CDC</w:t>
      </w:r>
      <w:r w:rsidR="00A34FF0">
        <w:t xml:space="preserve"> (no date). Norovirus Illness – Key Facts. </w:t>
      </w:r>
      <w:hyperlink r:id="rId12" w:history="1">
        <w:r w:rsidRPr="000D1D7F">
          <w:rPr>
            <w:rStyle w:val="Hyperlink"/>
          </w:rPr>
          <w:t>cdc_26153_DS1.pdf</w:t>
        </w:r>
      </w:hyperlink>
    </w:p>
    <w:sectPr w:rsidR="000D1D7F" w:rsidRPr="00AB1D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B3502" w14:textId="77777777" w:rsidR="001A7071" w:rsidRDefault="001A7071" w:rsidP="00A8470E">
      <w:pPr>
        <w:spacing w:after="0" w:line="240" w:lineRule="auto"/>
      </w:pPr>
      <w:r>
        <w:separator/>
      </w:r>
    </w:p>
  </w:endnote>
  <w:endnote w:type="continuationSeparator" w:id="0">
    <w:p w14:paraId="4B17291F" w14:textId="77777777" w:rsidR="001A7071" w:rsidRDefault="001A7071" w:rsidP="00A8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9605414"/>
      <w:docPartObj>
        <w:docPartGallery w:val="Page Numbers (Bottom of Page)"/>
        <w:docPartUnique/>
      </w:docPartObj>
    </w:sdtPr>
    <w:sdtEndPr/>
    <w:sdtContent>
      <w:sdt>
        <w:sdtPr>
          <w:id w:val="1728636285"/>
          <w:docPartObj>
            <w:docPartGallery w:val="Page Numbers (Top of Page)"/>
            <w:docPartUnique/>
          </w:docPartObj>
        </w:sdtPr>
        <w:sdtEndPr/>
        <w:sdtContent>
          <w:p w14:paraId="57DF9228" w14:textId="38CA2303" w:rsidR="00FB7FB2" w:rsidRDefault="00FB7FB2">
            <w:pPr>
              <w:pStyle w:val="Footer"/>
              <w:jc w:val="center"/>
            </w:pPr>
            <w:r w:rsidRPr="00FB7FB2">
              <w:rPr>
                <w:sz w:val="20"/>
                <w:szCs w:val="20"/>
              </w:rPr>
              <w:t xml:space="preserve">Page </w:t>
            </w:r>
            <w:r w:rsidRPr="00FB7FB2">
              <w:rPr>
                <w:b/>
                <w:bCs/>
                <w:sz w:val="20"/>
                <w:szCs w:val="20"/>
              </w:rPr>
              <w:fldChar w:fldCharType="begin"/>
            </w:r>
            <w:r w:rsidRPr="00FB7FB2">
              <w:rPr>
                <w:b/>
                <w:bCs/>
                <w:sz w:val="20"/>
                <w:szCs w:val="20"/>
              </w:rPr>
              <w:instrText xml:space="preserve"> PAGE </w:instrText>
            </w:r>
            <w:r w:rsidRPr="00FB7FB2">
              <w:rPr>
                <w:b/>
                <w:bCs/>
                <w:sz w:val="20"/>
                <w:szCs w:val="20"/>
              </w:rPr>
              <w:fldChar w:fldCharType="separate"/>
            </w:r>
            <w:r w:rsidRPr="00FB7FB2">
              <w:rPr>
                <w:b/>
                <w:bCs/>
                <w:noProof/>
                <w:sz w:val="20"/>
                <w:szCs w:val="20"/>
              </w:rPr>
              <w:t>2</w:t>
            </w:r>
            <w:r w:rsidRPr="00FB7FB2">
              <w:rPr>
                <w:b/>
                <w:bCs/>
                <w:sz w:val="20"/>
                <w:szCs w:val="20"/>
              </w:rPr>
              <w:fldChar w:fldCharType="end"/>
            </w:r>
            <w:r w:rsidRPr="00FB7FB2">
              <w:rPr>
                <w:sz w:val="20"/>
                <w:szCs w:val="20"/>
              </w:rPr>
              <w:t xml:space="preserve"> of </w:t>
            </w:r>
            <w:r w:rsidRPr="00FB7FB2">
              <w:rPr>
                <w:b/>
                <w:bCs/>
                <w:sz w:val="20"/>
                <w:szCs w:val="20"/>
              </w:rPr>
              <w:fldChar w:fldCharType="begin"/>
            </w:r>
            <w:r w:rsidRPr="00FB7FB2">
              <w:rPr>
                <w:b/>
                <w:bCs/>
                <w:sz w:val="20"/>
                <w:szCs w:val="20"/>
              </w:rPr>
              <w:instrText xml:space="preserve"> NUMPAGES  </w:instrText>
            </w:r>
            <w:r w:rsidRPr="00FB7FB2">
              <w:rPr>
                <w:b/>
                <w:bCs/>
                <w:sz w:val="20"/>
                <w:szCs w:val="20"/>
              </w:rPr>
              <w:fldChar w:fldCharType="separate"/>
            </w:r>
            <w:r w:rsidRPr="00FB7FB2">
              <w:rPr>
                <w:b/>
                <w:bCs/>
                <w:noProof/>
                <w:sz w:val="20"/>
                <w:szCs w:val="20"/>
              </w:rPr>
              <w:t>2</w:t>
            </w:r>
            <w:r w:rsidRPr="00FB7FB2">
              <w:rPr>
                <w:b/>
                <w:bCs/>
                <w:sz w:val="20"/>
                <w:szCs w:val="20"/>
              </w:rPr>
              <w:fldChar w:fldCharType="end"/>
            </w:r>
          </w:p>
        </w:sdtContent>
      </w:sdt>
    </w:sdtContent>
  </w:sdt>
  <w:p w14:paraId="24899CCB" w14:textId="77777777" w:rsidR="00FB7FB2" w:rsidRDefault="00FB7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37D66" w14:textId="77777777" w:rsidR="001A7071" w:rsidRDefault="001A7071" w:rsidP="00A8470E">
      <w:pPr>
        <w:spacing w:after="0" w:line="240" w:lineRule="auto"/>
      </w:pPr>
      <w:r>
        <w:separator/>
      </w:r>
    </w:p>
  </w:footnote>
  <w:footnote w:type="continuationSeparator" w:id="0">
    <w:p w14:paraId="06B63F77" w14:textId="77777777" w:rsidR="001A7071" w:rsidRDefault="001A7071" w:rsidP="00A84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3C7E2" w14:textId="0DE5EC63" w:rsidR="00A8470E" w:rsidRDefault="00A8470E">
    <w:pPr>
      <w:pStyle w:val="Header"/>
    </w:pPr>
    <w:r>
      <w:rPr>
        <w:noProof/>
      </w:rPr>
      <w:drawing>
        <wp:inline distT="0" distB="0" distL="0" distR="0" wp14:anchorId="7971FC0F" wp14:editId="6CA8DD39">
          <wp:extent cx="5943600" cy="5778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77850"/>
                  </a:xfrm>
                  <a:prstGeom prst="rect">
                    <a:avLst/>
                  </a:prstGeom>
                  <a:noFill/>
                  <a:ln>
                    <a:noFill/>
                  </a:ln>
                </pic:spPr>
              </pic:pic>
            </a:graphicData>
          </a:graphic>
        </wp:inline>
      </w:drawing>
    </w:r>
  </w:p>
  <w:p w14:paraId="4553E773" w14:textId="079603E5" w:rsidR="00A8470E" w:rsidRPr="004075E6" w:rsidRDefault="00A8470E" w:rsidP="00A8470E">
    <w:pPr>
      <w:pStyle w:val="Header"/>
      <w:jc w:val="center"/>
      <w:rPr>
        <w:b/>
        <w:bCs/>
      </w:rPr>
    </w:pPr>
    <w:r w:rsidRPr="004075E6">
      <w:rPr>
        <w:b/>
        <w:bCs/>
      </w:rPr>
      <w:t xml:space="preserve">Policy and Procedure: </w:t>
    </w:r>
    <w:r w:rsidR="004075E6" w:rsidRPr="004075E6">
      <w:rPr>
        <w:b/>
        <w:bCs/>
      </w:rPr>
      <w:t>Norovirus</w:t>
    </w:r>
  </w:p>
  <w:p w14:paraId="4DA7DB91" w14:textId="77777777" w:rsidR="00A8470E" w:rsidRDefault="00A84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EA05BC"/>
    <w:multiLevelType w:val="hybridMultilevel"/>
    <w:tmpl w:val="81AC37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57729"/>
    <w:multiLevelType w:val="hybridMultilevel"/>
    <w:tmpl w:val="D6A074E2"/>
    <w:lvl w:ilvl="0" w:tplc="7890A0E8">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0D4FCC"/>
    <w:multiLevelType w:val="hybridMultilevel"/>
    <w:tmpl w:val="0C8A8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5628873">
    <w:abstractNumId w:val="0"/>
  </w:num>
  <w:num w:numId="2" w16cid:durableId="135144152">
    <w:abstractNumId w:val="2"/>
  </w:num>
  <w:num w:numId="3" w16cid:durableId="141374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A5"/>
    <w:rsid w:val="00004526"/>
    <w:rsid w:val="00016F39"/>
    <w:rsid w:val="00023057"/>
    <w:rsid w:val="00024DB7"/>
    <w:rsid w:val="000502CD"/>
    <w:rsid w:val="000565B9"/>
    <w:rsid w:val="000858E6"/>
    <w:rsid w:val="00094DDF"/>
    <w:rsid w:val="000C01F3"/>
    <w:rsid w:val="000D1D7F"/>
    <w:rsid w:val="000F168D"/>
    <w:rsid w:val="00142352"/>
    <w:rsid w:val="0016107D"/>
    <w:rsid w:val="00186F9E"/>
    <w:rsid w:val="00191645"/>
    <w:rsid w:val="001A7071"/>
    <w:rsid w:val="001B654D"/>
    <w:rsid w:val="001C21CE"/>
    <w:rsid w:val="001C2537"/>
    <w:rsid w:val="00206427"/>
    <w:rsid w:val="0021693F"/>
    <w:rsid w:val="002367F9"/>
    <w:rsid w:val="0029250D"/>
    <w:rsid w:val="002A7737"/>
    <w:rsid w:val="003159FB"/>
    <w:rsid w:val="00320A16"/>
    <w:rsid w:val="00335C22"/>
    <w:rsid w:val="003454FE"/>
    <w:rsid w:val="00364197"/>
    <w:rsid w:val="00384F51"/>
    <w:rsid w:val="003C33FB"/>
    <w:rsid w:val="004075E6"/>
    <w:rsid w:val="00414A1F"/>
    <w:rsid w:val="00431B96"/>
    <w:rsid w:val="004552C2"/>
    <w:rsid w:val="00473FD8"/>
    <w:rsid w:val="004755B4"/>
    <w:rsid w:val="004E5040"/>
    <w:rsid w:val="004F0458"/>
    <w:rsid w:val="004F7B48"/>
    <w:rsid w:val="004F7DFD"/>
    <w:rsid w:val="0054015C"/>
    <w:rsid w:val="00565E8E"/>
    <w:rsid w:val="00581776"/>
    <w:rsid w:val="005D089E"/>
    <w:rsid w:val="005D7392"/>
    <w:rsid w:val="00660CC3"/>
    <w:rsid w:val="00664151"/>
    <w:rsid w:val="00696AC3"/>
    <w:rsid w:val="006A4EA9"/>
    <w:rsid w:val="006D2D83"/>
    <w:rsid w:val="007137A5"/>
    <w:rsid w:val="007137A6"/>
    <w:rsid w:val="0072132C"/>
    <w:rsid w:val="00742BD7"/>
    <w:rsid w:val="00761DC1"/>
    <w:rsid w:val="007720C2"/>
    <w:rsid w:val="00777DC9"/>
    <w:rsid w:val="00782E19"/>
    <w:rsid w:val="007B286C"/>
    <w:rsid w:val="007C1A3B"/>
    <w:rsid w:val="007E2017"/>
    <w:rsid w:val="008240E2"/>
    <w:rsid w:val="008279CA"/>
    <w:rsid w:val="008312DE"/>
    <w:rsid w:val="00886842"/>
    <w:rsid w:val="008B6E9E"/>
    <w:rsid w:val="008F6B02"/>
    <w:rsid w:val="00902264"/>
    <w:rsid w:val="00943A36"/>
    <w:rsid w:val="009516CC"/>
    <w:rsid w:val="00953BCD"/>
    <w:rsid w:val="009F405C"/>
    <w:rsid w:val="00A34FF0"/>
    <w:rsid w:val="00A8470E"/>
    <w:rsid w:val="00A90014"/>
    <w:rsid w:val="00A90EE2"/>
    <w:rsid w:val="00AB1D6E"/>
    <w:rsid w:val="00AD7E45"/>
    <w:rsid w:val="00B31EB4"/>
    <w:rsid w:val="00B86D66"/>
    <w:rsid w:val="00BD6106"/>
    <w:rsid w:val="00C03EA1"/>
    <w:rsid w:val="00C05DA2"/>
    <w:rsid w:val="00C4329E"/>
    <w:rsid w:val="00C45E55"/>
    <w:rsid w:val="00C70274"/>
    <w:rsid w:val="00CA1462"/>
    <w:rsid w:val="00CB7C42"/>
    <w:rsid w:val="00CB7E93"/>
    <w:rsid w:val="00CC33EA"/>
    <w:rsid w:val="00CC4B5E"/>
    <w:rsid w:val="00CC63F5"/>
    <w:rsid w:val="00D0522B"/>
    <w:rsid w:val="00D27267"/>
    <w:rsid w:val="00D27479"/>
    <w:rsid w:val="00D36478"/>
    <w:rsid w:val="00D54560"/>
    <w:rsid w:val="00D56FD6"/>
    <w:rsid w:val="00DB65EE"/>
    <w:rsid w:val="00E07357"/>
    <w:rsid w:val="00E4785C"/>
    <w:rsid w:val="00E9367E"/>
    <w:rsid w:val="00EB1813"/>
    <w:rsid w:val="00EC5039"/>
    <w:rsid w:val="00ED40AD"/>
    <w:rsid w:val="00EE68DA"/>
    <w:rsid w:val="00F008FA"/>
    <w:rsid w:val="00F071EC"/>
    <w:rsid w:val="00F72BF3"/>
    <w:rsid w:val="00F874DF"/>
    <w:rsid w:val="00FB3C0B"/>
    <w:rsid w:val="00FB7FB2"/>
    <w:rsid w:val="00FC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AA41"/>
  <w15:chartTrackingRefBased/>
  <w15:docId w15:val="{991AE857-8E82-45C0-9D93-EC9CCD68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C0B"/>
  </w:style>
  <w:style w:type="paragraph" w:styleId="Heading1">
    <w:name w:val="heading 1"/>
    <w:basedOn w:val="Normal"/>
    <w:next w:val="Normal"/>
    <w:link w:val="Heading1Char"/>
    <w:uiPriority w:val="9"/>
    <w:qFormat/>
    <w:rsid w:val="00713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7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7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37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37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37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37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37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7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7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37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37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37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37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37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3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7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7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37A5"/>
    <w:pPr>
      <w:spacing w:before="160"/>
      <w:jc w:val="center"/>
    </w:pPr>
    <w:rPr>
      <w:i/>
      <w:iCs/>
      <w:color w:val="404040" w:themeColor="text1" w:themeTint="BF"/>
    </w:rPr>
  </w:style>
  <w:style w:type="character" w:customStyle="1" w:styleId="QuoteChar">
    <w:name w:val="Quote Char"/>
    <w:basedOn w:val="DefaultParagraphFont"/>
    <w:link w:val="Quote"/>
    <w:uiPriority w:val="29"/>
    <w:rsid w:val="007137A5"/>
    <w:rPr>
      <w:i/>
      <w:iCs/>
      <w:color w:val="404040" w:themeColor="text1" w:themeTint="BF"/>
    </w:rPr>
  </w:style>
  <w:style w:type="paragraph" w:styleId="ListParagraph">
    <w:name w:val="List Paragraph"/>
    <w:basedOn w:val="Normal"/>
    <w:uiPriority w:val="34"/>
    <w:qFormat/>
    <w:rsid w:val="007137A5"/>
    <w:pPr>
      <w:ind w:left="720"/>
      <w:contextualSpacing/>
    </w:pPr>
  </w:style>
  <w:style w:type="character" w:styleId="IntenseEmphasis">
    <w:name w:val="Intense Emphasis"/>
    <w:basedOn w:val="DefaultParagraphFont"/>
    <w:uiPriority w:val="21"/>
    <w:qFormat/>
    <w:rsid w:val="007137A5"/>
    <w:rPr>
      <w:i/>
      <w:iCs/>
      <w:color w:val="0F4761" w:themeColor="accent1" w:themeShade="BF"/>
    </w:rPr>
  </w:style>
  <w:style w:type="paragraph" w:styleId="IntenseQuote">
    <w:name w:val="Intense Quote"/>
    <w:basedOn w:val="Normal"/>
    <w:next w:val="Normal"/>
    <w:link w:val="IntenseQuoteChar"/>
    <w:uiPriority w:val="30"/>
    <w:qFormat/>
    <w:rsid w:val="00713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7A5"/>
    <w:rPr>
      <w:i/>
      <w:iCs/>
      <w:color w:val="0F4761" w:themeColor="accent1" w:themeShade="BF"/>
    </w:rPr>
  </w:style>
  <w:style w:type="character" w:styleId="IntenseReference">
    <w:name w:val="Intense Reference"/>
    <w:basedOn w:val="DefaultParagraphFont"/>
    <w:uiPriority w:val="32"/>
    <w:qFormat/>
    <w:rsid w:val="007137A5"/>
    <w:rPr>
      <w:b/>
      <w:bCs/>
      <w:smallCaps/>
      <w:color w:val="0F4761" w:themeColor="accent1" w:themeShade="BF"/>
      <w:spacing w:val="5"/>
    </w:rPr>
  </w:style>
  <w:style w:type="paragraph" w:styleId="Header">
    <w:name w:val="header"/>
    <w:basedOn w:val="Normal"/>
    <w:link w:val="HeaderChar"/>
    <w:uiPriority w:val="99"/>
    <w:unhideWhenUsed/>
    <w:rsid w:val="00A8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70E"/>
  </w:style>
  <w:style w:type="paragraph" w:styleId="Footer">
    <w:name w:val="footer"/>
    <w:basedOn w:val="Normal"/>
    <w:link w:val="FooterChar"/>
    <w:uiPriority w:val="99"/>
    <w:unhideWhenUsed/>
    <w:rsid w:val="00A84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70E"/>
  </w:style>
  <w:style w:type="table" w:styleId="TableGrid">
    <w:name w:val="Table Grid"/>
    <w:basedOn w:val="TableNormal"/>
    <w:uiPriority w:val="39"/>
    <w:rsid w:val="00FB3C0B"/>
    <w:pPr>
      <w:spacing w:after="0"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654D"/>
    <w:rPr>
      <w:color w:val="467886" w:themeColor="hyperlink"/>
      <w:u w:val="single"/>
    </w:rPr>
  </w:style>
  <w:style w:type="character" w:styleId="UnresolvedMention">
    <w:name w:val="Unresolved Mention"/>
    <w:basedOn w:val="DefaultParagraphFont"/>
    <w:uiPriority w:val="99"/>
    <w:semiHidden/>
    <w:unhideWhenUsed/>
    <w:rsid w:val="001B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orovirus/outbreak-basics/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norovirus/about/index.html" TargetMode="External"/><Relationship Id="rId12" Type="http://schemas.openxmlformats.org/officeDocument/2006/relationships/hyperlink" Target="file:///C:\Users\ADRIGP~1\AppData\Local\Temp\MicrosoftEdgeDownloads\e32527be-06cc-4409-b37e-e68c1c35ed20\cdc_26153_DS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9january2021snapshot.epa.gov/sites/static/files/2020-09/documents/list-g-disinfectant-list.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long-term-care-facilities/media/pdfs/LTC-AcuteGastro-OutbreakResources-P.pdf" TargetMode="External"/><Relationship Id="rId4" Type="http://schemas.openxmlformats.org/officeDocument/2006/relationships/webSettings" Target="webSettings.xml"/><Relationship Id="rId9" Type="http://schemas.openxmlformats.org/officeDocument/2006/relationships/hyperlink" Target="https://www.cdc.gov/infection-control/media/pdfs/Guideline-Norovirus-H.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837</Words>
  <Characters>4775</Characters>
  <Application>Microsoft Office Word</Application>
  <DocSecurity>4</DocSecurity>
  <Lines>39</Lines>
  <Paragraphs>11</Paragraphs>
  <ScaleCrop>false</ScaleCrop>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GNYHCFA Memos</cp:lastModifiedBy>
  <cp:revision>2</cp:revision>
  <dcterms:created xsi:type="dcterms:W3CDTF">2025-01-10T17:48:00Z</dcterms:created>
  <dcterms:modified xsi:type="dcterms:W3CDTF">2025-01-10T17:48:00Z</dcterms:modified>
</cp:coreProperties>
</file>