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636BF" w14:textId="24638403" w:rsidR="00A26D98" w:rsidRDefault="00A26D98" w:rsidP="00A26D98">
      <w:pPr>
        <w:spacing w:after="0"/>
        <w:jc w:val="center"/>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4913"/>
        <w:gridCol w:w="5013"/>
      </w:tblGrid>
      <w:tr w:rsidR="00F57D65" w:rsidRPr="00CA3BD1" w14:paraId="055241CF" w14:textId="77777777" w:rsidTr="00B46896">
        <w:tc>
          <w:tcPr>
            <w:tcW w:w="5125" w:type="dxa"/>
          </w:tcPr>
          <w:p w14:paraId="6FB6B465" w14:textId="77777777" w:rsidR="00F57D65" w:rsidRPr="00CA3BD1" w:rsidRDefault="00F57D65" w:rsidP="00B46896">
            <w:pPr>
              <w:spacing w:after="160" w:line="259" w:lineRule="auto"/>
              <w:rPr>
                <w:rFonts w:ascii="Times New Roman" w:hAnsi="Times New Roman" w:cs="Times New Roman"/>
                <w:b/>
                <w:bCs/>
              </w:rPr>
            </w:pPr>
            <w:r w:rsidRPr="00CA3BD1">
              <w:rPr>
                <w:rFonts w:ascii="Times New Roman" w:hAnsi="Times New Roman" w:cs="Times New Roman"/>
                <w:b/>
                <w:bCs/>
              </w:rPr>
              <w:t>Infection Prevention and Control Policy and Procedure</w:t>
            </w:r>
          </w:p>
        </w:tc>
        <w:tc>
          <w:tcPr>
            <w:tcW w:w="5220" w:type="dxa"/>
          </w:tcPr>
          <w:p w14:paraId="4F337D14" w14:textId="1987A0CE" w:rsidR="00F57D65" w:rsidRPr="00CA3BD1" w:rsidRDefault="00F57D65" w:rsidP="00B46896">
            <w:pPr>
              <w:spacing w:after="160" w:line="259" w:lineRule="auto"/>
              <w:rPr>
                <w:rFonts w:ascii="Times New Roman" w:hAnsi="Times New Roman" w:cs="Times New Roman"/>
                <w:b/>
                <w:bCs/>
              </w:rPr>
            </w:pPr>
            <w:r w:rsidRPr="00CA3BD1">
              <w:rPr>
                <w:rFonts w:ascii="Times New Roman" w:hAnsi="Times New Roman" w:cs="Times New Roman"/>
                <w:b/>
                <w:bCs/>
              </w:rPr>
              <w:t xml:space="preserve">Subject: </w:t>
            </w:r>
            <w:r>
              <w:rPr>
                <w:rFonts w:ascii="Times New Roman" w:hAnsi="Times New Roman" w:cs="Times New Roman"/>
                <w:b/>
                <w:bCs/>
              </w:rPr>
              <w:t>Screening for and Preventing the Spread of Tuberculosis</w:t>
            </w:r>
          </w:p>
        </w:tc>
      </w:tr>
      <w:tr w:rsidR="00F57D65" w:rsidRPr="00CA3BD1" w14:paraId="4F71C644" w14:textId="77777777" w:rsidTr="00B46896">
        <w:tc>
          <w:tcPr>
            <w:tcW w:w="5125" w:type="dxa"/>
          </w:tcPr>
          <w:p w14:paraId="3FB35800" w14:textId="77777777" w:rsidR="00F57D65" w:rsidRPr="00CA3BD1" w:rsidRDefault="00F57D65" w:rsidP="00B46896">
            <w:pPr>
              <w:spacing w:line="259" w:lineRule="auto"/>
              <w:rPr>
                <w:rFonts w:ascii="Times New Roman" w:hAnsi="Times New Roman" w:cs="Times New Roman"/>
                <w:b/>
                <w:bCs/>
              </w:rPr>
            </w:pPr>
            <w:r w:rsidRPr="00CA3BD1">
              <w:rPr>
                <w:rFonts w:ascii="Times New Roman" w:hAnsi="Times New Roman" w:cs="Times New Roman"/>
                <w:b/>
                <w:bCs/>
              </w:rPr>
              <w:t xml:space="preserve">Approved by: </w:t>
            </w:r>
          </w:p>
          <w:p w14:paraId="5E43BB82" w14:textId="77777777" w:rsidR="00F57D65" w:rsidRPr="00CA3BD1" w:rsidRDefault="00F57D65" w:rsidP="00B46896">
            <w:pPr>
              <w:rPr>
                <w:rFonts w:ascii="Times New Roman" w:hAnsi="Times New Roman" w:cs="Times New Roman"/>
              </w:rPr>
            </w:pPr>
          </w:p>
        </w:tc>
        <w:tc>
          <w:tcPr>
            <w:tcW w:w="5220" w:type="dxa"/>
          </w:tcPr>
          <w:p w14:paraId="677D5D50" w14:textId="77777777" w:rsidR="00F57D65" w:rsidRPr="00CA3BD1" w:rsidRDefault="00F57D65" w:rsidP="00B46896">
            <w:pPr>
              <w:spacing w:after="160" w:line="259" w:lineRule="auto"/>
              <w:rPr>
                <w:rFonts w:ascii="Times New Roman" w:hAnsi="Times New Roman" w:cs="Times New Roman"/>
              </w:rPr>
            </w:pPr>
          </w:p>
        </w:tc>
      </w:tr>
      <w:tr w:rsidR="00F57D65" w:rsidRPr="00CA3BD1" w14:paraId="105AA4E4" w14:textId="77777777" w:rsidTr="00B46896">
        <w:tc>
          <w:tcPr>
            <w:tcW w:w="5125" w:type="dxa"/>
          </w:tcPr>
          <w:p w14:paraId="5ACFF060" w14:textId="0330CEA3" w:rsidR="00F57D65" w:rsidRDefault="00F57D65" w:rsidP="00B46896">
            <w:pPr>
              <w:spacing w:after="160" w:line="259" w:lineRule="auto"/>
              <w:rPr>
                <w:rFonts w:ascii="Times New Roman" w:hAnsi="Times New Roman" w:cs="Times New Roman"/>
                <w:b/>
                <w:bCs/>
              </w:rPr>
            </w:pPr>
            <w:r w:rsidRPr="00CA3BD1">
              <w:rPr>
                <w:rFonts w:ascii="Times New Roman" w:hAnsi="Times New Roman" w:cs="Times New Roman"/>
                <w:b/>
                <w:bCs/>
              </w:rPr>
              <w:t xml:space="preserve">Effective:  </w:t>
            </w:r>
          </w:p>
          <w:p w14:paraId="76456C43" w14:textId="77777777" w:rsidR="00F57D65" w:rsidRPr="00CA3BD1" w:rsidRDefault="00F57D65" w:rsidP="00B46896">
            <w:pPr>
              <w:rPr>
                <w:rFonts w:ascii="Times New Roman" w:hAnsi="Times New Roman" w:cs="Times New Roman"/>
                <w:b/>
                <w:bCs/>
              </w:rPr>
            </w:pPr>
            <w:r w:rsidRPr="00CA3BD1">
              <w:rPr>
                <w:rFonts w:ascii="Times New Roman" w:hAnsi="Times New Roman" w:cs="Times New Roman"/>
                <w:b/>
                <w:bCs/>
              </w:rPr>
              <w:t xml:space="preserve">Reviewed: </w:t>
            </w:r>
          </w:p>
          <w:p w14:paraId="60573AED" w14:textId="77777777" w:rsidR="00F57D65" w:rsidRPr="00CA3BD1" w:rsidRDefault="00F57D65" w:rsidP="00B46896">
            <w:pPr>
              <w:spacing w:line="259" w:lineRule="auto"/>
              <w:rPr>
                <w:rFonts w:ascii="Times New Roman" w:hAnsi="Times New Roman" w:cs="Times New Roman"/>
                <w:b/>
                <w:bCs/>
              </w:rPr>
            </w:pPr>
          </w:p>
        </w:tc>
        <w:tc>
          <w:tcPr>
            <w:tcW w:w="5220" w:type="dxa"/>
          </w:tcPr>
          <w:p w14:paraId="0D7C8838" w14:textId="027407DA" w:rsidR="00F57D65" w:rsidRPr="00CA3BD1" w:rsidRDefault="00F57D65" w:rsidP="00B46896">
            <w:pPr>
              <w:rPr>
                <w:rFonts w:ascii="Times New Roman" w:hAnsi="Times New Roman" w:cs="Times New Roman"/>
              </w:rPr>
            </w:pPr>
            <w:r w:rsidRPr="00CA3BD1">
              <w:rPr>
                <w:rFonts w:ascii="Times New Roman" w:hAnsi="Times New Roman" w:cs="Times New Roman"/>
                <w:b/>
                <w:bCs/>
              </w:rPr>
              <w:t>Revised</w:t>
            </w:r>
            <w:r>
              <w:rPr>
                <w:rFonts w:ascii="Times New Roman" w:hAnsi="Times New Roman" w:cs="Times New Roman"/>
                <w:b/>
                <w:bCs/>
              </w:rPr>
              <w:t xml:space="preserve">: </w:t>
            </w:r>
          </w:p>
          <w:p w14:paraId="7D8271F4" w14:textId="77777777" w:rsidR="00F57D65" w:rsidRPr="00CA3BD1" w:rsidRDefault="00F57D65" w:rsidP="00B46896">
            <w:pPr>
              <w:spacing w:after="160" w:line="259" w:lineRule="auto"/>
              <w:rPr>
                <w:rFonts w:ascii="Times New Roman" w:hAnsi="Times New Roman" w:cs="Times New Roman"/>
              </w:rPr>
            </w:pPr>
          </w:p>
        </w:tc>
      </w:tr>
    </w:tbl>
    <w:p w14:paraId="37A9E908" w14:textId="77777777" w:rsidR="00DA7124" w:rsidRDefault="00DA7124" w:rsidP="00982E89">
      <w:pPr>
        <w:spacing w:after="0"/>
        <w:rPr>
          <w:rFonts w:ascii="Times New Roman" w:hAnsi="Times New Roman" w:cs="Times New Roman"/>
          <w:b/>
          <w:bCs/>
          <w:sz w:val="24"/>
          <w:szCs w:val="24"/>
        </w:rPr>
      </w:pPr>
    </w:p>
    <w:p w14:paraId="17B25140" w14:textId="340B7C3C" w:rsidR="00F57D65" w:rsidRPr="00982E89" w:rsidRDefault="00F57D65" w:rsidP="00982E89">
      <w:pPr>
        <w:spacing w:after="0"/>
        <w:rPr>
          <w:rFonts w:ascii="Times New Roman" w:hAnsi="Times New Roman" w:cs="Times New Roman"/>
          <w:b/>
          <w:bCs/>
          <w:sz w:val="24"/>
          <w:szCs w:val="24"/>
        </w:rPr>
      </w:pPr>
      <w:r w:rsidRPr="00982E89">
        <w:rPr>
          <w:rFonts w:ascii="Times New Roman" w:hAnsi="Times New Roman" w:cs="Times New Roman"/>
          <w:b/>
          <w:bCs/>
          <w:sz w:val="24"/>
          <w:szCs w:val="24"/>
        </w:rPr>
        <w:t>BACKGROUND</w:t>
      </w:r>
    </w:p>
    <w:p w14:paraId="6BEBFCC8" w14:textId="4C3033A9" w:rsidR="00F57D65" w:rsidRDefault="00982E89" w:rsidP="00982E89">
      <w:pPr>
        <w:spacing w:after="0"/>
        <w:rPr>
          <w:rFonts w:ascii="Times New Roman" w:hAnsi="Times New Roman" w:cs="Times New Roman"/>
          <w:sz w:val="24"/>
          <w:szCs w:val="24"/>
        </w:rPr>
      </w:pPr>
      <w:r w:rsidRPr="00982E89">
        <w:rPr>
          <w:rFonts w:ascii="Times New Roman" w:hAnsi="Times New Roman" w:cs="Times New Roman"/>
          <w:sz w:val="24"/>
          <w:szCs w:val="24"/>
        </w:rPr>
        <w:t>Tuberculosis (TB) is an infectious disease</w:t>
      </w:r>
      <w:r w:rsidR="00A247BD">
        <w:rPr>
          <w:rFonts w:ascii="Times New Roman" w:hAnsi="Times New Roman" w:cs="Times New Roman"/>
          <w:sz w:val="24"/>
          <w:szCs w:val="24"/>
        </w:rPr>
        <w:t xml:space="preserve"> caused by </w:t>
      </w:r>
      <w:r w:rsidR="00A247BD" w:rsidRPr="00A247BD">
        <w:rPr>
          <w:rFonts w:ascii="Times New Roman" w:hAnsi="Times New Roman" w:cs="Times New Roman"/>
          <w:i/>
          <w:iCs/>
          <w:sz w:val="24"/>
          <w:szCs w:val="24"/>
        </w:rPr>
        <w:t>Mycobacterium tuberculosis</w:t>
      </w:r>
      <w:r w:rsidR="00A247BD">
        <w:rPr>
          <w:rFonts w:ascii="Times New Roman" w:hAnsi="Times New Roman" w:cs="Times New Roman"/>
          <w:sz w:val="24"/>
          <w:szCs w:val="24"/>
        </w:rPr>
        <w:t xml:space="preserve">. It </w:t>
      </w:r>
      <w:r w:rsidRPr="00982E89">
        <w:rPr>
          <w:rFonts w:ascii="Times New Roman" w:hAnsi="Times New Roman" w:cs="Times New Roman"/>
          <w:sz w:val="24"/>
          <w:szCs w:val="24"/>
        </w:rPr>
        <w:t>affects mainly the lungs</w:t>
      </w:r>
      <w:r w:rsidR="00643FA7">
        <w:rPr>
          <w:rFonts w:ascii="Times New Roman" w:hAnsi="Times New Roman" w:cs="Times New Roman"/>
          <w:sz w:val="24"/>
          <w:szCs w:val="24"/>
        </w:rPr>
        <w:t xml:space="preserve">, but can also affect other parts of the body such as the throat, kidney, and spine. </w:t>
      </w:r>
      <w:r w:rsidR="00BC5445">
        <w:rPr>
          <w:rFonts w:ascii="Times New Roman" w:hAnsi="Times New Roman" w:cs="Times New Roman"/>
          <w:sz w:val="24"/>
          <w:szCs w:val="24"/>
        </w:rPr>
        <w:t xml:space="preserve">TB in the lungs and throat can be infectious; usually non-infectious in the kidney or spine. Tuberculosis is spread from one person to another through tiny respiratory droplets when a person coughs, sneezes, sings, or speaks. </w:t>
      </w:r>
      <w:r w:rsidR="00D77F86">
        <w:rPr>
          <w:rFonts w:ascii="Times New Roman" w:hAnsi="Times New Roman" w:cs="Times New Roman"/>
          <w:sz w:val="24"/>
          <w:szCs w:val="24"/>
        </w:rPr>
        <w:t xml:space="preserve">Requires airborne precautions. There are two types of TB: active and latent (LTBI). </w:t>
      </w:r>
    </w:p>
    <w:p w14:paraId="32306B91" w14:textId="75570C79" w:rsidR="00643FA7" w:rsidRDefault="00643FA7" w:rsidP="00982E89">
      <w:pPr>
        <w:spacing w:after="0"/>
        <w:rPr>
          <w:rFonts w:ascii="Times New Roman" w:hAnsi="Times New Roman" w:cs="Times New Roman"/>
          <w:sz w:val="24"/>
          <w:szCs w:val="24"/>
        </w:rPr>
      </w:pPr>
    </w:p>
    <w:p w14:paraId="2786771E" w14:textId="70470022" w:rsidR="00AC6070" w:rsidRPr="00AC6070" w:rsidRDefault="00AC6070" w:rsidP="00982E89">
      <w:pPr>
        <w:spacing w:after="0"/>
        <w:rPr>
          <w:rFonts w:ascii="Times New Roman" w:hAnsi="Times New Roman" w:cs="Times New Roman"/>
          <w:b/>
          <w:bCs/>
          <w:sz w:val="24"/>
          <w:szCs w:val="24"/>
        </w:rPr>
      </w:pPr>
      <w:r w:rsidRPr="00AC6070">
        <w:rPr>
          <w:rFonts w:ascii="Times New Roman" w:hAnsi="Times New Roman" w:cs="Times New Roman"/>
          <w:b/>
          <w:bCs/>
          <w:sz w:val="24"/>
          <w:szCs w:val="24"/>
        </w:rPr>
        <w:t xml:space="preserve">POLICY </w:t>
      </w:r>
    </w:p>
    <w:p w14:paraId="6EDD17CD" w14:textId="117F4C1B" w:rsidR="00AC6070" w:rsidRDefault="00AC6070" w:rsidP="00982E89">
      <w:pPr>
        <w:spacing w:after="0"/>
        <w:rPr>
          <w:rFonts w:ascii="Times New Roman" w:hAnsi="Times New Roman" w:cs="Times New Roman"/>
          <w:sz w:val="24"/>
          <w:szCs w:val="24"/>
        </w:rPr>
      </w:pPr>
      <w:r>
        <w:rPr>
          <w:rFonts w:ascii="Times New Roman" w:hAnsi="Times New Roman" w:cs="Times New Roman"/>
          <w:sz w:val="24"/>
          <w:szCs w:val="24"/>
        </w:rPr>
        <w:t xml:space="preserve">It is the policy of this facility to follow guidance from the Centers for Disease Control and Prevention (CDC) and the New York State Department of Health (NYSDOH) to screen both staff and residents for Tuberculosis infection for early identification and prevention of the spread of this highly communicable disease. </w:t>
      </w:r>
      <w:r w:rsidR="005934B4">
        <w:rPr>
          <w:rFonts w:ascii="Times New Roman" w:hAnsi="Times New Roman" w:cs="Times New Roman"/>
          <w:sz w:val="24"/>
          <w:szCs w:val="24"/>
        </w:rPr>
        <w:t>The facility will notify the local health department</w:t>
      </w:r>
      <w:r w:rsidR="00B34EDC">
        <w:rPr>
          <w:rFonts w:ascii="Times New Roman" w:hAnsi="Times New Roman" w:cs="Times New Roman"/>
          <w:sz w:val="24"/>
          <w:szCs w:val="24"/>
        </w:rPr>
        <w:t xml:space="preserve"> and the NYSDOH via the NORA report</w:t>
      </w:r>
      <w:r w:rsidR="005934B4">
        <w:rPr>
          <w:rFonts w:ascii="Times New Roman" w:hAnsi="Times New Roman" w:cs="Times New Roman"/>
          <w:sz w:val="24"/>
          <w:szCs w:val="24"/>
        </w:rPr>
        <w:t xml:space="preserve"> if Tuberculosis confirmed in a staff or resident. </w:t>
      </w:r>
    </w:p>
    <w:p w14:paraId="096FA155" w14:textId="1A8CF11B" w:rsidR="00AC6070" w:rsidRDefault="00AC6070" w:rsidP="00982E89">
      <w:pPr>
        <w:spacing w:after="0"/>
        <w:rPr>
          <w:rFonts w:ascii="Times New Roman" w:hAnsi="Times New Roman" w:cs="Times New Roman"/>
          <w:sz w:val="24"/>
          <w:szCs w:val="24"/>
        </w:rPr>
      </w:pPr>
    </w:p>
    <w:p w14:paraId="0525698A" w14:textId="7EAD8ABB" w:rsidR="00CD69F7" w:rsidRDefault="00AC6070" w:rsidP="00025608">
      <w:pPr>
        <w:spacing w:after="0"/>
        <w:rPr>
          <w:rFonts w:ascii="Times New Roman" w:hAnsi="Times New Roman" w:cs="Times New Roman"/>
          <w:b/>
          <w:bCs/>
          <w:sz w:val="24"/>
          <w:szCs w:val="24"/>
        </w:rPr>
      </w:pPr>
      <w:r w:rsidRPr="00B24E50">
        <w:rPr>
          <w:rFonts w:ascii="Times New Roman" w:hAnsi="Times New Roman" w:cs="Times New Roman"/>
          <w:b/>
          <w:bCs/>
          <w:sz w:val="24"/>
          <w:szCs w:val="24"/>
        </w:rPr>
        <w:t>PROCEDURE</w:t>
      </w:r>
    </w:p>
    <w:p w14:paraId="62B015ED" w14:textId="591FFE21" w:rsidR="00533683" w:rsidRPr="00B24E50" w:rsidRDefault="00533683" w:rsidP="00025608">
      <w:pPr>
        <w:spacing w:after="0"/>
        <w:rPr>
          <w:rFonts w:ascii="Times New Roman" w:hAnsi="Times New Roman" w:cs="Times New Roman"/>
          <w:b/>
          <w:bCs/>
          <w:sz w:val="24"/>
          <w:szCs w:val="24"/>
        </w:rPr>
      </w:pPr>
      <w:r w:rsidRPr="00533683">
        <w:rPr>
          <w:rFonts w:ascii="Times New Roman" w:hAnsi="Times New Roman" w:cs="Times New Roman"/>
          <w:b/>
          <w:bCs/>
          <w:sz w:val="24"/>
          <w:szCs w:val="24"/>
          <w:u w:val="single"/>
        </w:rPr>
        <w:t>Staff</w:t>
      </w:r>
      <w:r>
        <w:rPr>
          <w:rFonts w:ascii="Times New Roman" w:hAnsi="Times New Roman" w:cs="Times New Roman"/>
          <w:b/>
          <w:bCs/>
          <w:sz w:val="24"/>
          <w:szCs w:val="24"/>
        </w:rPr>
        <w:t>:</w:t>
      </w:r>
    </w:p>
    <w:p w14:paraId="6652BC1F" w14:textId="2E492870" w:rsidR="00151557" w:rsidRDefault="00151557" w:rsidP="0015155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TB risk </w:t>
      </w:r>
      <w:r w:rsidR="00042181">
        <w:rPr>
          <w:rFonts w:ascii="Times New Roman" w:hAnsi="Times New Roman" w:cs="Times New Roman"/>
          <w:sz w:val="24"/>
          <w:szCs w:val="24"/>
        </w:rPr>
        <w:t xml:space="preserve">and symptoms </w:t>
      </w:r>
      <w:r>
        <w:rPr>
          <w:rFonts w:ascii="Times New Roman" w:hAnsi="Times New Roman" w:cs="Times New Roman"/>
          <w:sz w:val="24"/>
          <w:szCs w:val="24"/>
        </w:rPr>
        <w:t>assessment</w:t>
      </w:r>
      <w:r w:rsidR="00E14362">
        <w:rPr>
          <w:rFonts w:ascii="Times New Roman" w:hAnsi="Times New Roman" w:cs="Times New Roman"/>
          <w:sz w:val="24"/>
          <w:szCs w:val="24"/>
        </w:rPr>
        <w:t xml:space="preserve"> (attached)</w:t>
      </w:r>
      <w:r>
        <w:rPr>
          <w:rFonts w:ascii="Times New Roman" w:hAnsi="Times New Roman" w:cs="Times New Roman"/>
          <w:sz w:val="24"/>
          <w:szCs w:val="24"/>
        </w:rPr>
        <w:t xml:space="preserve"> and testing will be done for all new employees within 3 months prior to the individual’s first day of work, usually upon hire.</w:t>
      </w:r>
    </w:p>
    <w:p w14:paraId="5DCAE37C" w14:textId="08FD0C27" w:rsidR="00151557" w:rsidRDefault="00151557" w:rsidP="0015155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Testing can be done via </w:t>
      </w:r>
      <w:r w:rsidR="007A028B">
        <w:rPr>
          <w:rFonts w:ascii="Times New Roman" w:hAnsi="Times New Roman" w:cs="Times New Roman"/>
          <w:sz w:val="24"/>
          <w:szCs w:val="24"/>
        </w:rPr>
        <w:t xml:space="preserve">the </w:t>
      </w:r>
      <w:r w:rsidR="009C5D79">
        <w:rPr>
          <w:rFonts w:ascii="Times New Roman" w:hAnsi="Times New Roman" w:cs="Times New Roman"/>
          <w:sz w:val="24"/>
          <w:szCs w:val="24"/>
        </w:rPr>
        <w:t xml:space="preserve">intradermal </w:t>
      </w:r>
      <w:r w:rsidR="007A028B">
        <w:rPr>
          <w:rFonts w:ascii="Times New Roman" w:hAnsi="Times New Roman" w:cs="Times New Roman"/>
          <w:sz w:val="24"/>
          <w:szCs w:val="24"/>
        </w:rPr>
        <w:t>Tuberculin Skin Test (TST) or the interferon-gamma release assay (IGRA) blood test</w:t>
      </w:r>
      <w:r w:rsidR="00F53088">
        <w:rPr>
          <w:rFonts w:ascii="Times New Roman" w:hAnsi="Times New Roman" w:cs="Times New Roman"/>
          <w:sz w:val="24"/>
          <w:szCs w:val="24"/>
        </w:rPr>
        <w:t xml:space="preserve"> (preferred method). </w:t>
      </w:r>
    </w:p>
    <w:p w14:paraId="0934AA5E" w14:textId="4EA6FDFD" w:rsidR="009B034B" w:rsidRDefault="009B034B" w:rsidP="00151557">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TST requires 2 steps, the 2</w:t>
      </w:r>
      <w:r w:rsidRPr="009B034B">
        <w:rPr>
          <w:rFonts w:ascii="Times New Roman" w:hAnsi="Times New Roman" w:cs="Times New Roman"/>
          <w:sz w:val="24"/>
          <w:szCs w:val="24"/>
          <w:vertAlign w:val="superscript"/>
        </w:rPr>
        <w:t>nd</w:t>
      </w:r>
      <w:r>
        <w:rPr>
          <w:rFonts w:ascii="Times New Roman" w:hAnsi="Times New Roman" w:cs="Times New Roman"/>
          <w:sz w:val="24"/>
          <w:szCs w:val="24"/>
        </w:rPr>
        <w:t xml:space="preserve"> to be administered 1-3 weeks after the initial test.</w:t>
      </w:r>
    </w:p>
    <w:p w14:paraId="776AC1E0" w14:textId="52E5A7FC" w:rsidR="005A75C8" w:rsidRDefault="005A75C8" w:rsidP="005A75C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Mantoux method with </w:t>
      </w:r>
      <w:r w:rsidR="000219D1">
        <w:rPr>
          <w:rFonts w:ascii="Times New Roman" w:hAnsi="Times New Roman" w:cs="Times New Roman"/>
          <w:sz w:val="24"/>
          <w:szCs w:val="24"/>
        </w:rPr>
        <w:t>0.1mL</w:t>
      </w:r>
      <w:r>
        <w:rPr>
          <w:rFonts w:ascii="Times New Roman" w:hAnsi="Times New Roman" w:cs="Times New Roman"/>
          <w:sz w:val="24"/>
          <w:szCs w:val="24"/>
        </w:rPr>
        <w:t xml:space="preserve"> </w:t>
      </w:r>
      <w:r w:rsidR="00CA5DBF">
        <w:rPr>
          <w:rFonts w:ascii="Times New Roman" w:hAnsi="Times New Roman" w:cs="Times New Roman"/>
          <w:sz w:val="24"/>
          <w:szCs w:val="24"/>
        </w:rPr>
        <w:t>o</w:t>
      </w:r>
      <w:r>
        <w:rPr>
          <w:rFonts w:ascii="Times New Roman" w:hAnsi="Times New Roman" w:cs="Times New Roman"/>
          <w:sz w:val="24"/>
          <w:szCs w:val="24"/>
        </w:rPr>
        <w:t>f purified protein derivative (PPD)</w:t>
      </w:r>
    </w:p>
    <w:p w14:paraId="4F92FFB5" w14:textId="626CDABA" w:rsidR="00777573" w:rsidRPr="00777573" w:rsidRDefault="00777573" w:rsidP="00777573">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Results will be read 48-72 hours after administration. </w:t>
      </w:r>
    </w:p>
    <w:p w14:paraId="3A3A725C" w14:textId="0D6A61CC" w:rsidR="00FF2F08" w:rsidRDefault="00216459" w:rsidP="00FF2F0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 xml:space="preserve">A second TST is not needed if the employee has had a documented, negative TST during the previous 12 months. </w:t>
      </w:r>
    </w:p>
    <w:p w14:paraId="72E3CF53" w14:textId="77B64FCF" w:rsidR="00FF2F08" w:rsidRDefault="00FF2F08" w:rsidP="00FF2F08">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TSTs will be done by trained licensed personnel.</w:t>
      </w:r>
    </w:p>
    <w:p w14:paraId="2820A692" w14:textId="131069EE" w:rsidR="00FF2F08" w:rsidRDefault="00FF2F08" w:rsidP="00FF2F08">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Staff responsible for administering the TST will document the manufacturer, lot number, date placed</w:t>
      </w:r>
      <w:r w:rsidR="00533683">
        <w:rPr>
          <w:rFonts w:ascii="Times New Roman" w:hAnsi="Times New Roman" w:cs="Times New Roman"/>
          <w:sz w:val="24"/>
          <w:szCs w:val="24"/>
        </w:rPr>
        <w:t>,</w:t>
      </w:r>
      <w:r>
        <w:rPr>
          <w:rFonts w:ascii="Times New Roman" w:hAnsi="Times New Roman" w:cs="Times New Roman"/>
          <w:sz w:val="24"/>
          <w:szCs w:val="24"/>
        </w:rPr>
        <w:t xml:space="preserve"> and date rea</w:t>
      </w:r>
      <w:r w:rsidR="00533683">
        <w:rPr>
          <w:rFonts w:ascii="Times New Roman" w:hAnsi="Times New Roman" w:cs="Times New Roman"/>
          <w:sz w:val="24"/>
          <w:szCs w:val="24"/>
        </w:rPr>
        <w:t xml:space="preserve">d, and will sign and date documentation log. </w:t>
      </w:r>
    </w:p>
    <w:p w14:paraId="77BC9045" w14:textId="1196DAFD" w:rsidR="00807CFC" w:rsidRDefault="00807CFC" w:rsidP="00807CFC">
      <w:pPr>
        <w:pStyle w:val="ListParagraph"/>
        <w:numPr>
          <w:ilvl w:val="0"/>
          <w:numId w:val="6"/>
        </w:numPr>
        <w:spacing w:after="0"/>
        <w:rPr>
          <w:rFonts w:ascii="Times New Roman" w:hAnsi="Times New Roman" w:cs="Times New Roman"/>
          <w:sz w:val="24"/>
          <w:szCs w:val="24"/>
        </w:rPr>
      </w:pPr>
      <w:r>
        <w:rPr>
          <w:rFonts w:ascii="Times New Roman" w:hAnsi="Times New Roman" w:cs="Times New Roman"/>
          <w:sz w:val="24"/>
          <w:szCs w:val="24"/>
        </w:rPr>
        <w:t xml:space="preserve">A copy will be kept in the employee’s health record. </w:t>
      </w:r>
    </w:p>
    <w:p w14:paraId="662B0BE0" w14:textId="6CA04713" w:rsidR="00FF2F08" w:rsidRPr="00FF2F08" w:rsidRDefault="00FF2F08" w:rsidP="00FF2F08">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Employees will not be allowed to read or interpret their own TST results. </w:t>
      </w:r>
    </w:p>
    <w:p w14:paraId="6EC103B5" w14:textId="4CB340D7" w:rsidR="00151557" w:rsidRDefault="00151557" w:rsidP="0015155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Annual</w:t>
      </w:r>
      <w:r w:rsidR="00B36A1C">
        <w:rPr>
          <w:rFonts w:ascii="Times New Roman" w:hAnsi="Times New Roman" w:cs="Times New Roman"/>
          <w:sz w:val="24"/>
          <w:szCs w:val="24"/>
        </w:rPr>
        <w:t xml:space="preserve"> TB</w:t>
      </w:r>
      <w:r w:rsidR="009F3A87">
        <w:rPr>
          <w:rFonts w:ascii="Times New Roman" w:hAnsi="Times New Roman" w:cs="Times New Roman"/>
          <w:sz w:val="24"/>
          <w:szCs w:val="24"/>
        </w:rPr>
        <w:t xml:space="preserve"> testing is not required</w:t>
      </w:r>
      <w:r w:rsidR="00A93853">
        <w:rPr>
          <w:rFonts w:ascii="Times New Roman" w:hAnsi="Times New Roman" w:cs="Times New Roman"/>
          <w:sz w:val="24"/>
          <w:szCs w:val="24"/>
        </w:rPr>
        <w:t xml:space="preserve">, unless there are any symptoms suggestive of active TB. </w:t>
      </w:r>
    </w:p>
    <w:p w14:paraId="1B0FEE91" w14:textId="17035169" w:rsidR="00E14362" w:rsidRDefault="009F3A87" w:rsidP="0015155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TB risk and symptoms assessment </w:t>
      </w:r>
      <w:r w:rsidR="00B36A1C">
        <w:rPr>
          <w:rFonts w:ascii="Times New Roman" w:hAnsi="Times New Roman" w:cs="Times New Roman"/>
          <w:sz w:val="24"/>
          <w:szCs w:val="24"/>
        </w:rPr>
        <w:t>will be conducted annually</w:t>
      </w:r>
      <w:r w:rsidR="00496E80">
        <w:rPr>
          <w:rFonts w:ascii="Times New Roman" w:hAnsi="Times New Roman" w:cs="Times New Roman"/>
          <w:sz w:val="24"/>
          <w:szCs w:val="24"/>
        </w:rPr>
        <w:t xml:space="preserve"> in conjunction with annual physical health assessment, overseen by Employee Health Personnel/Designee</w:t>
      </w:r>
      <w:r w:rsidR="00B36A1C">
        <w:rPr>
          <w:rFonts w:ascii="Times New Roman" w:hAnsi="Times New Roman" w:cs="Times New Roman"/>
          <w:sz w:val="24"/>
          <w:szCs w:val="24"/>
        </w:rPr>
        <w:t xml:space="preserve">. </w:t>
      </w:r>
    </w:p>
    <w:p w14:paraId="6D6C65A3" w14:textId="20E747F5" w:rsidR="009F3A87" w:rsidRDefault="001C00FC" w:rsidP="0015155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If </w:t>
      </w:r>
      <w:r w:rsidR="001237E1">
        <w:rPr>
          <w:rFonts w:ascii="Times New Roman" w:hAnsi="Times New Roman" w:cs="Times New Roman"/>
          <w:sz w:val="24"/>
          <w:szCs w:val="24"/>
        </w:rPr>
        <w:t>personnel</w:t>
      </w:r>
      <w:r>
        <w:rPr>
          <w:rFonts w:ascii="Times New Roman" w:hAnsi="Times New Roman" w:cs="Times New Roman"/>
          <w:sz w:val="24"/>
          <w:szCs w:val="24"/>
        </w:rPr>
        <w:t xml:space="preserve"> check YES to any of the “Risk Factors” questions, LTBI testing</w:t>
      </w:r>
      <w:r w:rsidR="001237E1">
        <w:rPr>
          <w:rFonts w:ascii="Times New Roman" w:hAnsi="Times New Roman" w:cs="Times New Roman"/>
          <w:sz w:val="24"/>
          <w:szCs w:val="24"/>
        </w:rPr>
        <w:t xml:space="preserve"> </w:t>
      </w:r>
      <w:r w:rsidR="00D133EC">
        <w:rPr>
          <w:rFonts w:ascii="Times New Roman" w:hAnsi="Times New Roman" w:cs="Times New Roman"/>
          <w:sz w:val="24"/>
          <w:szCs w:val="24"/>
        </w:rPr>
        <w:t>(TST or IGRA)</w:t>
      </w:r>
      <w:r w:rsidR="001237E1">
        <w:rPr>
          <w:rFonts w:ascii="Times New Roman" w:hAnsi="Times New Roman" w:cs="Times New Roman"/>
          <w:sz w:val="24"/>
          <w:szCs w:val="24"/>
        </w:rPr>
        <w:t xml:space="preserve"> will be conducted. </w:t>
      </w:r>
    </w:p>
    <w:p w14:paraId="63C051A7" w14:textId="28C4E6FF" w:rsidR="00D6780B" w:rsidRDefault="00D6780B" w:rsidP="0015155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If symptoms assessment is suggestive of Tuberculosis</w:t>
      </w:r>
      <w:r w:rsidR="00A10EC1">
        <w:rPr>
          <w:rFonts w:ascii="Times New Roman" w:hAnsi="Times New Roman" w:cs="Times New Roman"/>
          <w:sz w:val="24"/>
          <w:szCs w:val="24"/>
        </w:rPr>
        <w:t xml:space="preserve">, a chest x-ray will be required to rule out active TB. </w:t>
      </w:r>
    </w:p>
    <w:p w14:paraId="24DE89F3" w14:textId="72DDD455" w:rsidR="008E629F" w:rsidRDefault="008E629F" w:rsidP="00151557">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In instances where there is known exposure to a person with potentially infectious TB, without the use of adequate PPE (fit-tested, NIOSH-approved N95 mask)</w:t>
      </w:r>
      <w:r w:rsidR="009A68E5">
        <w:rPr>
          <w:rFonts w:ascii="Times New Roman" w:hAnsi="Times New Roman" w:cs="Times New Roman"/>
          <w:sz w:val="24"/>
          <w:szCs w:val="24"/>
        </w:rPr>
        <w:t>, health care personnel will have symptom evaluation and testing, if indicated.</w:t>
      </w:r>
    </w:p>
    <w:p w14:paraId="4327C2E1" w14:textId="6428131A" w:rsidR="009A68E5" w:rsidRDefault="001279CB" w:rsidP="009A68E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Those without documented LTBI or TB disease should have an IGRA or TST performed</w:t>
      </w:r>
    </w:p>
    <w:p w14:paraId="7071AD06" w14:textId="3843F6E5" w:rsidR="001279CB" w:rsidRDefault="001279CB" w:rsidP="009A68E5">
      <w:pPr>
        <w:pStyle w:val="ListParagraph"/>
        <w:numPr>
          <w:ilvl w:val="0"/>
          <w:numId w:val="5"/>
        </w:numPr>
        <w:spacing w:after="0"/>
        <w:rPr>
          <w:rFonts w:ascii="Times New Roman" w:hAnsi="Times New Roman" w:cs="Times New Roman"/>
          <w:sz w:val="24"/>
          <w:szCs w:val="24"/>
        </w:rPr>
      </w:pPr>
      <w:r>
        <w:rPr>
          <w:rFonts w:ascii="Times New Roman" w:hAnsi="Times New Roman" w:cs="Times New Roman"/>
          <w:sz w:val="24"/>
          <w:szCs w:val="24"/>
        </w:rPr>
        <w:t xml:space="preserve">Those with an initial negative test should have a second test 8-10 weeks after the same exposure to complete the evaluation. </w:t>
      </w:r>
    </w:p>
    <w:p w14:paraId="22637D58" w14:textId="04358537" w:rsidR="001279CB" w:rsidRPr="001279CB" w:rsidRDefault="001279CB" w:rsidP="009A68E5">
      <w:pPr>
        <w:pStyle w:val="ListParagraph"/>
        <w:numPr>
          <w:ilvl w:val="0"/>
          <w:numId w:val="5"/>
        </w:numPr>
        <w:spacing w:after="0"/>
        <w:rPr>
          <w:rFonts w:ascii="Times New Roman" w:hAnsi="Times New Roman" w:cs="Times New Roman"/>
          <w:sz w:val="24"/>
          <w:szCs w:val="24"/>
        </w:rPr>
      </w:pPr>
      <w:r w:rsidRPr="001279CB">
        <w:rPr>
          <w:rFonts w:ascii="Times New Roman" w:hAnsi="Times New Roman" w:cs="Times New Roman"/>
          <w:sz w:val="24"/>
          <w:szCs w:val="24"/>
        </w:rPr>
        <w:t xml:space="preserve">Persons with prior infection or disease do not need testing after exposure but can be further evaluated if TB disease concern exists.  </w:t>
      </w:r>
    </w:p>
    <w:p w14:paraId="62C83A78" w14:textId="3677E689" w:rsidR="009F3A87" w:rsidRDefault="009F3A87" w:rsidP="00982E89">
      <w:pPr>
        <w:spacing w:after="0"/>
        <w:rPr>
          <w:rFonts w:ascii="Times New Roman" w:hAnsi="Times New Roman" w:cs="Times New Roman"/>
          <w:b/>
          <w:bCs/>
          <w:sz w:val="24"/>
          <w:szCs w:val="24"/>
          <w:u w:val="single"/>
        </w:rPr>
      </w:pPr>
    </w:p>
    <w:p w14:paraId="30D3E08D" w14:textId="6ED3B35E" w:rsidR="009F3A87" w:rsidRDefault="0017010C" w:rsidP="00982E89">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Residents</w:t>
      </w:r>
    </w:p>
    <w:p w14:paraId="4A950B11" w14:textId="2F20D828" w:rsidR="0017010C" w:rsidRDefault="00E65D5B"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Upon admission, residents will be screened for history of and signs of active Tuberculosis disease. </w:t>
      </w:r>
    </w:p>
    <w:p w14:paraId="1A114F2D" w14:textId="451A31B6" w:rsidR="00E65D5B" w:rsidRDefault="005A0AC4"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Upon admission, residents will be screened for </w:t>
      </w:r>
      <w:r w:rsidR="00F253EF">
        <w:rPr>
          <w:rFonts w:ascii="Times New Roman" w:hAnsi="Times New Roman" w:cs="Times New Roman"/>
          <w:sz w:val="24"/>
          <w:szCs w:val="24"/>
        </w:rPr>
        <w:t xml:space="preserve">a </w:t>
      </w:r>
      <w:r>
        <w:rPr>
          <w:rFonts w:ascii="Times New Roman" w:hAnsi="Times New Roman" w:cs="Times New Roman"/>
          <w:sz w:val="24"/>
          <w:szCs w:val="24"/>
        </w:rPr>
        <w:t xml:space="preserve">history of positive TST. </w:t>
      </w:r>
    </w:p>
    <w:p w14:paraId="374D0EDF" w14:textId="47DF8B20" w:rsidR="005A0AC4" w:rsidRDefault="005A0AC4"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Unless contraindicated, new admissions will be given an initial TST within 3 days of admission and a 2</w:t>
      </w:r>
      <w:r w:rsidRPr="005A0AC4">
        <w:rPr>
          <w:rFonts w:ascii="Times New Roman" w:hAnsi="Times New Roman" w:cs="Times New Roman"/>
          <w:sz w:val="24"/>
          <w:szCs w:val="24"/>
          <w:vertAlign w:val="superscript"/>
        </w:rPr>
        <w:t>nd</w:t>
      </w:r>
      <w:r>
        <w:rPr>
          <w:rFonts w:ascii="Times New Roman" w:hAnsi="Times New Roman" w:cs="Times New Roman"/>
          <w:sz w:val="24"/>
          <w:szCs w:val="24"/>
        </w:rPr>
        <w:t xml:space="preserve"> dose within 1-3 weeks after the initial test</w:t>
      </w:r>
      <w:r w:rsidR="005241E1">
        <w:rPr>
          <w:rFonts w:ascii="Times New Roman" w:hAnsi="Times New Roman" w:cs="Times New Roman"/>
          <w:sz w:val="24"/>
          <w:szCs w:val="24"/>
        </w:rPr>
        <w:t xml:space="preserve"> by a licensed nurse.</w:t>
      </w:r>
    </w:p>
    <w:p w14:paraId="65E91387" w14:textId="41AEC43C" w:rsidR="00CA5DBF" w:rsidRPr="00CA5DBF" w:rsidRDefault="00CA5DBF" w:rsidP="00CA5DBF">
      <w:pPr>
        <w:pStyle w:val="ListParagraph"/>
        <w:numPr>
          <w:ilvl w:val="0"/>
          <w:numId w:val="10"/>
        </w:numPr>
        <w:spacing w:after="0"/>
        <w:rPr>
          <w:rFonts w:ascii="Times New Roman" w:hAnsi="Times New Roman" w:cs="Times New Roman"/>
          <w:sz w:val="24"/>
          <w:szCs w:val="24"/>
        </w:rPr>
      </w:pPr>
      <w:r>
        <w:rPr>
          <w:rFonts w:ascii="Times New Roman" w:hAnsi="Times New Roman" w:cs="Times New Roman"/>
          <w:sz w:val="24"/>
          <w:szCs w:val="24"/>
        </w:rPr>
        <w:t xml:space="preserve">Mantoux method with </w:t>
      </w:r>
      <w:r w:rsidR="000219D1">
        <w:rPr>
          <w:rFonts w:ascii="Times New Roman" w:hAnsi="Times New Roman" w:cs="Times New Roman"/>
          <w:sz w:val="24"/>
          <w:szCs w:val="24"/>
        </w:rPr>
        <w:t>0.1mL</w:t>
      </w:r>
      <w:r>
        <w:rPr>
          <w:rFonts w:ascii="Times New Roman" w:hAnsi="Times New Roman" w:cs="Times New Roman"/>
          <w:sz w:val="24"/>
          <w:szCs w:val="24"/>
        </w:rPr>
        <w:t xml:space="preserve"> of purified protein derivative (PPD)</w:t>
      </w:r>
    </w:p>
    <w:p w14:paraId="1FBFB6F6" w14:textId="2EEA4825" w:rsidR="005241E1" w:rsidRDefault="005241E1" w:rsidP="005241E1">
      <w:pPr>
        <w:pStyle w:val="ListParagraph"/>
        <w:numPr>
          <w:ilvl w:val="0"/>
          <w:numId w:val="8"/>
        </w:numPr>
        <w:spacing w:after="0"/>
        <w:rPr>
          <w:rFonts w:ascii="Times New Roman" w:hAnsi="Times New Roman" w:cs="Times New Roman"/>
          <w:sz w:val="24"/>
          <w:szCs w:val="24"/>
        </w:rPr>
      </w:pPr>
      <w:r>
        <w:rPr>
          <w:rFonts w:ascii="Times New Roman" w:hAnsi="Times New Roman" w:cs="Times New Roman"/>
          <w:sz w:val="24"/>
          <w:szCs w:val="24"/>
        </w:rPr>
        <w:t>Results of TST will be read by a licensed nurse 48-72 hours after administration of TST.</w:t>
      </w:r>
    </w:p>
    <w:p w14:paraId="6CDE7D65" w14:textId="5878F075" w:rsidR="00CA5DBF" w:rsidRPr="005D702F" w:rsidRDefault="00CA5DBF" w:rsidP="00CA5DBF">
      <w:pPr>
        <w:pStyle w:val="ListParagraph"/>
        <w:numPr>
          <w:ilvl w:val="0"/>
          <w:numId w:val="8"/>
        </w:numPr>
        <w:spacing w:after="0"/>
        <w:rPr>
          <w:rFonts w:ascii="Times New Roman" w:hAnsi="Times New Roman" w:cs="Times New Roman"/>
          <w:sz w:val="24"/>
          <w:szCs w:val="24"/>
        </w:rPr>
      </w:pPr>
      <w:r w:rsidRPr="005D702F">
        <w:rPr>
          <w:rFonts w:ascii="Times New Roman" w:hAnsi="Times New Roman" w:cs="Times New Roman"/>
          <w:sz w:val="24"/>
          <w:szCs w:val="24"/>
        </w:rPr>
        <w:t xml:space="preserve">A second TST is not needed if the resident has had a documented, negative TST during the previous 12 months. </w:t>
      </w:r>
    </w:p>
    <w:p w14:paraId="304568D6" w14:textId="7417B802" w:rsidR="005241E1" w:rsidRDefault="005241E1"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Licensed nurse will document the manufacturer, lot number, date placed, and date read in the resident’s chart – MAR/Immunization Record/Immunization CCP. </w:t>
      </w:r>
    </w:p>
    <w:p w14:paraId="4CFB1FE9" w14:textId="5710C1D7" w:rsidR="004966BF" w:rsidRDefault="004966BF"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Residents with a positive TST will have a chest x-ray to R/O active TB and follow-up assessment by the primary care physician (PMD) or Nurse Practitioner (NP). </w:t>
      </w:r>
    </w:p>
    <w:p w14:paraId="38E93B88" w14:textId="42C0175B" w:rsidR="00F94366" w:rsidRDefault="00F94366"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 xml:space="preserve">If a resident refuses the TST, PMD/NP may order an IGRA blood test or chest x-ray (CXR) to </w:t>
      </w:r>
      <w:r w:rsidR="00F5737E">
        <w:rPr>
          <w:rFonts w:ascii="Times New Roman" w:hAnsi="Times New Roman" w:cs="Times New Roman"/>
          <w:sz w:val="24"/>
          <w:szCs w:val="24"/>
        </w:rPr>
        <w:t>rule out</w:t>
      </w:r>
      <w:r>
        <w:rPr>
          <w:rFonts w:ascii="Times New Roman" w:hAnsi="Times New Roman" w:cs="Times New Roman"/>
          <w:sz w:val="24"/>
          <w:szCs w:val="24"/>
        </w:rPr>
        <w:t xml:space="preserve"> active TB</w:t>
      </w:r>
    </w:p>
    <w:p w14:paraId="5E4CD234" w14:textId="5168BAD2" w:rsidR="00332010" w:rsidRDefault="00332010" w:rsidP="0017010C">
      <w:pPr>
        <w:pStyle w:val="ListParagraph"/>
        <w:numPr>
          <w:ilvl w:val="0"/>
          <w:numId w:val="7"/>
        </w:numPr>
        <w:spacing w:after="0"/>
        <w:rPr>
          <w:rFonts w:ascii="Times New Roman" w:hAnsi="Times New Roman" w:cs="Times New Roman"/>
          <w:sz w:val="24"/>
          <w:szCs w:val="24"/>
        </w:rPr>
      </w:pPr>
      <w:r>
        <w:rPr>
          <w:rFonts w:ascii="Times New Roman" w:hAnsi="Times New Roman" w:cs="Times New Roman"/>
          <w:sz w:val="24"/>
          <w:szCs w:val="24"/>
        </w:rPr>
        <w:t>Residents that are suspected or confirmed of having Tuberculosis should be placed in a private room with a mask on and the door closed (if facility has no airborne isolation capability).</w:t>
      </w:r>
    </w:p>
    <w:p w14:paraId="0125CA10" w14:textId="6BE53F58" w:rsidR="00332010" w:rsidRDefault="00332010" w:rsidP="00332010">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Airborne precautions should be taken – staff to wear a fit-tested, NIOSH-approved N95 mask</w:t>
      </w:r>
    </w:p>
    <w:p w14:paraId="54BC0216" w14:textId="70D43586" w:rsidR="00332010" w:rsidRDefault="00332010" w:rsidP="00332010">
      <w:pPr>
        <w:pStyle w:val="ListParagraph"/>
        <w:numPr>
          <w:ilvl w:val="0"/>
          <w:numId w:val="11"/>
        </w:numPr>
        <w:spacing w:after="0"/>
        <w:rPr>
          <w:rFonts w:ascii="Times New Roman" w:hAnsi="Times New Roman" w:cs="Times New Roman"/>
          <w:sz w:val="24"/>
          <w:szCs w:val="24"/>
        </w:rPr>
      </w:pPr>
      <w:r>
        <w:rPr>
          <w:rFonts w:ascii="Times New Roman" w:hAnsi="Times New Roman" w:cs="Times New Roman"/>
          <w:sz w:val="24"/>
          <w:szCs w:val="24"/>
        </w:rPr>
        <w:t>Arrange for the transfer of the resident to acute care setting/hospital</w:t>
      </w:r>
    </w:p>
    <w:p w14:paraId="60CD9E59" w14:textId="79D3C697" w:rsidR="00332010" w:rsidRDefault="00332010" w:rsidP="00332010">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Notify transport personnel and receiving facility that TB is suspected/confirmed</w:t>
      </w:r>
    </w:p>
    <w:p w14:paraId="1CD1104A" w14:textId="15BF9859" w:rsidR="00C708DD" w:rsidRPr="00134523" w:rsidRDefault="005D702F" w:rsidP="000B3839">
      <w:pPr>
        <w:pStyle w:val="ListParagraph"/>
        <w:numPr>
          <w:ilvl w:val="0"/>
          <w:numId w:val="7"/>
        </w:numPr>
        <w:spacing w:after="200" w:line="276" w:lineRule="auto"/>
        <w:rPr>
          <w:rFonts w:ascii="Times New Roman" w:hAnsi="Times New Roman" w:cs="Times New Roman"/>
          <w:sz w:val="24"/>
          <w:szCs w:val="24"/>
        </w:rPr>
      </w:pPr>
      <w:r w:rsidRPr="00134523">
        <w:rPr>
          <w:rFonts w:ascii="Times New Roman" w:hAnsi="Times New Roman" w:cs="Times New Roman"/>
          <w:sz w:val="24"/>
          <w:szCs w:val="24"/>
        </w:rPr>
        <w:t>If a resident is re-admitted from the community, despite length of stay in community, a 2-step TST or an IGRA blood test, along with a symptoms check is required.</w:t>
      </w:r>
    </w:p>
    <w:p w14:paraId="724450B7" w14:textId="3D9B0F9E" w:rsidR="005D702F" w:rsidRPr="00134523" w:rsidRDefault="005D702F" w:rsidP="005D702F">
      <w:pPr>
        <w:pStyle w:val="ListParagraph"/>
        <w:numPr>
          <w:ilvl w:val="0"/>
          <w:numId w:val="16"/>
        </w:numPr>
        <w:spacing w:after="200" w:line="276" w:lineRule="auto"/>
        <w:rPr>
          <w:rFonts w:ascii="Times New Roman" w:hAnsi="Times New Roman" w:cs="Times New Roman"/>
          <w:sz w:val="24"/>
          <w:szCs w:val="24"/>
        </w:rPr>
      </w:pPr>
      <w:r w:rsidRPr="00134523">
        <w:rPr>
          <w:rFonts w:ascii="Times New Roman" w:hAnsi="Times New Roman" w:cs="Times New Roman"/>
          <w:sz w:val="24"/>
          <w:szCs w:val="24"/>
        </w:rPr>
        <w:t xml:space="preserve">If the resident has a documented, negative TST during the previous 12 months, then only 1-step TST is required. </w:t>
      </w:r>
    </w:p>
    <w:p w14:paraId="1FD2F3CF" w14:textId="7AE00EF5" w:rsidR="00650EFE" w:rsidRDefault="00650EFE" w:rsidP="00650EFE">
      <w:pPr>
        <w:pStyle w:val="ListParagraph"/>
        <w:spacing w:after="200" w:line="276" w:lineRule="auto"/>
        <w:ind w:left="0"/>
        <w:rPr>
          <w:rFonts w:ascii="Times New Roman" w:hAnsi="Times New Roman" w:cs="Times New Roman"/>
          <w:sz w:val="24"/>
          <w:szCs w:val="24"/>
        </w:rPr>
      </w:pPr>
    </w:p>
    <w:p w14:paraId="5E4BE923" w14:textId="15FD9835" w:rsidR="008E0E0B" w:rsidRPr="008E0E0B" w:rsidRDefault="008E0E0B" w:rsidP="00650EFE">
      <w:pPr>
        <w:pStyle w:val="ListParagraph"/>
        <w:spacing w:after="200" w:line="276" w:lineRule="auto"/>
        <w:ind w:left="0"/>
        <w:rPr>
          <w:rFonts w:ascii="Times New Roman" w:hAnsi="Times New Roman" w:cs="Times New Roman"/>
          <w:b/>
          <w:bCs/>
          <w:sz w:val="24"/>
          <w:szCs w:val="24"/>
          <w:u w:val="single"/>
        </w:rPr>
      </w:pPr>
      <w:r w:rsidRPr="008E0E0B">
        <w:rPr>
          <w:rFonts w:ascii="Times New Roman" w:hAnsi="Times New Roman" w:cs="Times New Roman"/>
          <w:b/>
          <w:bCs/>
          <w:sz w:val="24"/>
          <w:szCs w:val="24"/>
          <w:u w:val="single"/>
        </w:rPr>
        <w:lastRenderedPageBreak/>
        <w:t>Administering the Mantoux TST</w:t>
      </w:r>
    </w:p>
    <w:p w14:paraId="3CC4F18F" w14:textId="3C552489" w:rsidR="008E0E0B" w:rsidRDefault="008E0E0B" w:rsidP="008E0E0B">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Cleanse area of forearm with alcohol swab; allow to air dry</w:t>
      </w:r>
    </w:p>
    <w:p w14:paraId="29676F9E" w14:textId="640A6F33" w:rsidR="008E0E0B" w:rsidRDefault="008E0E0B" w:rsidP="008E0E0B">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Inject 0.1mL of PPD into the inner surface of the forearm</w:t>
      </w:r>
    </w:p>
    <w:p w14:paraId="3D50AF7C" w14:textId="1C8CFCCE" w:rsidR="008E0E0B" w:rsidRDefault="008E0E0B" w:rsidP="008E0E0B">
      <w:pPr>
        <w:pStyle w:val="ListParagraph"/>
        <w:numPr>
          <w:ilvl w:val="0"/>
          <w:numId w:val="8"/>
        </w:numPr>
        <w:spacing w:after="200" w:line="276" w:lineRule="auto"/>
        <w:rPr>
          <w:rFonts w:ascii="Times New Roman" w:hAnsi="Times New Roman" w:cs="Times New Roman"/>
          <w:sz w:val="24"/>
          <w:szCs w:val="24"/>
        </w:rPr>
      </w:pPr>
      <w:r>
        <w:rPr>
          <w:rFonts w:ascii="Times New Roman" w:hAnsi="Times New Roman" w:cs="Times New Roman"/>
          <w:sz w:val="24"/>
          <w:szCs w:val="24"/>
        </w:rPr>
        <w:t>Use a Tuberculin Syringe, bevel facing upward</w:t>
      </w:r>
    </w:p>
    <w:p w14:paraId="49783B32" w14:textId="3F0A1F18" w:rsidR="008E0E0B" w:rsidRDefault="008E0E0B" w:rsidP="008E0E0B">
      <w:pPr>
        <w:pStyle w:val="ListParagraph"/>
        <w:numPr>
          <w:ilvl w:val="0"/>
          <w:numId w:val="13"/>
        </w:numPr>
        <w:spacing w:after="200" w:line="276" w:lineRule="auto"/>
        <w:rPr>
          <w:rFonts w:ascii="Times New Roman" w:hAnsi="Times New Roman" w:cs="Times New Roman"/>
          <w:sz w:val="24"/>
          <w:szCs w:val="24"/>
        </w:rPr>
      </w:pPr>
      <w:r>
        <w:rPr>
          <w:rFonts w:ascii="Times New Roman" w:hAnsi="Times New Roman" w:cs="Times New Roman"/>
          <w:sz w:val="24"/>
          <w:szCs w:val="24"/>
        </w:rPr>
        <w:t>May mark location of injection to allow for identification for reading result</w:t>
      </w:r>
    </w:p>
    <w:p w14:paraId="0257A84D" w14:textId="1B2D2651" w:rsidR="008E0E0B" w:rsidRPr="008E0E0B" w:rsidRDefault="008E0E0B" w:rsidP="008E0E0B">
      <w:pPr>
        <w:pStyle w:val="ListParagraph"/>
        <w:spacing w:after="200" w:line="276" w:lineRule="auto"/>
        <w:ind w:left="0"/>
        <w:rPr>
          <w:rFonts w:ascii="Times New Roman" w:hAnsi="Times New Roman" w:cs="Times New Roman"/>
          <w:sz w:val="24"/>
          <w:szCs w:val="24"/>
        </w:rPr>
      </w:pPr>
      <w:r>
        <w:rPr>
          <w:rFonts w:ascii="Times New Roman" w:hAnsi="Times New Roman" w:cs="Times New Roman"/>
          <w:sz w:val="24"/>
          <w:szCs w:val="24"/>
        </w:rPr>
        <w:t xml:space="preserve">**When placed correctly, the injection should produce a pale elevation in the skin (a wheal) 6-10mm in diameter. </w:t>
      </w:r>
    </w:p>
    <w:p w14:paraId="28D03FB6" w14:textId="77777777" w:rsidR="008E0E0B" w:rsidRDefault="008E0E0B" w:rsidP="00650EFE">
      <w:pPr>
        <w:pStyle w:val="ListParagraph"/>
        <w:spacing w:after="200" w:line="276" w:lineRule="auto"/>
        <w:ind w:left="0"/>
        <w:rPr>
          <w:rFonts w:ascii="Times New Roman" w:hAnsi="Times New Roman" w:cs="Times New Roman"/>
          <w:sz w:val="24"/>
          <w:szCs w:val="24"/>
        </w:rPr>
      </w:pPr>
    </w:p>
    <w:p w14:paraId="00AAC724" w14:textId="1493E09E" w:rsidR="00650EFE" w:rsidRDefault="00650EFE" w:rsidP="00650EFE">
      <w:pPr>
        <w:pStyle w:val="ListParagraph"/>
        <w:spacing w:after="200" w:line="276" w:lineRule="auto"/>
        <w:ind w:left="0"/>
        <w:rPr>
          <w:rFonts w:ascii="Times New Roman" w:hAnsi="Times New Roman" w:cs="Times New Roman"/>
          <w:b/>
          <w:bCs/>
          <w:sz w:val="24"/>
          <w:szCs w:val="24"/>
          <w:u w:val="single"/>
        </w:rPr>
      </w:pPr>
      <w:r w:rsidRPr="004F1C51">
        <w:rPr>
          <w:rFonts w:ascii="Times New Roman" w:hAnsi="Times New Roman" w:cs="Times New Roman"/>
          <w:b/>
          <w:bCs/>
          <w:sz w:val="24"/>
          <w:szCs w:val="24"/>
          <w:u w:val="single"/>
        </w:rPr>
        <w:t>Interpreting the Tuberculin Skin Test</w:t>
      </w:r>
    </w:p>
    <w:p w14:paraId="081CD914" w14:textId="0638AEF2" w:rsidR="000B3839" w:rsidRPr="000B3839" w:rsidRDefault="000B3839" w:rsidP="000B3839">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Skin test interpretation depends on 2 factors: measurement in millimeters of the induration and a person’s risk of TB infection or the risk of progression to TB disease if infected. </w:t>
      </w:r>
    </w:p>
    <w:p w14:paraId="370A5232" w14:textId="69311585" w:rsidR="008E0E0B" w:rsidRPr="00DC494B" w:rsidRDefault="004F1C51" w:rsidP="004F1C51">
      <w:pPr>
        <w:pStyle w:val="ListParagraph"/>
        <w:numPr>
          <w:ilvl w:val="0"/>
          <w:numId w:val="14"/>
        </w:numPr>
        <w:spacing w:after="200" w:line="276" w:lineRule="auto"/>
        <w:rPr>
          <w:rFonts w:ascii="Times New Roman" w:hAnsi="Times New Roman" w:cs="Times New Roman"/>
          <w:b/>
          <w:bCs/>
          <w:sz w:val="24"/>
          <w:szCs w:val="24"/>
        </w:rPr>
      </w:pPr>
      <w:r w:rsidRPr="00DC494B">
        <w:rPr>
          <w:rFonts w:ascii="Times New Roman" w:hAnsi="Times New Roman" w:cs="Times New Roman"/>
          <w:b/>
          <w:bCs/>
          <w:sz w:val="24"/>
          <w:szCs w:val="24"/>
        </w:rPr>
        <w:t>The reaction should be measured in millimeters of the induration (firm swelling)</w:t>
      </w:r>
      <w:r w:rsidR="00DC494B" w:rsidRPr="00DC494B">
        <w:rPr>
          <w:rFonts w:ascii="Times New Roman" w:hAnsi="Times New Roman" w:cs="Times New Roman"/>
          <w:b/>
          <w:bCs/>
          <w:sz w:val="24"/>
          <w:szCs w:val="24"/>
        </w:rPr>
        <w:t>, not the erythema (redness).</w:t>
      </w:r>
    </w:p>
    <w:p w14:paraId="60880662" w14:textId="52A229ED" w:rsidR="00DC494B" w:rsidRDefault="00DC494B" w:rsidP="00DC494B">
      <w:pPr>
        <w:pStyle w:val="ListParagraph"/>
        <w:numPr>
          <w:ilvl w:val="0"/>
          <w:numId w:val="14"/>
        </w:numPr>
        <w:spacing w:after="200" w:line="276" w:lineRule="auto"/>
        <w:rPr>
          <w:rFonts w:ascii="Times New Roman" w:hAnsi="Times New Roman" w:cs="Times New Roman"/>
          <w:sz w:val="24"/>
          <w:szCs w:val="24"/>
        </w:rPr>
      </w:pPr>
      <w:r>
        <w:rPr>
          <w:rFonts w:ascii="Times New Roman" w:hAnsi="Times New Roman" w:cs="Times New Roman"/>
          <w:sz w:val="24"/>
          <w:szCs w:val="24"/>
        </w:rPr>
        <w:t xml:space="preserve">The diameter of the indurated area should be measured across the forearm (perpendicular to the long axis). </w:t>
      </w:r>
    </w:p>
    <w:p w14:paraId="322F5BAA" w14:textId="63C7C368" w:rsidR="00DC494B" w:rsidRDefault="00DC494B" w:rsidP="00DC494B">
      <w:pPr>
        <w:pStyle w:val="ListParagraph"/>
        <w:spacing w:after="200" w:line="276" w:lineRule="auto"/>
        <w:rPr>
          <w:rFonts w:ascii="Times New Roman" w:hAnsi="Times New Roman" w:cs="Times New Roman"/>
          <w:sz w:val="24"/>
          <w:szCs w:val="24"/>
        </w:rPr>
      </w:pPr>
    </w:p>
    <w:p w14:paraId="01A062B9" w14:textId="68228A8C" w:rsidR="008369B2" w:rsidRPr="004E0469" w:rsidRDefault="008369B2" w:rsidP="008369B2">
      <w:pPr>
        <w:pStyle w:val="ListParagraph"/>
        <w:spacing w:after="200" w:line="276" w:lineRule="auto"/>
        <w:jc w:val="center"/>
        <w:rPr>
          <w:rFonts w:ascii="Times New Roman" w:hAnsi="Times New Roman" w:cs="Times New Roman"/>
          <w:b/>
          <w:bCs/>
          <w:sz w:val="28"/>
          <w:szCs w:val="28"/>
        </w:rPr>
      </w:pPr>
      <w:r w:rsidRPr="004E0469">
        <w:rPr>
          <w:rFonts w:ascii="Times New Roman" w:hAnsi="Times New Roman" w:cs="Times New Roman"/>
          <w:b/>
          <w:bCs/>
          <w:sz w:val="28"/>
          <w:szCs w:val="28"/>
        </w:rPr>
        <w:t>Classification of the Tuberculin Skin Test Reaction</w:t>
      </w:r>
    </w:p>
    <w:tbl>
      <w:tblPr>
        <w:tblStyle w:val="TableGrid"/>
        <w:tblW w:w="0" w:type="auto"/>
        <w:tblLook w:val="04A0" w:firstRow="1" w:lastRow="0" w:firstColumn="1" w:lastColumn="0" w:noHBand="0" w:noVBand="1"/>
      </w:tblPr>
      <w:tblGrid>
        <w:gridCol w:w="3308"/>
        <w:gridCol w:w="4607"/>
        <w:gridCol w:w="2011"/>
      </w:tblGrid>
      <w:tr w:rsidR="004E0469" w14:paraId="22A9F3C2" w14:textId="77777777" w:rsidTr="00F3185D">
        <w:tc>
          <w:tcPr>
            <w:tcW w:w="3308" w:type="dxa"/>
          </w:tcPr>
          <w:p w14:paraId="5CF438EA" w14:textId="4AF1A593" w:rsidR="004E0469" w:rsidRPr="004E0469" w:rsidRDefault="004E0469" w:rsidP="004E0469">
            <w:pPr>
              <w:pStyle w:val="ListParagraph"/>
              <w:spacing w:after="200" w:line="276" w:lineRule="auto"/>
              <w:ind w:left="0"/>
              <w:jc w:val="center"/>
              <w:rPr>
                <w:rFonts w:ascii="Times New Roman" w:hAnsi="Times New Roman" w:cs="Times New Roman"/>
                <w:b/>
                <w:bCs/>
                <w:sz w:val="24"/>
                <w:szCs w:val="24"/>
              </w:rPr>
            </w:pPr>
            <w:r w:rsidRPr="004E0469">
              <w:rPr>
                <w:rFonts w:ascii="Times New Roman" w:hAnsi="Times New Roman" w:cs="Times New Roman"/>
                <w:b/>
                <w:bCs/>
                <w:sz w:val="24"/>
                <w:szCs w:val="24"/>
              </w:rPr>
              <w:t>Induration ≥5: Positive</w:t>
            </w:r>
          </w:p>
        </w:tc>
        <w:tc>
          <w:tcPr>
            <w:tcW w:w="4607" w:type="dxa"/>
          </w:tcPr>
          <w:p w14:paraId="20384A0B" w14:textId="5EC72FF7" w:rsidR="004E0469" w:rsidRPr="004E0469" w:rsidRDefault="004E0469" w:rsidP="004E0469">
            <w:pPr>
              <w:pStyle w:val="ListParagraph"/>
              <w:spacing w:after="200" w:line="276" w:lineRule="auto"/>
              <w:ind w:left="0"/>
              <w:jc w:val="center"/>
              <w:rPr>
                <w:rFonts w:ascii="Times New Roman" w:hAnsi="Times New Roman" w:cs="Times New Roman"/>
                <w:b/>
                <w:bCs/>
                <w:sz w:val="24"/>
                <w:szCs w:val="24"/>
              </w:rPr>
            </w:pPr>
            <w:r w:rsidRPr="004E0469">
              <w:rPr>
                <w:rFonts w:ascii="Times New Roman" w:hAnsi="Times New Roman" w:cs="Times New Roman"/>
                <w:b/>
                <w:bCs/>
                <w:sz w:val="24"/>
                <w:szCs w:val="24"/>
              </w:rPr>
              <w:t>Induration ≥10: Positive</w:t>
            </w:r>
          </w:p>
        </w:tc>
        <w:tc>
          <w:tcPr>
            <w:tcW w:w="2011" w:type="dxa"/>
          </w:tcPr>
          <w:p w14:paraId="2A7D4417" w14:textId="37863A5E" w:rsidR="004E0469" w:rsidRPr="004E0469" w:rsidRDefault="004E0469" w:rsidP="004E0469">
            <w:pPr>
              <w:pStyle w:val="ListParagraph"/>
              <w:spacing w:after="200" w:line="276" w:lineRule="auto"/>
              <w:ind w:left="0"/>
              <w:jc w:val="center"/>
              <w:rPr>
                <w:rFonts w:ascii="Times New Roman" w:hAnsi="Times New Roman" w:cs="Times New Roman"/>
                <w:b/>
                <w:bCs/>
                <w:sz w:val="24"/>
                <w:szCs w:val="24"/>
              </w:rPr>
            </w:pPr>
            <w:r w:rsidRPr="004E0469">
              <w:rPr>
                <w:rFonts w:ascii="Times New Roman" w:hAnsi="Times New Roman" w:cs="Times New Roman"/>
                <w:b/>
                <w:bCs/>
                <w:sz w:val="24"/>
                <w:szCs w:val="24"/>
              </w:rPr>
              <w:t>Induration ≥</w:t>
            </w:r>
            <w:r w:rsidR="00F3185D">
              <w:rPr>
                <w:rFonts w:ascii="Times New Roman" w:hAnsi="Times New Roman" w:cs="Times New Roman"/>
                <w:b/>
                <w:bCs/>
                <w:sz w:val="24"/>
                <w:szCs w:val="24"/>
              </w:rPr>
              <w:t>1</w:t>
            </w:r>
            <w:r w:rsidRPr="004E0469">
              <w:rPr>
                <w:rFonts w:ascii="Times New Roman" w:hAnsi="Times New Roman" w:cs="Times New Roman"/>
                <w:b/>
                <w:bCs/>
                <w:sz w:val="24"/>
                <w:szCs w:val="24"/>
              </w:rPr>
              <w:t>5: Positive</w:t>
            </w:r>
          </w:p>
        </w:tc>
      </w:tr>
      <w:tr w:rsidR="004E0469" w14:paraId="5629CE22" w14:textId="77777777" w:rsidTr="00F3185D">
        <w:tc>
          <w:tcPr>
            <w:tcW w:w="3308" w:type="dxa"/>
          </w:tcPr>
          <w:p w14:paraId="30B15B3D" w14:textId="39C6D173" w:rsidR="00F3185D" w:rsidRPr="00F3185D" w:rsidRDefault="00F3185D" w:rsidP="00F3185D">
            <w:pPr>
              <w:pStyle w:val="NormalWeb"/>
              <w:shd w:val="clear" w:color="auto" w:fill="FFFFFF"/>
              <w:spacing w:before="0" w:beforeAutospacing="0"/>
              <w:rPr>
                <w:color w:val="212529"/>
                <w:sz w:val="22"/>
                <w:szCs w:val="22"/>
              </w:rPr>
            </w:pPr>
            <w:r w:rsidRPr="00F3185D">
              <w:rPr>
                <w:color w:val="212529"/>
                <w:sz w:val="22"/>
                <w:szCs w:val="22"/>
              </w:rPr>
              <w:t>- People living with HIV</w:t>
            </w:r>
          </w:p>
          <w:p w14:paraId="1F060296" w14:textId="77777777" w:rsidR="00F3185D" w:rsidRPr="00F3185D" w:rsidRDefault="00F3185D" w:rsidP="00F3185D">
            <w:pPr>
              <w:pStyle w:val="NormalWeb"/>
              <w:shd w:val="clear" w:color="auto" w:fill="FFFFFF"/>
              <w:spacing w:before="0" w:beforeAutospacing="0"/>
              <w:rPr>
                <w:color w:val="212529"/>
                <w:sz w:val="22"/>
                <w:szCs w:val="22"/>
              </w:rPr>
            </w:pPr>
            <w:r w:rsidRPr="00F3185D">
              <w:rPr>
                <w:color w:val="212529"/>
                <w:sz w:val="22"/>
                <w:szCs w:val="22"/>
              </w:rPr>
              <w:t>-A recent contact of a person with infectious TB disease</w:t>
            </w:r>
          </w:p>
          <w:p w14:paraId="449DFCA6" w14:textId="77777777" w:rsidR="00F3185D" w:rsidRPr="00F3185D" w:rsidRDefault="00F3185D" w:rsidP="00F3185D">
            <w:pPr>
              <w:pStyle w:val="NormalWeb"/>
              <w:shd w:val="clear" w:color="auto" w:fill="FFFFFF"/>
              <w:spacing w:before="0" w:beforeAutospacing="0"/>
              <w:rPr>
                <w:color w:val="212529"/>
                <w:sz w:val="22"/>
                <w:szCs w:val="22"/>
              </w:rPr>
            </w:pPr>
            <w:r w:rsidRPr="00F3185D">
              <w:rPr>
                <w:color w:val="212529"/>
                <w:sz w:val="22"/>
                <w:szCs w:val="22"/>
              </w:rPr>
              <w:t>– People with chest x-ray findings suggestive of previous TB disease</w:t>
            </w:r>
          </w:p>
          <w:p w14:paraId="7BF24311" w14:textId="77777777" w:rsidR="00F3185D" w:rsidRPr="00F3185D" w:rsidRDefault="00F3185D" w:rsidP="00F3185D">
            <w:pPr>
              <w:pStyle w:val="NormalWeb"/>
              <w:shd w:val="clear" w:color="auto" w:fill="FFFFFF"/>
              <w:spacing w:before="0" w:beforeAutospacing="0"/>
              <w:rPr>
                <w:color w:val="212529"/>
                <w:sz w:val="22"/>
                <w:szCs w:val="22"/>
              </w:rPr>
            </w:pPr>
            <w:r w:rsidRPr="00F3185D">
              <w:rPr>
                <w:color w:val="212529"/>
                <w:sz w:val="22"/>
                <w:szCs w:val="22"/>
              </w:rPr>
              <w:t>-People with organ transplants</w:t>
            </w:r>
          </w:p>
          <w:p w14:paraId="1803F06B" w14:textId="77777777" w:rsidR="00F3185D" w:rsidRPr="00F3185D" w:rsidRDefault="00F3185D" w:rsidP="00F3185D">
            <w:pPr>
              <w:pStyle w:val="NormalWeb"/>
              <w:shd w:val="clear" w:color="auto" w:fill="FFFFFF"/>
              <w:spacing w:before="0" w:beforeAutospacing="0"/>
              <w:rPr>
                <w:color w:val="212529"/>
                <w:sz w:val="22"/>
                <w:szCs w:val="22"/>
              </w:rPr>
            </w:pPr>
            <w:r w:rsidRPr="00F3185D">
              <w:rPr>
                <w:color w:val="212529"/>
                <w:sz w:val="22"/>
                <w:szCs w:val="22"/>
              </w:rPr>
              <w:t>-Other immunosuppressed people (e.g., patients on prolonged therapy with corticosteroids equivalent to/greater than 15 mg per day of prednisone or those taking TNF-a antagonists)</w:t>
            </w:r>
          </w:p>
          <w:p w14:paraId="6CF9254D" w14:textId="77777777" w:rsidR="004E0469" w:rsidRDefault="004E0469" w:rsidP="00DC494B">
            <w:pPr>
              <w:pStyle w:val="ListParagraph"/>
              <w:spacing w:after="200" w:line="276" w:lineRule="auto"/>
              <w:ind w:left="0"/>
              <w:rPr>
                <w:rFonts w:ascii="Times New Roman" w:hAnsi="Times New Roman" w:cs="Times New Roman"/>
                <w:sz w:val="24"/>
                <w:szCs w:val="24"/>
              </w:rPr>
            </w:pPr>
          </w:p>
        </w:tc>
        <w:tc>
          <w:tcPr>
            <w:tcW w:w="4607" w:type="dxa"/>
          </w:tcPr>
          <w:p w14:paraId="329D5766" w14:textId="5F4FB7E4"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 People born in countries where TB disease is common, including Mexico, the Philippines, Vietnam, India, China, Haiti, and Guatemala, or other countries with high rates of TB</w:t>
            </w:r>
          </w:p>
          <w:p w14:paraId="592EB4C0" w14:textId="77777777"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-People who abuse drugs</w:t>
            </w:r>
          </w:p>
          <w:p w14:paraId="6FD91BA3" w14:textId="77777777"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-Mycobacteriology laboratory workers</w:t>
            </w:r>
          </w:p>
          <w:p w14:paraId="77064003" w14:textId="77777777"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-People who live or work in high-risk congregate settings (e.g., nursing homes, homeless shelters, or correctional facilities)</w:t>
            </w:r>
          </w:p>
          <w:p w14:paraId="45D2A069" w14:textId="77777777"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-People with certain medical conditions that place them at high risk for TB (e.g., silicosis, diabetes mellitus, severe kidney disease, certain types of cancer, and certain intestinal conditions)</w:t>
            </w:r>
          </w:p>
          <w:p w14:paraId="3C60B695" w14:textId="77777777"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-People with a low body weight (&lt;90% of ideal body weight)</w:t>
            </w:r>
          </w:p>
          <w:p w14:paraId="6549552F" w14:textId="77777777" w:rsidR="000B3839" w:rsidRPr="00DA7124" w:rsidRDefault="000B3839" w:rsidP="000B3839">
            <w:pPr>
              <w:pStyle w:val="NormalWeb"/>
              <w:shd w:val="clear" w:color="auto" w:fill="FFFFFF"/>
              <w:spacing w:before="0" w:beforeAutospacing="0"/>
              <w:rPr>
                <w:color w:val="212529"/>
                <w:sz w:val="20"/>
                <w:szCs w:val="20"/>
              </w:rPr>
            </w:pPr>
            <w:r w:rsidRPr="00DA7124">
              <w:rPr>
                <w:color w:val="212529"/>
                <w:sz w:val="20"/>
                <w:szCs w:val="20"/>
              </w:rPr>
              <w:t>-Children younger than 5 years of age</w:t>
            </w:r>
          </w:p>
          <w:p w14:paraId="2D18F448" w14:textId="6EB73FF8" w:rsidR="00DA7124" w:rsidRPr="00DA7124" w:rsidRDefault="000B3839" w:rsidP="00DA7124">
            <w:pPr>
              <w:pStyle w:val="NormalWeb"/>
              <w:shd w:val="clear" w:color="auto" w:fill="FFFFFF"/>
              <w:spacing w:before="0" w:beforeAutospacing="0"/>
              <w:rPr>
                <w:color w:val="212529"/>
                <w:sz w:val="20"/>
                <w:szCs w:val="20"/>
              </w:rPr>
            </w:pPr>
            <w:r w:rsidRPr="00DA7124">
              <w:rPr>
                <w:color w:val="212529"/>
                <w:sz w:val="20"/>
                <w:szCs w:val="20"/>
              </w:rPr>
              <w:t>-Infants, children, and adolescents exposed to adults in high-risk categories</w:t>
            </w:r>
          </w:p>
        </w:tc>
        <w:tc>
          <w:tcPr>
            <w:tcW w:w="2011" w:type="dxa"/>
          </w:tcPr>
          <w:p w14:paraId="31604AFE" w14:textId="0FECF72F" w:rsidR="004E0469" w:rsidRPr="00F3185D" w:rsidRDefault="00F3185D" w:rsidP="00F3185D">
            <w:pPr>
              <w:pStyle w:val="ListParagraph"/>
              <w:spacing w:after="200" w:line="276" w:lineRule="auto"/>
              <w:ind w:left="0"/>
              <w:rPr>
                <w:rFonts w:ascii="Times New Roman" w:hAnsi="Times New Roman" w:cs="Times New Roman"/>
              </w:rPr>
            </w:pPr>
            <w:r>
              <w:rPr>
                <w:rFonts w:ascii="Times New Roman" w:hAnsi="Times New Roman" w:cs="Times New Roman"/>
                <w:color w:val="212529"/>
                <w:shd w:val="clear" w:color="auto" w:fill="FFFFFF"/>
              </w:rPr>
              <w:t xml:space="preserve">- </w:t>
            </w:r>
            <w:r w:rsidRPr="00F3185D">
              <w:rPr>
                <w:rFonts w:ascii="Times New Roman" w:hAnsi="Times New Roman" w:cs="Times New Roman"/>
                <w:color w:val="212529"/>
                <w:shd w:val="clear" w:color="auto" w:fill="FFFFFF"/>
              </w:rPr>
              <w:t>People with no known risk factors for TB</w:t>
            </w:r>
          </w:p>
        </w:tc>
      </w:tr>
    </w:tbl>
    <w:p w14:paraId="692FCB3A" w14:textId="41F0680C" w:rsidR="00DC494B" w:rsidRDefault="00DC494B" w:rsidP="00DC494B">
      <w:pPr>
        <w:pStyle w:val="ListParagraph"/>
        <w:spacing w:after="200" w:line="276" w:lineRule="auto"/>
        <w:ind w:left="0"/>
        <w:rPr>
          <w:rFonts w:ascii="Times New Roman" w:hAnsi="Times New Roman" w:cs="Times New Roman"/>
          <w:sz w:val="24"/>
          <w:szCs w:val="24"/>
        </w:rPr>
      </w:pPr>
    </w:p>
    <w:p w14:paraId="6479CEE1" w14:textId="30E35FF4" w:rsidR="009F4E32" w:rsidRPr="009F4E32" w:rsidRDefault="009F4E32" w:rsidP="009F4E32">
      <w:pPr>
        <w:shd w:val="clear" w:color="auto" w:fill="FFFFFF"/>
        <w:spacing w:after="0" w:line="240" w:lineRule="auto"/>
        <w:jc w:val="center"/>
        <w:rPr>
          <w:rFonts w:ascii="Times New Roman" w:eastAsia="Times New Roman" w:hAnsi="Times New Roman" w:cs="Times New Roman"/>
          <w:b/>
          <w:color w:val="000000"/>
          <w:sz w:val="26"/>
          <w:szCs w:val="26"/>
        </w:rPr>
      </w:pPr>
      <w:r w:rsidRPr="00A64FC5">
        <w:rPr>
          <w:rFonts w:ascii="Times New Roman" w:eastAsia="Times New Roman" w:hAnsi="Times New Roman" w:cs="Times New Roman"/>
          <w:b/>
          <w:color w:val="000000"/>
          <w:sz w:val="26"/>
          <w:szCs w:val="26"/>
        </w:rPr>
        <w:lastRenderedPageBreak/>
        <w:t>Health Care Personnel (HCP)</w:t>
      </w:r>
      <w:r>
        <w:rPr>
          <w:rFonts w:ascii="Times New Roman" w:eastAsia="Times New Roman" w:hAnsi="Times New Roman" w:cs="Times New Roman"/>
          <w:b/>
          <w:color w:val="000000"/>
          <w:sz w:val="26"/>
          <w:szCs w:val="26"/>
        </w:rPr>
        <w:t xml:space="preserve">: </w:t>
      </w:r>
      <w:r w:rsidR="00811C29">
        <w:rPr>
          <w:rFonts w:ascii="Times New Roman" w:eastAsia="Times New Roman" w:hAnsi="Times New Roman" w:cs="Times New Roman"/>
          <w:b/>
          <w:color w:val="000000"/>
          <w:sz w:val="28"/>
          <w:szCs w:val="28"/>
        </w:rPr>
        <w:t>Annual</w:t>
      </w:r>
      <w:r w:rsidRPr="00993347">
        <w:rPr>
          <w:rFonts w:ascii="Times New Roman" w:eastAsia="Times New Roman" w:hAnsi="Times New Roman" w:cs="Times New Roman"/>
          <w:b/>
          <w:color w:val="000000"/>
          <w:sz w:val="28"/>
          <w:szCs w:val="28"/>
        </w:rPr>
        <w:t xml:space="preserve"> Individual TB Risk Assessment</w:t>
      </w:r>
    </w:p>
    <w:p w14:paraId="30028A0C" w14:textId="77777777" w:rsidR="009F4E32" w:rsidRPr="00D2658A" w:rsidRDefault="009F4E32" w:rsidP="009F4E32">
      <w:pPr>
        <w:shd w:val="clear" w:color="auto" w:fill="FFFFFF"/>
        <w:spacing w:after="0" w:line="240" w:lineRule="auto"/>
        <w:jc w:val="center"/>
        <w:rPr>
          <w:rFonts w:ascii="Times New Roman" w:eastAsia="Times New Roman" w:hAnsi="Times New Roman" w:cs="Times New Roman"/>
          <w:color w:val="000000"/>
        </w:rPr>
      </w:pPr>
    </w:p>
    <w:p w14:paraId="6C76AEF2" w14:textId="77777777" w:rsidR="009F4E32" w:rsidRPr="00D2658A" w:rsidRDefault="009F4E32" w:rsidP="009F4E32">
      <w:pPr>
        <w:shd w:val="clear" w:color="auto" w:fill="FFFFFF"/>
        <w:spacing w:after="0" w:line="240" w:lineRule="auto"/>
        <w:rPr>
          <w:rFonts w:ascii="Times New Roman" w:eastAsia="Times New Roman" w:hAnsi="Times New Roman" w:cs="Times New Roman"/>
          <w:color w:val="000000"/>
        </w:rPr>
      </w:pPr>
      <w:r w:rsidRPr="00D2658A">
        <w:rPr>
          <w:rFonts w:ascii="Times New Roman" w:eastAsia="Times New Roman" w:hAnsi="Times New Roman" w:cs="Times New Roman"/>
          <w:color w:val="000000"/>
        </w:rPr>
        <w:t>Employee Name______________________________________</w:t>
      </w:r>
      <w:r>
        <w:rPr>
          <w:rFonts w:ascii="Times New Roman" w:eastAsia="Times New Roman" w:hAnsi="Times New Roman" w:cs="Times New Roman"/>
          <w:color w:val="000000"/>
        </w:rPr>
        <w:t>___________</w:t>
      </w:r>
      <w:r w:rsidRPr="00D2658A">
        <w:rPr>
          <w:rFonts w:ascii="Times New Roman" w:eastAsia="Times New Roman" w:hAnsi="Times New Roman" w:cs="Times New Roman"/>
          <w:color w:val="000000"/>
        </w:rPr>
        <w:t>Title______________</w:t>
      </w:r>
    </w:p>
    <w:p w14:paraId="202269C9" w14:textId="77777777" w:rsidR="009F4E32" w:rsidRDefault="009F4E32" w:rsidP="009F4E32">
      <w:pPr>
        <w:shd w:val="clear" w:color="auto" w:fill="FFFFFF"/>
        <w:spacing w:after="0" w:line="240" w:lineRule="auto"/>
        <w:rPr>
          <w:rFonts w:ascii="Times New Roman" w:eastAsia="Times New Roman" w:hAnsi="Times New Roman" w:cs="Times New Roman"/>
          <w:color w:val="000000"/>
          <w:sz w:val="20"/>
          <w:szCs w:val="20"/>
        </w:rPr>
      </w:pPr>
      <w:r w:rsidRPr="00D2658A">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D2658A">
        <w:rPr>
          <w:rFonts w:ascii="Times New Roman" w:eastAsia="Times New Roman" w:hAnsi="Times New Roman" w:cs="Times New Roman"/>
          <w:color w:val="000000"/>
          <w:sz w:val="20"/>
          <w:szCs w:val="20"/>
        </w:rPr>
        <w:t>Print Neatly</w:t>
      </w:r>
      <w:r>
        <w:rPr>
          <w:rFonts w:ascii="Times New Roman" w:eastAsia="Times New Roman" w:hAnsi="Times New Roman" w:cs="Times New Roman"/>
          <w:color w:val="000000"/>
          <w:sz w:val="20"/>
          <w:szCs w:val="20"/>
        </w:rPr>
        <w:t>)</w:t>
      </w:r>
    </w:p>
    <w:p w14:paraId="6340FED6" w14:textId="77777777" w:rsidR="009F4E32" w:rsidRDefault="009F4E32" w:rsidP="009F4E32">
      <w:pPr>
        <w:shd w:val="clear" w:color="auto" w:fill="FFFFFF"/>
        <w:spacing w:after="0" w:line="240" w:lineRule="auto"/>
        <w:jc w:val="center"/>
        <w:rPr>
          <w:rFonts w:ascii="Times New Roman" w:eastAsia="Times New Roman" w:hAnsi="Times New Roman" w:cs="Times New Roman"/>
          <w:color w:val="000000"/>
          <w:sz w:val="20"/>
          <w:szCs w:val="20"/>
        </w:rPr>
      </w:pPr>
    </w:p>
    <w:p w14:paraId="4F7D4822" w14:textId="77777777" w:rsidR="009F4E32" w:rsidRDefault="009F4E32" w:rsidP="009F4E32">
      <w:pPr>
        <w:shd w:val="clear" w:color="auto" w:fill="FFFFFF"/>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(Please read and complete each section.)</w:t>
      </w:r>
    </w:p>
    <w:p w14:paraId="14452BE0" w14:textId="77777777" w:rsidR="009F4E32" w:rsidRPr="00AD6DF5" w:rsidRDefault="009F4E32" w:rsidP="009F4E32">
      <w:pPr>
        <w:shd w:val="clear" w:color="auto" w:fill="FFFFFF"/>
        <w:spacing w:after="0" w:line="240" w:lineRule="auto"/>
        <w:jc w:val="center"/>
        <w:rPr>
          <w:rFonts w:ascii="Times New Roman" w:eastAsia="Times New Roman" w:hAnsi="Times New Roman" w:cs="Times New Roman"/>
          <w:color w:val="000000"/>
          <w:sz w:val="20"/>
          <w:szCs w:val="20"/>
        </w:rPr>
      </w:pPr>
    </w:p>
    <w:tbl>
      <w:tblPr>
        <w:tblStyle w:val="TableGrid"/>
        <w:tblW w:w="0" w:type="auto"/>
        <w:tblLook w:val="04A0" w:firstRow="1" w:lastRow="0" w:firstColumn="1" w:lastColumn="0" w:noHBand="0" w:noVBand="1"/>
      </w:tblPr>
      <w:tblGrid>
        <w:gridCol w:w="7840"/>
        <w:gridCol w:w="718"/>
        <w:gridCol w:w="712"/>
      </w:tblGrid>
      <w:tr w:rsidR="009F4E32" w14:paraId="6A708B7B" w14:textId="77777777" w:rsidTr="00E43B02">
        <w:tc>
          <w:tcPr>
            <w:tcW w:w="7840" w:type="dxa"/>
            <w:tcBorders>
              <w:top w:val="thinThickSmallGap" w:sz="24" w:space="0" w:color="auto"/>
              <w:left w:val="thinThickSmallGap" w:sz="24" w:space="0" w:color="auto"/>
            </w:tcBorders>
          </w:tcPr>
          <w:p w14:paraId="3CB0FCF4" w14:textId="77777777" w:rsidR="009F4E32" w:rsidRDefault="009F4E32" w:rsidP="00E43B02">
            <w:pPr>
              <w:jc w:val="center"/>
              <w:rPr>
                <w:rFonts w:ascii="Times New Roman" w:hAnsi="Times New Roman" w:cs="Times New Roman"/>
                <w:sz w:val="28"/>
                <w:szCs w:val="28"/>
              </w:rPr>
            </w:pPr>
            <w:r w:rsidRPr="00993347">
              <w:rPr>
                <w:rFonts w:ascii="Times New Roman" w:hAnsi="Times New Roman" w:cs="Times New Roman"/>
                <w:b/>
                <w:sz w:val="32"/>
                <w:szCs w:val="32"/>
              </w:rPr>
              <w:t>Risk Factors</w:t>
            </w:r>
          </w:p>
          <w:p w14:paraId="6CE4E88A" w14:textId="77777777" w:rsidR="009F4E32" w:rsidRDefault="009F4E32" w:rsidP="00E43B02">
            <w:pPr>
              <w:jc w:val="center"/>
              <w:rPr>
                <w:rFonts w:ascii="Times New Roman" w:hAnsi="Times New Roman" w:cs="Times New Roman"/>
                <w:sz w:val="20"/>
                <w:szCs w:val="20"/>
              </w:rPr>
            </w:pPr>
            <w:r w:rsidRPr="00993347">
              <w:rPr>
                <w:rFonts w:ascii="Times New Roman" w:hAnsi="Times New Roman" w:cs="Times New Roman"/>
                <w:sz w:val="20"/>
                <w:szCs w:val="20"/>
              </w:rPr>
              <w:t>(LBTI recommended if any of the following risks is answered yes)</w:t>
            </w:r>
          </w:p>
          <w:p w14:paraId="24B9F669" w14:textId="77777777" w:rsidR="009F4E32" w:rsidRPr="00993347" w:rsidRDefault="009F4E32" w:rsidP="00E43B02">
            <w:pPr>
              <w:rPr>
                <w:rFonts w:ascii="Times New Roman" w:hAnsi="Times New Roman" w:cs="Times New Roman"/>
                <w:sz w:val="28"/>
                <w:szCs w:val="28"/>
              </w:rPr>
            </w:pPr>
          </w:p>
        </w:tc>
        <w:tc>
          <w:tcPr>
            <w:tcW w:w="718" w:type="dxa"/>
            <w:tcBorders>
              <w:top w:val="thinThickSmallGap" w:sz="24" w:space="0" w:color="auto"/>
            </w:tcBorders>
          </w:tcPr>
          <w:p w14:paraId="0D2EF2CA" w14:textId="77777777" w:rsidR="009F4E32" w:rsidRPr="00D2658A" w:rsidRDefault="009F4E32" w:rsidP="00E43B02">
            <w:pPr>
              <w:rPr>
                <w:rFonts w:ascii="Times New Roman" w:hAnsi="Times New Roman" w:cs="Times New Roman"/>
              </w:rPr>
            </w:pPr>
            <w:r w:rsidRPr="00D2658A">
              <w:rPr>
                <w:rFonts w:ascii="Times New Roman" w:hAnsi="Times New Roman" w:cs="Times New Roman"/>
              </w:rPr>
              <w:t>Yes</w:t>
            </w:r>
          </w:p>
        </w:tc>
        <w:tc>
          <w:tcPr>
            <w:tcW w:w="712" w:type="dxa"/>
            <w:tcBorders>
              <w:top w:val="thinThickSmallGap" w:sz="24" w:space="0" w:color="auto"/>
              <w:right w:val="thinThickSmallGap" w:sz="24" w:space="0" w:color="auto"/>
            </w:tcBorders>
          </w:tcPr>
          <w:p w14:paraId="5D24DE49" w14:textId="77777777" w:rsidR="009F4E32" w:rsidRPr="00D2658A" w:rsidRDefault="009F4E32" w:rsidP="00E43B02">
            <w:pPr>
              <w:rPr>
                <w:rFonts w:ascii="Times New Roman" w:hAnsi="Times New Roman" w:cs="Times New Roman"/>
              </w:rPr>
            </w:pPr>
            <w:r w:rsidRPr="00D2658A">
              <w:rPr>
                <w:rFonts w:ascii="Times New Roman" w:hAnsi="Times New Roman" w:cs="Times New Roman"/>
              </w:rPr>
              <w:t>No</w:t>
            </w:r>
          </w:p>
        </w:tc>
      </w:tr>
      <w:tr w:rsidR="009F4E32" w14:paraId="03637013" w14:textId="77777777" w:rsidTr="00E43B02">
        <w:tc>
          <w:tcPr>
            <w:tcW w:w="7840" w:type="dxa"/>
            <w:tcBorders>
              <w:left w:val="thinThickSmallGap" w:sz="24" w:space="0" w:color="auto"/>
            </w:tcBorders>
          </w:tcPr>
          <w:p w14:paraId="7AA3DC46" w14:textId="77777777" w:rsidR="009F4E32" w:rsidRPr="009F4E32" w:rsidRDefault="009F4E32" w:rsidP="00E43B02">
            <w:pPr>
              <w:rPr>
                <w:rFonts w:ascii="Times New Roman" w:hAnsi="Times New Roman" w:cs="Times New Roman"/>
                <w:b/>
                <w:sz w:val="24"/>
                <w:szCs w:val="24"/>
              </w:rPr>
            </w:pPr>
            <w:r w:rsidRPr="009F4E32">
              <w:rPr>
                <w:rFonts w:ascii="Times New Roman" w:hAnsi="Times New Roman" w:cs="Times New Roman"/>
                <w:b/>
                <w:sz w:val="24"/>
                <w:szCs w:val="24"/>
              </w:rPr>
              <w:t xml:space="preserve">Temporary or Permanent Resident of less than one month in a country with a high TB rate.  </w:t>
            </w:r>
          </w:p>
          <w:p w14:paraId="7B466D86" w14:textId="77777777" w:rsidR="009F4E32" w:rsidRPr="00D2658A" w:rsidRDefault="009F4E32" w:rsidP="00E43B02">
            <w:pPr>
              <w:rPr>
                <w:rFonts w:ascii="Times New Roman" w:hAnsi="Times New Roman" w:cs="Times New Roman"/>
                <w:i/>
              </w:rPr>
            </w:pPr>
            <w:r w:rsidRPr="00D2658A">
              <w:rPr>
                <w:rFonts w:ascii="Times New Roman" w:hAnsi="Times New Roman" w:cs="Times New Roman"/>
                <w:i/>
              </w:rPr>
              <w:t>(</w:t>
            </w:r>
            <w:r w:rsidRPr="007E3AB3">
              <w:rPr>
                <w:rFonts w:ascii="Times New Roman" w:hAnsi="Times New Roman" w:cs="Times New Roman"/>
                <w:i/>
                <w:sz w:val="20"/>
                <w:szCs w:val="20"/>
              </w:rPr>
              <w:t>Any Country other than the United States, Canada, Australia, New Zealand, and those in Northern Europe or Western Europe.)</w:t>
            </w:r>
          </w:p>
        </w:tc>
        <w:tc>
          <w:tcPr>
            <w:tcW w:w="718" w:type="dxa"/>
          </w:tcPr>
          <w:p w14:paraId="57E4B6DF"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7C487953" w14:textId="77777777" w:rsidR="009F4E32" w:rsidRPr="00D2658A" w:rsidRDefault="009F4E32" w:rsidP="00E43B02">
            <w:pPr>
              <w:rPr>
                <w:rFonts w:ascii="Times New Roman" w:hAnsi="Times New Roman" w:cs="Times New Roman"/>
              </w:rPr>
            </w:pPr>
          </w:p>
        </w:tc>
      </w:tr>
      <w:tr w:rsidR="009F4E32" w14:paraId="7C0AAC9B" w14:textId="77777777" w:rsidTr="00E43B02">
        <w:tc>
          <w:tcPr>
            <w:tcW w:w="7840" w:type="dxa"/>
            <w:tcBorders>
              <w:left w:val="thinThickSmallGap" w:sz="24" w:space="0" w:color="auto"/>
            </w:tcBorders>
          </w:tcPr>
          <w:p w14:paraId="18CF3364" w14:textId="77777777" w:rsidR="009F4E32" w:rsidRPr="00D2658A" w:rsidRDefault="009F4E32" w:rsidP="00E43B02">
            <w:pPr>
              <w:rPr>
                <w:rFonts w:ascii="Times New Roman" w:hAnsi="Times New Roman" w:cs="Times New Roman"/>
                <w:b/>
                <w:sz w:val="28"/>
                <w:szCs w:val="28"/>
              </w:rPr>
            </w:pPr>
            <w:r w:rsidRPr="00D2658A">
              <w:rPr>
                <w:rFonts w:ascii="Times New Roman" w:hAnsi="Times New Roman" w:cs="Times New Roman"/>
                <w:b/>
                <w:sz w:val="28"/>
                <w:szCs w:val="28"/>
              </w:rPr>
              <w:t>Current or Planned Immunosuppression</w:t>
            </w:r>
          </w:p>
          <w:p w14:paraId="5FF3366D" w14:textId="77777777" w:rsidR="009F4E32" w:rsidRPr="007E3AB3" w:rsidRDefault="009F4E32" w:rsidP="00E43B02">
            <w:pPr>
              <w:rPr>
                <w:rFonts w:ascii="Times New Roman" w:hAnsi="Times New Roman" w:cs="Times New Roman"/>
                <w:i/>
                <w:sz w:val="20"/>
                <w:szCs w:val="20"/>
              </w:rPr>
            </w:pPr>
            <w:r w:rsidRPr="007E3AB3">
              <w:rPr>
                <w:rFonts w:ascii="Times New Roman" w:hAnsi="Times New Roman" w:cs="Times New Roman"/>
                <w:i/>
                <w:sz w:val="20"/>
                <w:szCs w:val="20"/>
              </w:rPr>
              <w:t xml:space="preserve">Including human immunodeficiency virus (HIV) infection, organ transplant recipient, treatment with a TNF-alpha antagonist (e.g., infliximab, </w:t>
            </w:r>
            <w:proofErr w:type="spellStart"/>
            <w:r w:rsidRPr="007E3AB3">
              <w:rPr>
                <w:rFonts w:ascii="Times New Roman" w:hAnsi="Times New Roman" w:cs="Times New Roman"/>
                <w:i/>
                <w:sz w:val="20"/>
                <w:szCs w:val="20"/>
              </w:rPr>
              <w:t>etanerept</w:t>
            </w:r>
            <w:proofErr w:type="spellEnd"/>
            <w:r w:rsidRPr="007E3AB3">
              <w:rPr>
                <w:rFonts w:ascii="Times New Roman" w:hAnsi="Times New Roman" w:cs="Times New Roman"/>
                <w:i/>
                <w:sz w:val="20"/>
                <w:szCs w:val="20"/>
              </w:rPr>
              <w:t>, or other) chronic steroids (the equivalent of prednisone more than 15 mg/day for more than one month or other immunosuppressive medication.</w:t>
            </w:r>
          </w:p>
        </w:tc>
        <w:tc>
          <w:tcPr>
            <w:tcW w:w="718" w:type="dxa"/>
          </w:tcPr>
          <w:p w14:paraId="107BEF28"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7D929929" w14:textId="77777777" w:rsidR="009F4E32" w:rsidRPr="00D2658A" w:rsidRDefault="009F4E32" w:rsidP="00E43B02">
            <w:pPr>
              <w:rPr>
                <w:rFonts w:ascii="Times New Roman" w:hAnsi="Times New Roman" w:cs="Times New Roman"/>
              </w:rPr>
            </w:pPr>
          </w:p>
        </w:tc>
      </w:tr>
      <w:tr w:rsidR="009F4E32" w14:paraId="261197EF" w14:textId="77777777" w:rsidTr="00E43B02">
        <w:tc>
          <w:tcPr>
            <w:tcW w:w="7840" w:type="dxa"/>
            <w:tcBorders>
              <w:left w:val="thinThickSmallGap" w:sz="24" w:space="0" w:color="auto"/>
              <w:bottom w:val="thinThickSmallGap" w:sz="24" w:space="0" w:color="auto"/>
            </w:tcBorders>
          </w:tcPr>
          <w:p w14:paraId="408CBA1C" w14:textId="77777777" w:rsidR="009F4E32" w:rsidRPr="009F4E32" w:rsidRDefault="009F4E32" w:rsidP="00E43B02">
            <w:pPr>
              <w:rPr>
                <w:rFonts w:ascii="Times New Roman" w:hAnsi="Times New Roman" w:cs="Times New Roman"/>
                <w:b/>
                <w:sz w:val="24"/>
                <w:szCs w:val="24"/>
              </w:rPr>
            </w:pPr>
            <w:r w:rsidRPr="009F4E32">
              <w:rPr>
                <w:rFonts w:ascii="Times New Roman" w:hAnsi="Times New Roman" w:cs="Times New Roman"/>
                <w:b/>
                <w:sz w:val="24"/>
                <w:szCs w:val="24"/>
              </w:rPr>
              <w:t>Close contact with someone who has had infectious TB disease since the last TB Test</w:t>
            </w:r>
          </w:p>
        </w:tc>
        <w:tc>
          <w:tcPr>
            <w:tcW w:w="718" w:type="dxa"/>
            <w:tcBorders>
              <w:bottom w:val="thinThickSmallGap" w:sz="24" w:space="0" w:color="auto"/>
            </w:tcBorders>
          </w:tcPr>
          <w:p w14:paraId="71CC8B20" w14:textId="77777777" w:rsidR="009F4E32" w:rsidRPr="00D2658A" w:rsidRDefault="009F4E32" w:rsidP="00E43B02">
            <w:pPr>
              <w:rPr>
                <w:rFonts w:ascii="Times New Roman" w:hAnsi="Times New Roman" w:cs="Times New Roman"/>
              </w:rPr>
            </w:pPr>
          </w:p>
        </w:tc>
        <w:tc>
          <w:tcPr>
            <w:tcW w:w="712" w:type="dxa"/>
            <w:tcBorders>
              <w:bottom w:val="thinThickSmallGap" w:sz="24" w:space="0" w:color="auto"/>
              <w:right w:val="thinThickSmallGap" w:sz="24" w:space="0" w:color="auto"/>
            </w:tcBorders>
          </w:tcPr>
          <w:p w14:paraId="4F024B5A" w14:textId="77777777" w:rsidR="009F4E32" w:rsidRPr="00D2658A" w:rsidRDefault="009F4E32" w:rsidP="00E43B02">
            <w:pPr>
              <w:rPr>
                <w:rFonts w:ascii="Times New Roman" w:hAnsi="Times New Roman" w:cs="Times New Roman"/>
              </w:rPr>
            </w:pPr>
          </w:p>
        </w:tc>
      </w:tr>
      <w:tr w:rsidR="009F4E32" w14:paraId="3C0D56F1" w14:textId="77777777" w:rsidTr="00E43B02">
        <w:tc>
          <w:tcPr>
            <w:tcW w:w="9270" w:type="dxa"/>
            <w:gridSpan w:val="3"/>
            <w:tcBorders>
              <w:top w:val="thinThickSmallGap" w:sz="24" w:space="0" w:color="auto"/>
              <w:left w:val="nil"/>
              <w:bottom w:val="thinThickSmallGap" w:sz="24" w:space="0" w:color="auto"/>
              <w:right w:val="nil"/>
            </w:tcBorders>
          </w:tcPr>
          <w:p w14:paraId="0BFE764E" w14:textId="77777777" w:rsidR="009F4E32" w:rsidRPr="007E3AB3" w:rsidRDefault="009F4E32" w:rsidP="00E43B02">
            <w:pPr>
              <w:rPr>
                <w:rFonts w:ascii="Times New Roman" w:hAnsi="Times New Roman" w:cs="Times New Roman"/>
                <w:b/>
                <w:sz w:val="36"/>
                <w:szCs w:val="36"/>
              </w:rPr>
            </w:pPr>
          </w:p>
        </w:tc>
      </w:tr>
      <w:tr w:rsidR="009F4E32" w14:paraId="7DFC5641" w14:textId="77777777" w:rsidTr="00E43B02">
        <w:tc>
          <w:tcPr>
            <w:tcW w:w="7840" w:type="dxa"/>
            <w:tcBorders>
              <w:top w:val="thinThickSmallGap" w:sz="24" w:space="0" w:color="auto"/>
              <w:left w:val="thinThickSmallGap" w:sz="24" w:space="0" w:color="auto"/>
            </w:tcBorders>
          </w:tcPr>
          <w:p w14:paraId="66CD35C3" w14:textId="77777777" w:rsidR="009F4E32" w:rsidRDefault="009F4E32" w:rsidP="00E43B02">
            <w:pPr>
              <w:jc w:val="center"/>
              <w:rPr>
                <w:rFonts w:ascii="Times New Roman" w:hAnsi="Times New Roman" w:cs="Times New Roman"/>
                <w:b/>
                <w:sz w:val="36"/>
                <w:szCs w:val="36"/>
              </w:rPr>
            </w:pPr>
            <w:r w:rsidRPr="007E3AB3">
              <w:rPr>
                <w:rFonts w:ascii="Times New Roman" w:hAnsi="Times New Roman" w:cs="Times New Roman"/>
                <w:b/>
                <w:sz w:val="36"/>
                <w:szCs w:val="36"/>
              </w:rPr>
              <w:t>Symptoms Suggestive of TB</w:t>
            </w:r>
          </w:p>
          <w:p w14:paraId="69946E5A" w14:textId="77777777" w:rsidR="009F4E32" w:rsidRPr="007E3AB3" w:rsidRDefault="009F4E32" w:rsidP="00E43B02">
            <w:pPr>
              <w:jc w:val="center"/>
              <w:rPr>
                <w:rFonts w:ascii="Times New Roman" w:hAnsi="Times New Roman" w:cs="Times New Roman"/>
                <w:sz w:val="32"/>
                <w:szCs w:val="32"/>
              </w:rPr>
            </w:pPr>
          </w:p>
        </w:tc>
        <w:tc>
          <w:tcPr>
            <w:tcW w:w="718" w:type="dxa"/>
            <w:tcBorders>
              <w:top w:val="thinThickSmallGap" w:sz="24" w:space="0" w:color="auto"/>
            </w:tcBorders>
          </w:tcPr>
          <w:p w14:paraId="7E5A5DD7" w14:textId="77777777" w:rsidR="009F4E32" w:rsidRPr="00D2658A" w:rsidRDefault="009F4E32" w:rsidP="00E43B02">
            <w:pPr>
              <w:rPr>
                <w:rFonts w:ascii="Times New Roman" w:hAnsi="Times New Roman" w:cs="Times New Roman"/>
              </w:rPr>
            </w:pPr>
            <w:r>
              <w:rPr>
                <w:rFonts w:ascii="Times New Roman" w:hAnsi="Times New Roman" w:cs="Times New Roman"/>
              </w:rPr>
              <w:t>Yes</w:t>
            </w:r>
          </w:p>
        </w:tc>
        <w:tc>
          <w:tcPr>
            <w:tcW w:w="712" w:type="dxa"/>
            <w:tcBorders>
              <w:top w:val="thinThickSmallGap" w:sz="24" w:space="0" w:color="auto"/>
              <w:right w:val="thinThickSmallGap" w:sz="24" w:space="0" w:color="auto"/>
            </w:tcBorders>
          </w:tcPr>
          <w:p w14:paraId="6BCEF791" w14:textId="77777777" w:rsidR="009F4E32" w:rsidRPr="00D2658A" w:rsidRDefault="009F4E32" w:rsidP="00E43B02">
            <w:pPr>
              <w:rPr>
                <w:rFonts w:ascii="Times New Roman" w:hAnsi="Times New Roman" w:cs="Times New Roman"/>
              </w:rPr>
            </w:pPr>
            <w:r>
              <w:rPr>
                <w:rFonts w:ascii="Times New Roman" w:hAnsi="Times New Roman" w:cs="Times New Roman"/>
              </w:rPr>
              <w:t>No</w:t>
            </w:r>
          </w:p>
        </w:tc>
      </w:tr>
      <w:tr w:rsidR="009F4E32" w14:paraId="57EDC6C4" w14:textId="77777777" w:rsidTr="00E43B02">
        <w:tc>
          <w:tcPr>
            <w:tcW w:w="7840" w:type="dxa"/>
            <w:tcBorders>
              <w:left w:val="thinThickSmallGap" w:sz="24" w:space="0" w:color="auto"/>
            </w:tcBorders>
          </w:tcPr>
          <w:p w14:paraId="5486010F" w14:textId="77777777" w:rsidR="009F4E32" w:rsidRPr="007E3AB3" w:rsidRDefault="009F4E32" w:rsidP="00E43B02">
            <w:pPr>
              <w:shd w:val="clear" w:color="auto" w:fill="FFFFFF"/>
              <w:spacing w:before="100" w:beforeAutospacing="1" w:after="100" w:afterAutospacing="1"/>
              <w:rPr>
                <w:rFonts w:ascii="Times New Roman" w:eastAsia="Times New Roman" w:hAnsi="Times New Roman" w:cs="Times New Roman"/>
                <w:b/>
                <w:color w:val="000000"/>
                <w:sz w:val="24"/>
                <w:szCs w:val="24"/>
              </w:rPr>
            </w:pPr>
            <w:r w:rsidRPr="00AD6DF5">
              <w:rPr>
                <w:rFonts w:ascii="Times New Roman" w:eastAsia="Times New Roman" w:hAnsi="Times New Roman" w:cs="Times New Roman"/>
                <w:b/>
                <w:color w:val="000000"/>
                <w:sz w:val="24"/>
                <w:szCs w:val="24"/>
              </w:rPr>
              <w:t>A bad cough</w:t>
            </w:r>
            <w:r>
              <w:rPr>
                <w:rFonts w:ascii="Times New Roman" w:eastAsia="Times New Roman" w:hAnsi="Times New Roman" w:cs="Times New Roman"/>
                <w:b/>
                <w:color w:val="000000"/>
                <w:sz w:val="24"/>
                <w:szCs w:val="24"/>
              </w:rPr>
              <w:t xml:space="preserve"> lasting ≥ 3 weeks</w:t>
            </w:r>
          </w:p>
        </w:tc>
        <w:tc>
          <w:tcPr>
            <w:tcW w:w="718" w:type="dxa"/>
          </w:tcPr>
          <w:p w14:paraId="33E3899F"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3B236530" w14:textId="77777777" w:rsidR="009F4E32" w:rsidRPr="00D2658A" w:rsidRDefault="009F4E32" w:rsidP="00E43B02">
            <w:pPr>
              <w:rPr>
                <w:rFonts w:ascii="Times New Roman" w:hAnsi="Times New Roman" w:cs="Times New Roman"/>
              </w:rPr>
            </w:pPr>
          </w:p>
        </w:tc>
      </w:tr>
      <w:tr w:rsidR="009F4E32" w14:paraId="04815D53" w14:textId="77777777" w:rsidTr="00E43B02">
        <w:tc>
          <w:tcPr>
            <w:tcW w:w="7840" w:type="dxa"/>
            <w:tcBorders>
              <w:left w:val="thinThickSmallGap" w:sz="24" w:space="0" w:color="auto"/>
            </w:tcBorders>
          </w:tcPr>
          <w:p w14:paraId="57EF2F5C" w14:textId="77777777" w:rsidR="009F4E32" w:rsidRPr="007E3AB3" w:rsidRDefault="009F4E32" w:rsidP="00E43B02">
            <w:pPr>
              <w:shd w:val="clear" w:color="auto" w:fill="FFFFFF"/>
              <w:spacing w:before="100" w:beforeAutospacing="1" w:after="100" w:after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Hemoptysis (coughing up blood)</w:t>
            </w:r>
          </w:p>
        </w:tc>
        <w:tc>
          <w:tcPr>
            <w:tcW w:w="718" w:type="dxa"/>
          </w:tcPr>
          <w:p w14:paraId="0DF8B451"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192A3D60" w14:textId="77777777" w:rsidR="009F4E32" w:rsidRPr="00D2658A" w:rsidRDefault="009F4E32" w:rsidP="00E43B02">
            <w:pPr>
              <w:rPr>
                <w:rFonts w:ascii="Times New Roman" w:hAnsi="Times New Roman" w:cs="Times New Roman"/>
              </w:rPr>
            </w:pPr>
          </w:p>
        </w:tc>
      </w:tr>
      <w:tr w:rsidR="009F4E32" w14:paraId="31E9A0A5" w14:textId="77777777" w:rsidTr="00E43B02">
        <w:tc>
          <w:tcPr>
            <w:tcW w:w="7840" w:type="dxa"/>
            <w:tcBorders>
              <w:left w:val="thinThickSmallGap" w:sz="24" w:space="0" w:color="auto"/>
            </w:tcBorders>
          </w:tcPr>
          <w:p w14:paraId="71E5FDA2" w14:textId="77777777" w:rsidR="009F4E32" w:rsidRPr="007E3AB3" w:rsidRDefault="009F4E32" w:rsidP="00E43B02">
            <w:pPr>
              <w:shd w:val="clear" w:color="auto" w:fill="FFFFFF"/>
              <w:spacing w:before="100" w:beforeAutospacing="1" w:after="100" w:after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Fever, chills or nights sweats for no known reason</w:t>
            </w:r>
          </w:p>
        </w:tc>
        <w:tc>
          <w:tcPr>
            <w:tcW w:w="718" w:type="dxa"/>
          </w:tcPr>
          <w:p w14:paraId="1F4030CE"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7C9D1989" w14:textId="77777777" w:rsidR="009F4E32" w:rsidRPr="00D2658A" w:rsidRDefault="009F4E32" w:rsidP="00E43B02">
            <w:pPr>
              <w:rPr>
                <w:rFonts w:ascii="Times New Roman" w:hAnsi="Times New Roman" w:cs="Times New Roman"/>
              </w:rPr>
            </w:pPr>
          </w:p>
        </w:tc>
      </w:tr>
      <w:tr w:rsidR="009F4E32" w14:paraId="169EDE11" w14:textId="77777777" w:rsidTr="00E43B02">
        <w:tc>
          <w:tcPr>
            <w:tcW w:w="7840" w:type="dxa"/>
            <w:tcBorders>
              <w:left w:val="thinThickSmallGap" w:sz="24" w:space="0" w:color="auto"/>
            </w:tcBorders>
          </w:tcPr>
          <w:p w14:paraId="6AC4A7CA" w14:textId="77777777" w:rsidR="009F4E32" w:rsidRPr="007E3AB3" w:rsidRDefault="009F4E32" w:rsidP="00E43B02">
            <w:pPr>
              <w:rPr>
                <w:rFonts w:ascii="Times New Roman" w:hAnsi="Times New Roman" w:cs="Times New Roman"/>
                <w:b/>
                <w:sz w:val="24"/>
                <w:szCs w:val="24"/>
              </w:rPr>
            </w:pPr>
            <w:r>
              <w:rPr>
                <w:rFonts w:ascii="Times New Roman" w:hAnsi="Times New Roman" w:cs="Times New Roman"/>
                <w:b/>
                <w:sz w:val="24"/>
                <w:szCs w:val="24"/>
              </w:rPr>
              <w:t>Persistent shortness of breath</w:t>
            </w:r>
          </w:p>
        </w:tc>
        <w:tc>
          <w:tcPr>
            <w:tcW w:w="718" w:type="dxa"/>
          </w:tcPr>
          <w:p w14:paraId="1565E606"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01362E67" w14:textId="77777777" w:rsidR="009F4E32" w:rsidRPr="00D2658A" w:rsidRDefault="009F4E32" w:rsidP="00E43B02">
            <w:pPr>
              <w:rPr>
                <w:rFonts w:ascii="Times New Roman" w:hAnsi="Times New Roman" w:cs="Times New Roman"/>
              </w:rPr>
            </w:pPr>
          </w:p>
        </w:tc>
      </w:tr>
      <w:tr w:rsidR="009F4E32" w14:paraId="70F89F65" w14:textId="77777777" w:rsidTr="00E43B02">
        <w:tc>
          <w:tcPr>
            <w:tcW w:w="7840" w:type="dxa"/>
            <w:tcBorders>
              <w:left w:val="thinThickSmallGap" w:sz="24" w:space="0" w:color="auto"/>
            </w:tcBorders>
          </w:tcPr>
          <w:p w14:paraId="67B9F1F0" w14:textId="77777777" w:rsidR="009F4E32" w:rsidRPr="007E3AB3" w:rsidRDefault="009F4E32" w:rsidP="00E43B02">
            <w:pPr>
              <w:shd w:val="clear" w:color="auto" w:fill="FFFFFF"/>
              <w:spacing w:before="100" w:beforeAutospacing="1" w:after="100" w:after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Chest pain</w:t>
            </w:r>
          </w:p>
        </w:tc>
        <w:tc>
          <w:tcPr>
            <w:tcW w:w="718" w:type="dxa"/>
          </w:tcPr>
          <w:p w14:paraId="63837FA1"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46C43A2D" w14:textId="77777777" w:rsidR="009F4E32" w:rsidRPr="00D2658A" w:rsidRDefault="009F4E32" w:rsidP="00E43B02">
            <w:pPr>
              <w:rPr>
                <w:rFonts w:ascii="Times New Roman" w:hAnsi="Times New Roman" w:cs="Times New Roman"/>
              </w:rPr>
            </w:pPr>
          </w:p>
        </w:tc>
      </w:tr>
      <w:tr w:rsidR="009F4E32" w14:paraId="67E43E88" w14:textId="77777777" w:rsidTr="00E43B02">
        <w:tc>
          <w:tcPr>
            <w:tcW w:w="7840" w:type="dxa"/>
            <w:tcBorders>
              <w:left w:val="thinThickSmallGap" w:sz="24" w:space="0" w:color="auto"/>
            </w:tcBorders>
          </w:tcPr>
          <w:p w14:paraId="0D07D7BC" w14:textId="77777777" w:rsidR="009F4E32" w:rsidRPr="007E3AB3" w:rsidRDefault="009F4E32" w:rsidP="00E43B02">
            <w:pPr>
              <w:shd w:val="clear" w:color="auto" w:fill="FFFFFF"/>
              <w:spacing w:before="100" w:beforeAutospacing="1" w:after="100" w:afterAutospacing="1"/>
              <w:rPr>
                <w:rFonts w:ascii="Times New Roman" w:eastAsia="Times New Roman" w:hAnsi="Times New Roman" w:cs="Times New Roman"/>
                <w:b/>
                <w:color w:val="000000"/>
                <w:sz w:val="24"/>
                <w:szCs w:val="24"/>
              </w:rPr>
            </w:pPr>
            <w:r w:rsidRPr="00D25565">
              <w:rPr>
                <w:rFonts w:ascii="Times New Roman" w:eastAsia="Times New Roman" w:hAnsi="Times New Roman" w:cs="Times New Roman"/>
                <w:b/>
                <w:color w:val="000000"/>
                <w:sz w:val="24"/>
                <w:szCs w:val="24"/>
              </w:rPr>
              <w:t>Unexplained weakness or fatigue</w:t>
            </w:r>
          </w:p>
        </w:tc>
        <w:tc>
          <w:tcPr>
            <w:tcW w:w="718" w:type="dxa"/>
          </w:tcPr>
          <w:p w14:paraId="00EC0C76" w14:textId="77777777" w:rsidR="009F4E32" w:rsidRPr="00D2658A" w:rsidRDefault="009F4E32" w:rsidP="00E43B02">
            <w:pPr>
              <w:rPr>
                <w:rFonts w:ascii="Times New Roman" w:hAnsi="Times New Roman" w:cs="Times New Roman"/>
              </w:rPr>
            </w:pPr>
          </w:p>
        </w:tc>
        <w:tc>
          <w:tcPr>
            <w:tcW w:w="712" w:type="dxa"/>
            <w:tcBorders>
              <w:right w:val="thinThickSmallGap" w:sz="24" w:space="0" w:color="auto"/>
            </w:tcBorders>
          </w:tcPr>
          <w:p w14:paraId="7AA6B114" w14:textId="77777777" w:rsidR="009F4E32" w:rsidRPr="00D2658A" w:rsidRDefault="009F4E32" w:rsidP="00E43B02">
            <w:pPr>
              <w:rPr>
                <w:rFonts w:ascii="Times New Roman" w:hAnsi="Times New Roman" w:cs="Times New Roman"/>
              </w:rPr>
            </w:pPr>
          </w:p>
        </w:tc>
      </w:tr>
      <w:tr w:rsidR="009F4E32" w14:paraId="05D31977" w14:textId="77777777" w:rsidTr="00E43B02">
        <w:tc>
          <w:tcPr>
            <w:tcW w:w="7840" w:type="dxa"/>
            <w:tcBorders>
              <w:left w:val="thinThickSmallGap" w:sz="24" w:space="0" w:color="auto"/>
              <w:bottom w:val="thinThickSmallGap" w:sz="24" w:space="0" w:color="auto"/>
            </w:tcBorders>
          </w:tcPr>
          <w:p w14:paraId="3A3FCCEF" w14:textId="77777777" w:rsidR="009F4E32" w:rsidRPr="007E3AB3" w:rsidRDefault="009F4E32" w:rsidP="00E43B02">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Unexplained weight loss</w:t>
            </w:r>
          </w:p>
        </w:tc>
        <w:tc>
          <w:tcPr>
            <w:tcW w:w="718" w:type="dxa"/>
            <w:tcBorders>
              <w:bottom w:val="thinThickSmallGap" w:sz="24" w:space="0" w:color="auto"/>
            </w:tcBorders>
          </w:tcPr>
          <w:p w14:paraId="3CA5CB62" w14:textId="77777777" w:rsidR="009F4E32" w:rsidRPr="00D2658A" w:rsidRDefault="009F4E32" w:rsidP="00E43B02">
            <w:pPr>
              <w:rPr>
                <w:rFonts w:ascii="Times New Roman" w:hAnsi="Times New Roman" w:cs="Times New Roman"/>
              </w:rPr>
            </w:pPr>
          </w:p>
        </w:tc>
        <w:tc>
          <w:tcPr>
            <w:tcW w:w="712" w:type="dxa"/>
            <w:tcBorders>
              <w:bottom w:val="thinThickSmallGap" w:sz="24" w:space="0" w:color="auto"/>
              <w:right w:val="thinThickSmallGap" w:sz="24" w:space="0" w:color="auto"/>
            </w:tcBorders>
          </w:tcPr>
          <w:p w14:paraId="3F785148" w14:textId="77777777" w:rsidR="009F4E32" w:rsidRPr="00D2658A" w:rsidRDefault="009F4E32" w:rsidP="00E43B02">
            <w:pPr>
              <w:rPr>
                <w:rFonts w:ascii="Times New Roman" w:hAnsi="Times New Roman" w:cs="Times New Roman"/>
              </w:rPr>
            </w:pPr>
          </w:p>
        </w:tc>
      </w:tr>
    </w:tbl>
    <w:p w14:paraId="126EE5BD" w14:textId="77777777" w:rsidR="009F4E32" w:rsidRPr="00993347" w:rsidRDefault="009F4E32" w:rsidP="009F4E32">
      <w:pPr>
        <w:spacing w:after="0" w:line="240" w:lineRule="auto"/>
        <w:rPr>
          <w:rFonts w:ascii="Times New Roman" w:hAnsi="Times New Roman" w:cs="Times New Roman"/>
          <w:b/>
        </w:rPr>
      </w:pPr>
      <w:r w:rsidRPr="00993347">
        <w:rPr>
          <w:rFonts w:ascii="Times New Roman" w:hAnsi="Times New Roman" w:cs="Times New Roman"/>
          <w:b/>
        </w:rPr>
        <w:t>I have read and answered all sections as indicated.</w:t>
      </w:r>
    </w:p>
    <w:p w14:paraId="43702F7E" w14:textId="77777777" w:rsidR="009F4E32" w:rsidRDefault="009F4E32" w:rsidP="009F4E32">
      <w:pPr>
        <w:spacing w:after="0" w:line="240" w:lineRule="auto"/>
        <w:jc w:val="center"/>
        <w:rPr>
          <w:rFonts w:ascii="Times New Roman" w:hAnsi="Times New Roman" w:cs="Times New Roman"/>
        </w:rPr>
      </w:pPr>
    </w:p>
    <w:p w14:paraId="41DAD894" w14:textId="77777777" w:rsidR="009F4E32" w:rsidRDefault="009F4E32" w:rsidP="009F4E32">
      <w:pPr>
        <w:pBdr>
          <w:bottom w:val="single" w:sz="12" w:space="1" w:color="auto"/>
        </w:pBdr>
        <w:spacing w:after="0" w:line="240" w:lineRule="auto"/>
        <w:rPr>
          <w:rFonts w:ascii="Times New Roman" w:hAnsi="Times New Roman" w:cs="Times New Roman"/>
        </w:rPr>
      </w:pPr>
      <w:r>
        <w:rPr>
          <w:rFonts w:ascii="Times New Roman" w:hAnsi="Times New Roman" w:cs="Times New Roman"/>
        </w:rPr>
        <w:t>Staff Signature________________________________________________________Date___________</w:t>
      </w:r>
    </w:p>
    <w:p w14:paraId="03B37D83" w14:textId="77777777" w:rsidR="009F4E32" w:rsidRDefault="009F4E32" w:rsidP="009F4E32">
      <w:pPr>
        <w:pBdr>
          <w:bottom w:val="single" w:sz="12" w:space="1" w:color="auto"/>
        </w:pBdr>
        <w:spacing w:after="0" w:line="240" w:lineRule="auto"/>
        <w:rPr>
          <w:rFonts w:ascii="Times New Roman" w:hAnsi="Times New Roman" w:cs="Times New Roman"/>
        </w:rPr>
      </w:pPr>
    </w:p>
    <w:p w14:paraId="17E2B29B" w14:textId="77777777" w:rsidR="009F4E32" w:rsidRPr="00993347" w:rsidRDefault="009F4E32" w:rsidP="009F4E32">
      <w:pPr>
        <w:spacing w:after="0" w:line="240" w:lineRule="auto"/>
        <w:jc w:val="center"/>
        <w:rPr>
          <w:rFonts w:ascii="Times New Roman" w:hAnsi="Times New Roman" w:cs="Times New Roman"/>
          <w:sz w:val="24"/>
          <w:szCs w:val="24"/>
        </w:rPr>
      </w:pPr>
    </w:p>
    <w:p w14:paraId="6EEA97A2" w14:textId="77777777" w:rsidR="009F4E32" w:rsidRPr="00993347" w:rsidRDefault="009F4E32" w:rsidP="009F4E32">
      <w:pPr>
        <w:spacing w:after="0" w:line="240" w:lineRule="auto"/>
        <w:jc w:val="center"/>
        <w:rPr>
          <w:rFonts w:ascii="Times New Roman" w:hAnsi="Times New Roman" w:cs="Times New Roman"/>
          <w:b/>
          <w:sz w:val="28"/>
          <w:szCs w:val="28"/>
          <w:u w:val="single"/>
        </w:rPr>
      </w:pPr>
      <w:r w:rsidRPr="00993347">
        <w:rPr>
          <w:rFonts w:ascii="Times New Roman" w:hAnsi="Times New Roman" w:cs="Times New Roman"/>
          <w:b/>
          <w:sz w:val="28"/>
          <w:szCs w:val="28"/>
          <w:u w:val="single"/>
        </w:rPr>
        <w:t>Reviewers Assessment</w:t>
      </w:r>
    </w:p>
    <w:p w14:paraId="38C80BF3" w14:textId="77777777" w:rsidR="009F4E32" w:rsidRDefault="009F4E32" w:rsidP="009F4E32">
      <w:pPr>
        <w:spacing w:after="0" w:line="240" w:lineRule="auto"/>
        <w:rPr>
          <w:rFonts w:ascii="Times New Roman" w:hAnsi="Times New Roman" w:cs="Times New Roman"/>
          <w:b/>
          <w:sz w:val="24"/>
          <w:szCs w:val="24"/>
        </w:rPr>
      </w:pPr>
      <w:r w:rsidRPr="00993347">
        <w:rPr>
          <w:rFonts w:ascii="Times New Roman" w:hAnsi="Times New Roman" w:cs="Times New Roman"/>
          <w:b/>
          <w:sz w:val="24"/>
          <w:szCs w:val="24"/>
        </w:rPr>
        <w:t xml:space="preserve">                    TB Testing is indicated at this time                           Yes_____            No______</w:t>
      </w:r>
    </w:p>
    <w:p w14:paraId="6D7F4AE8" w14:textId="77777777" w:rsidR="009F4E32" w:rsidRPr="00993347" w:rsidRDefault="009F4E32" w:rsidP="009F4E32">
      <w:pPr>
        <w:spacing w:line="240" w:lineRule="auto"/>
        <w:rPr>
          <w:rFonts w:ascii="Times New Roman" w:hAnsi="Times New Roman" w:cs="Times New Roman"/>
          <w:b/>
          <w:sz w:val="24"/>
          <w:szCs w:val="24"/>
        </w:rPr>
      </w:pPr>
      <w:r>
        <w:rPr>
          <w:rFonts w:ascii="Times New Roman" w:hAnsi="Times New Roman" w:cs="Times New Roman"/>
          <w:b/>
          <w:sz w:val="24"/>
          <w:szCs w:val="24"/>
        </w:rPr>
        <w:tab/>
        <w:t xml:space="preserve">    LTBI Testing is indicated at this time                           Yes_____</w:t>
      </w:r>
      <w:r>
        <w:rPr>
          <w:rFonts w:ascii="Times New Roman" w:hAnsi="Times New Roman" w:cs="Times New Roman"/>
          <w:b/>
          <w:sz w:val="24"/>
          <w:szCs w:val="24"/>
        </w:rPr>
        <w:tab/>
        <w:t xml:space="preserve">   No______</w:t>
      </w:r>
    </w:p>
    <w:p w14:paraId="47699A1F" w14:textId="77777777" w:rsidR="009F4E32" w:rsidRDefault="009F4E32" w:rsidP="009F4E32">
      <w:pPr>
        <w:spacing w:after="0" w:line="240" w:lineRule="auto"/>
        <w:rPr>
          <w:rFonts w:ascii="Times New Roman" w:hAnsi="Times New Roman" w:cs="Times New Roman"/>
        </w:rPr>
      </w:pPr>
      <w:r>
        <w:rPr>
          <w:rFonts w:ascii="Times New Roman" w:hAnsi="Times New Roman" w:cs="Times New Roman"/>
        </w:rPr>
        <w:t>Reviewers Name ____________________________________________________Title___________</w:t>
      </w:r>
    </w:p>
    <w:p w14:paraId="394A6A35" w14:textId="77777777" w:rsidR="009F4E32" w:rsidRDefault="009F4E32" w:rsidP="009F4E32">
      <w:pPr>
        <w:spacing w:line="240" w:lineRule="auto"/>
        <w:rPr>
          <w:rFonts w:ascii="Times New Roman" w:hAnsi="Times New Roman" w:cs="Times New Roman"/>
        </w:rPr>
      </w:pPr>
      <w:r>
        <w:rPr>
          <w:rFonts w:ascii="Times New Roman" w:hAnsi="Times New Roman" w:cs="Times New Roman"/>
        </w:rPr>
        <w:t xml:space="preserve">                            Print Clearly</w:t>
      </w:r>
    </w:p>
    <w:p w14:paraId="74058675" w14:textId="77777777" w:rsidR="009F4E32" w:rsidRDefault="009F4E32" w:rsidP="009F4E32">
      <w:pPr>
        <w:spacing w:line="240" w:lineRule="auto"/>
        <w:rPr>
          <w:rFonts w:ascii="Times New Roman" w:hAnsi="Times New Roman" w:cs="Times New Roman"/>
        </w:rPr>
      </w:pPr>
      <w:r>
        <w:rPr>
          <w:rFonts w:ascii="Times New Roman" w:hAnsi="Times New Roman" w:cs="Times New Roman"/>
        </w:rPr>
        <w:t>Reviewers Signature__________________________________________________Date___________</w:t>
      </w:r>
    </w:p>
    <w:p w14:paraId="09DF7E5A" w14:textId="6EE576A5" w:rsidR="009F4E32" w:rsidRPr="009F4E32" w:rsidRDefault="009F4E32" w:rsidP="009F4E32">
      <w:pPr>
        <w:spacing w:line="240" w:lineRule="auto"/>
        <w:rPr>
          <w:rFonts w:ascii="Times New Roman" w:hAnsi="Times New Roman" w:cs="Times New Roman"/>
        </w:rPr>
      </w:pPr>
      <w:r w:rsidRPr="00993347">
        <w:rPr>
          <w:rFonts w:ascii="Times New Roman" w:hAnsi="Times New Roman" w:cs="Times New Roman"/>
          <w:sz w:val="20"/>
          <w:szCs w:val="20"/>
        </w:rPr>
        <w:t>Questions about testing can be directed to the NYS DOH Bureau of Tuberculosis Control tbcontrol@health.ny.gov.</w:t>
      </w:r>
    </w:p>
    <w:p w14:paraId="3ED4680E" w14:textId="77777777" w:rsidR="009F4E32" w:rsidRPr="00DC494B" w:rsidRDefault="009F4E32" w:rsidP="00DC494B">
      <w:pPr>
        <w:pStyle w:val="ListParagraph"/>
        <w:spacing w:after="200" w:line="276" w:lineRule="auto"/>
        <w:ind w:left="0"/>
        <w:rPr>
          <w:rFonts w:ascii="Times New Roman" w:hAnsi="Times New Roman" w:cs="Times New Roman"/>
          <w:sz w:val="24"/>
          <w:szCs w:val="24"/>
        </w:rPr>
      </w:pPr>
    </w:p>
    <w:p w14:paraId="13B70B9F" w14:textId="78D4B6A1" w:rsidR="00643FA7" w:rsidRPr="00643FA7" w:rsidRDefault="00643FA7" w:rsidP="00982E89">
      <w:pPr>
        <w:spacing w:after="0"/>
        <w:rPr>
          <w:rFonts w:ascii="Times New Roman" w:hAnsi="Times New Roman" w:cs="Times New Roman"/>
          <w:b/>
          <w:bCs/>
          <w:sz w:val="24"/>
          <w:szCs w:val="24"/>
          <w:u w:val="single"/>
        </w:rPr>
      </w:pPr>
      <w:r w:rsidRPr="00643FA7">
        <w:rPr>
          <w:rFonts w:ascii="Times New Roman" w:hAnsi="Times New Roman" w:cs="Times New Roman"/>
          <w:b/>
          <w:bCs/>
          <w:sz w:val="24"/>
          <w:szCs w:val="24"/>
          <w:u w:val="single"/>
        </w:rPr>
        <w:t>REFERENCES</w:t>
      </w:r>
    </w:p>
    <w:p w14:paraId="3A3C2673" w14:textId="77777777" w:rsidR="00B63932" w:rsidRDefault="00B63932" w:rsidP="00982E89">
      <w:pPr>
        <w:spacing w:after="0"/>
        <w:rPr>
          <w:rFonts w:ascii="Times New Roman" w:hAnsi="Times New Roman" w:cs="Times New Roman"/>
          <w:sz w:val="24"/>
          <w:szCs w:val="24"/>
        </w:rPr>
      </w:pPr>
    </w:p>
    <w:p w14:paraId="235DE908" w14:textId="2BC185F1" w:rsidR="00643FA7" w:rsidRDefault="00643FA7" w:rsidP="00982E89">
      <w:pPr>
        <w:spacing w:after="0"/>
        <w:rPr>
          <w:rFonts w:ascii="Times New Roman" w:hAnsi="Times New Roman" w:cs="Times New Roman"/>
          <w:sz w:val="24"/>
          <w:szCs w:val="24"/>
        </w:rPr>
      </w:pPr>
      <w:r>
        <w:rPr>
          <w:rFonts w:ascii="Times New Roman" w:hAnsi="Times New Roman" w:cs="Times New Roman"/>
          <w:sz w:val="24"/>
          <w:szCs w:val="24"/>
        </w:rPr>
        <w:t xml:space="preserve">CDC (3/20/2016). Basic TB Facts. </w:t>
      </w:r>
      <w:hyperlink r:id="rId7" w:history="1">
        <w:r w:rsidRPr="005133AF">
          <w:rPr>
            <w:rStyle w:val="Hyperlink"/>
            <w:rFonts w:ascii="Times New Roman" w:hAnsi="Times New Roman" w:cs="Times New Roman"/>
            <w:sz w:val="24"/>
            <w:szCs w:val="24"/>
          </w:rPr>
          <w:t>https://www.cdc.gov/tb/topic/basics/default.htm</w:t>
        </w:r>
      </w:hyperlink>
    </w:p>
    <w:p w14:paraId="0D55605E" w14:textId="1F5E9C11" w:rsidR="00B63932" w:rsidRDefault="00B63932" w:rsidP="00982E89">
      <w:pPr>
        <w:spacing w:after="0"/>
        <w:rPr>
          <w:rFonts w:ascii="Times New Roman" w:hAnsi="Times New Roman" w:cs="Times New Roman"/>
          <w:sz w:val="24"/>
          <w:szCs w:val="24"/>
        </w:rPr>
      </w:pPr>
    </w:p>
    <w:p w14:paraId="0B95E835" w14:textId="2ECB93EF" w:rsidR="00B63932" w:rsidRDefault="00B63932" w:rsidP="00982E89">
      <w:pPr>
        <w:spacing w:after="0"/>
        <w:rPr>
          <w:rFonts w:ascii="Times New Roman" w:hAnsi="Times New Roman" w:cs="Times New Roman"/>
          <w:sz w:val="24"/>
          <w:szCs w:val="24"/>
        </w:rPr>
      </w:pPr>
      <w:r>
        <w:rPr>
          <w:rFonts w:ascii="Times New Roman" w:hAnsi="Times New Roman" w:cs="Times New Roman"/>
          <w:sz w:val="24"/>
          <w:szCs w:val="24"/>
        </w:rPr>
        <w:t xml:space="preserve">CDC (11/2/2020). Fact Sheet: Tuberculin Skin Testing. </w:t>
      </w:r>
      <w:hyperlink r:id="rId8" w:history="1">
        <w:r w:rsidRPr="005133AF">
          <w:rPr>
            <w:rStyle w:val="Hyperlink"/>
            <w:rFonts w:ascii="Times New Roman" w:hAnsi="Times New Roman" w:cs="Times New Roman"/>
            <w:sz w:val="24"/>
            <w:szCs w:val="24"/>
          </w:rPr>
          <w:t>https://www.cdc.gov/tb/publications/factsheets/testing/skintesting.htm</w:t>
        </w:r>
      </w:hyperlink>
    </w:p>
    <w:p w14:paraId="440299DD" w14:textId="77777777" w:rsidR="00B63932" w:rsidRDefault="00B63932" w:rsidP="00982E89">
      <w:pPr>
        <w:spacing w:after="0"/>
        <w:rPr>
          <w:rFonts w:ascii="Times New Roman" w:hAnsi="Times New Roman" w:cs="Times New Roman"/>
          <w:sz w:val="24"/>
          <w:szCs w:val="24"/>
        </w:rPr>
      </w:pPr>
    </w:p>
    <w:p w14:paraId="54738287" w14:textId="263DC154" w:rsidR="00643FA7" w:rsidRDefault="00643FA7" w:rsidP="00982E89">
      <w:pPr>
        <w:spacing w:after="0"/>
        <w:rPr>
          <w:rFonts w:ascii="Times New Roman" w:hAnsi="Times New Roman" w:cs="Times New Roman"/>
          <w:sz w:val="24"/>
          <w:szCs w:val="24"/>
        </w:rPr>
      </w:pPr>
      <w:r>
        <w:rPr>
          <w:rFonts w:ascii="Times New Roman" w:hAnsi="Times New Roman" w:cs="Times New Roman"/>
          <w:sz w:val="24"/>
          <w:szCs w:val="24"/>
        </w:rPr>
        <w:t xml:space="preserve">CDC (3/11/2016). How TB Spreads. </w:t>
      </w:r>
      <w:hyperlink r:id="rId9" w:history="1">
        <w:r w:rsidRPr="005133AF">
          <w:rPr>
            <w:rStyle w:val="Hyperlink"/>
            <w:rFonts w:ascii="Times New Roman" w:hAnsi="Times New Roman" w:cs="Times New Roman"/>
            <w:sz w:val="24"/>
            <w:szCs w:val="24"/>
          </w:rPr>
          <w:t>https://www.cdc.gov/tb/topic/basics/howtbspreads.htm</w:t>
        </w:r>
      </w:hyperlink>
    </w:p>
    <w:p w14:paraId="2B4AFF70" w14:textId="416C3970" w:rsidR="00643FA7" w:rsidRDefault="00643FA7" w:rsidP="00982E89">
      <w:pPr>
        <w:spacing w:after="0"/>
        <w:rPr>
          <w:rFonts w:ascii="Times New Roman" w:hAnsi="Times New Roman" w:cs="Times New Roman"/>
          <w:sz w:val="24"/>
          <w:szCs w:val="24"/>
        </w:rPr>
      </w:pPr>
    </w:p>
    <w:p w14:paraId="6FE44EC2" w14:textId="3AFF9384" w:rsidR="00D715F6" w:rsidRDefault="00D715F6" w:rsidP="00982E89">
      <w:pPr>
        <w:spacing w:after="0"/>
        <w:rPr>
          <w:rFonts w:ascii="Times New Roman" w:hAnsi="Times New Roman" w:cs="Times New Roman"/>
          <w:sz w:val="24"/>
          <w:szCs w:val="24"/>
        </w:rPr>
      </w:pPr>
      <w:r>
        <w:rPr>
          <w:rFonts w:ascii="Times New Roman" w:hAnsi="Times New Roman" w:cs="Times New Roman"/>
          <w:sz w:val="24"/>
          <w:szCs w:val="24"/>
        </w:rPr>
        <w:t xml:space="preserve">CDC (1/7/2016). Transmission-Based Precautions. </w:t>
      </w:r>
      <w:hyperlink r:id="rId10" w:history="1">
        <w:r w:rsidRPr="005133AF">
          <w:rPr>
            <w:rStyle w:val="Hyperlink"/>
            <w:rFonts w:ascii="Times New Roman" w:hAnsi="Times New Roman" w:cs="Times New Roman"/>
            <w:sz w:val="24"/>
            <w:szCs w:val="24"/>
          </w:rPr>
          <w:t>https://www.cdc.gov/infectioncontrol/basics/transmission-based-precautions.html</w:t>
        </w:r>
      </w:hyperlink>
    </w:p>
    <w:p w14:paraId="72425E0B" w14:textId="77777777" w:rsidR="00D715F6" w:rsidRDefault="00D715F6" w:rsidP="00982E89">
      <w:pPr>
        <w:spacing w:after="0"/>
        <w:rPr>
          <w:rFonts w:ascii="Times New Roman" w:hAnsi="Times New Roman" w:cs="Times New Roman"/>
          <w:sz w:val="24"/>
          <w:szCs w:val="24"/>
        </w:rPr>
      </w:pPr>
    </w:p>
    <w:p w14:paraId="6442D576" w14:textId="2D5D8C1B" w:rsidR="00D715F6" w:rsidRDefault="003E238C" w:rsidP="00982E89">
      <w:pPr>
        <w:spacing w:after="0"/>
        <w:rPr>
          <w:rFonts w:ascii="Times New Roman" w:hAnsi="Times New Roman" w:cs="Times New Roman"/>
          <w:sz w:val="24"/>
          <w:szCs w:val="24"/>
        </w:rPr>
      </w:pPr>
      <w:r>
        <w:rPr>
          <w:rFonts w:ascii="Times New Roman" w:hAnsi="Times New Roman" w:cs="Times New Roman"/>
          <w:sz w:val="24"/>
          <w:szCs w:val="24"/>
        </w:rPr>
        <w:t xml:space="preserve">NYS DAL (12/16/2020). Annual TB Testing. </w:t>
      </w:r>
    </w:p>
    <w:p w14:paraId="768E428A" w14:textId="1C6BE549" w:rsidR="00D715F6" w:rsidRDefault="00D715F6" w:rsidP="00982E89">
      <w:pPr>
        <w:spacing w:after="0"/>
        <w:rPr>
          <w:rFonts w:ascii="Times New Roman" w:hAnsi="Times New Roman" w:cs="Times New Roman"/>
          <w:sz w:val="24"/>
          <w:szCs w:val="24"/>
        </w:rPr>
      </w:pPr>
    </w:p>
    <w:p w14:paraId="7247E3D4" w14:textId="78D4D3A3" w:rsidR="00DE3972" w:rsidRDefault="00DE3972" w:rsidP="00982E89">
      <w:pPr>
        <w:spacing w:after="0"/>
        <w:rPr>
          <w:rFonts w:ascii="Times New Roman" w:hAnsi="Times New Roman" w:cs="Times New Roman"/>
          <w:sz w:val="24"/>
          <w:szCs w:val="24"/>
        </w:rPr>
      </w:pPr>
      <w:r>
        <w:rPr>
          <w:rFonts w:ascii="Times New Roman" w:hAnsi="Times New Roman" w:cs="Times New Roman"/>
          <w:sz w:val="24"/>
          <w:szCs w:val="24"/>
        </w:rPr>
        <w:t>NYS DAL (2/16/2006). Guidelines for Tuberculosis Control in Long-Term Care Facilities</w:t>
      </w:r>
      <w:r w:rsidR="00723BBC">
        <w:rPr>
          <w:rFonts w:ascii="Times New Roman" w:hAnsi="Times New Roman" w:cs="Times New Roman"/>
          <w:sz w:val="24"/>
          <w:szCs w:val="24"/>
        </w:rPr>
        <w:t xml:space="preserve">. </w:t>
      </w:r>
      <w:hyperlink r:id="rId11" w:history="1">
        <w:r w:rsidR="00723BBC" w:rsidRPr="005133AF">
          <w:rPr>
            <w:rStyle w:val="Hyperlink"/>
            <w:rFonts w:ascii="Times New Roman" w:hAnsi="Times New Roman" w:cs="Times New Roman"/>
            <w:sz w:val="24"/>
            <w:szCs w:val="24"/>
          </w:rPr>
          <w:t>https://www.health.ny.gov/professionals/nursing_home_administrator/docs/dal_06-03_guidelines_for_tuberculosis_control.pdf</w:t>
        </w:r>
      </w:hyperlink>
    </w:p>
    <w:p w14:paraId="2B7A762A" w14:textId="05B66E3E" w:rsidR="00723BBC" w:rsidRDefault="00723BBC" w:rsidP="00982E89">
      <w:pPr>
        <w:spacing w:after="0"/>
        <w:rPr>
          <w:rFonts w:ascii="Times New Roman" w:hAnsi="Times New Roman" w:cs="Times New Roman"/>
          <w:sz w:val="24"/>
          <w:szCs w:val="24"/>
        </w:rPr>
      </w:pPr>
    </w:p>
    <w:p w14:paraId="42AFF99E" w14:textId="5D16FF13" w:rsidR="00673F31" w:rsidRPr="00982E89" w:rsidRDefault="00673F31" w:rsidP="00982E89">
      <w:pPr>
        <w:spacing w:after="0"/>
        <w:rPr>
          <w:rFonts w:ascii="Times New Roman" w:hAnsi="Times New Roman" w:cs="Times New Roman"/>
          <w:sz w:val="24"/>
          <w:szCs w:val="24"/>
        </w:rPr>
      </w:pPr>
    </w:p>
    <w:sectPr w:rsidR="00673F31" w:rsidRPr="00982E89" w:rsidSect="009F4E32">
      <w:headerReference w:type="default" r:id="rId12"/>
      <w:footerReference w:type="default" r:id="rId13"/>
      <w:pgSz w:w="12240" w:h="15840"/>
      <w:pgMar w:top="720"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459D" w14:textId="77777777" w:rsidR="00FF61BA" w:rsidRDefault="00FF61BA" w:rsidP="00F57D65">
      <w:pPr>
        <w:spacing w:after="0" w:line="240" w:lineRule="auto"/>
      </w:pPr>
      <w:r>
        <w:separator/>
      </w:r>
    </w:p>
  </w:endnote>
  <w:endnote w:type="continuationSeparator" w:id="0">
    <w:p w14:paraId="58F24DE7" w14:textId="77777777" w:rsidR="00FF61BA" w:rsidRDefault="00FF61BA" w:rsidP="00F57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42467"/>
      <w:docPartObj>
        <w:docPartGallery w:val="Page Numbers (Bottom of Page)"/>
        <w:docPartUnique/>
      </w:docPartObj>
    </w:sdtPr>
    <w:sdtEndPr>
      <w:rPr>
        <w:noProof/>
      </w:rPr>
    </w:sdtEndPr>
    <w:sdtContent>
      <w:p w14:paraId="7E78884C" w14:textId="52ADBD58" w:rsidR="00F57D65" w:rsidRDefault="00F57D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AB427A6" w14:textId="77777777" w:rsidR="00F57D65" w:rsidRDefault="00F57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B2B57D" w14:textId="77777777" w:rsidR="00FF61BA" w:rsidRDefault="00FF61BA" w:rsidP="00F57D65">
      <w:pPr>
        <w:spacing w:after="0" w:line="240" w:lineRule="auto"/>
      </w:pPr>
      <w:r>
        <w:separator/>
      </w:r>
    </w:p>
  </w:footnote>
  <w:footnote w:type="continuationSeparator" w:id="0">
    <w:p w14:paraId="681A15D9" w14:textId="77777777" w:rsidR="00FF61BA" w:rsidRDefault="00FF61BA" w:rsidP="00F57D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84D6" w14:textId="51C855FD" w:rsidR="00F57D65" w:rsidRDefault="00F57D65">
    <w:pPr>
      <w:pStyle w:val="Header"/>
    </w:pPr>
    <w:r>
      <w:rPr>
        <w:noProof/>
      </w:rPr>
      <w:drawing>
        <wp:inline distT="0" distB="0" distL="0" distR="0" wp14:anchorId="2C14FEBC" wp14:editId="1879A545">
          <wp:extent cx="5657850" cy="4572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457200"/>
                  </a:xfrm>
                  <a:prstGeom prst="rect">
                    <a:avLst/>
                  </a:prstGeom>
                  <a:noFill/>
                  <a:ln>
                    <a:noFill/>
                  </a:ln>
                </pic:spPr>
              </pic:pic>
            </a:graphicData>
          </a:graphic>
        </wp:inline>
      </w:drawing>
    </w:r>
  </w:p>
  <w:p w14:paraId="41F496E3" w14:textId="0DC5FD32" w:rsidR="00F57D65" w:rsidRPr="00F147AC" w:rsidRDefault="00F57D65" w:rsidP="00F57D65">
    <w:pPr>
      <w:spacing w:after="0"/>
      <w:jc w:val="center"/>
      <w:rPr>
        <w:rFonts w:ascii="Times New Roman" w:hAnsi="Times New Roman" w:cs="Times New Roman"/>
        <w:b/>
        <w:bCs/>
        <w:sz w:val="24"/>
        <w:szCs w:val="24"/>
      </w:rPr>
    </w:pPr>
    <w:r w:rsidRPr="006D45C0">
      <w:rPr>
        <w:rFonts w:ascii="Times New Roman" w:hAnsi="Times New Roman" w:cs="Times New Roman"/>
        <w:b/>
        <w:bCs/>
        <w:sz w:val="24"/>
        <w:szCs w:val="24"/>
      </w:rPr>
      <w:t>Policy and Procedure:</w:t>
    </w:r>
    <w:r>
      <w:rPr>
        <w:rFonts w:ascii="Times New Roman" w:hAnsi="Times New Roman" w:cs="Times New Roman"/>
        <w:b/>
        <w:bCs/>
        <w:sz w:val="24"/>
        <w:szCs w:val="24"/>
      </w:rPr>
      <w:t xml:space="preserve"> Screening for and Preventing the Spread of Tuberculosis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D3323"/>
    <w:multiLevelType w:val="hybridMultilevel"/>
    <w:tmpl w:val="94B6B3C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83E103B"/>
    <w:multiLevelType w:val="hybridMultilevel"/>
    <w:tmpl w:val="2D3257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9AF6AD4"/>
    <w:multiLevelType w:val="hybridMultilevel"/>
    <w:tmpl w:val="2276807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527CC3"/>
    <w:multiLevelType w:val="hybridMultilevel"/>
    <w:tmpl w:val="46BC32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4A0C9D"/>
    <w:multiLevelType w:val="hybridMultilevel"/>
    <w:tmpl w:val="C1C4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3E41DA"/>
    <w:multiLevelType w:val="hybridMultilevel"/>
    <w:tmpl w:val="F8AA4E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24C2128"/>
    <w:multiLevelType w:val="hybridMultilevel"/>
    <w:tmpl w:val="6E760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0A1888"/>
    <w:multiLevelType w:val="hybridMultilevel"/>
    <w:tmpl w:val="19AAE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8AB7E47"/>
    <w:multiLevelType w:val="hybridMultilevel"/>
    <w:tmpl w:val="6EDE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913EEA"/>
    <w:multiLevelType w:val="hybridMultilevel"/>
    <w:tmpl w:val="F516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E144A0"/>
    <w:multiLevelType w:val="hybridMultilevel"/>
    <w:tmpl w:val="D422D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122AEC"/>
    <w:multiLevelType w:val="hybridMultilevel"/>
    <w:tmpl w:val="B99E6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5301EE8"/>
    <w:multiLevelType w:val="hybridMultilevel"/>
    <w:tmpl w:val="AB28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D4A8A"/>
    <w:multiLevelType w:val="hybridMultilevel"/>
    <w:tmpl w:val="4086C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2D2F8D"/>
    <w:multiLevelType w:val="hybridMultilevel"/>
    <w:tmpl w:val="BE6A8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A5D02BC"/>
    <w:multiLevelType w:val="hybridMultilevel"/>
    <w:tmpl w:val="34609B66"/>
    <w:lvl w:ilvl="0" w:tplc="DEB0AB68">
      <w:start w:val="1"/>
      <w:numFmt w:val="bullet"/>
      <w:lvlText w:val="-"/>
      <w:lvlJc w:val="left"/>
      <w:pPr>
        <w:ind w:left="720" w:hanging="360"/>
      </w:pPr>
      <w:rPr>
        <w:rFonts w:ascii="Segoe UI" w:eastAsiaTheme="minorHAnsi" w:hAnsi="Segoe UI" w:cs="Segoe UI" w:hint="default"/>
        <w:color w:val="212529"/>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675420">
    <w:abstractNumId w:val="13"/>
  </w:num>
  <w:num w:numId="2" w16cid:durableId="315494055">
    <w:abstractNumId w:val="12"/>
  </w:num>
  <w:num w:numId="3" w16cid:durableId="1303272410">
    <w:abstractNumId w:val="5"/>
  </w:num>
  <w:num w:numId="4" w16cid:durableId="1100376550">
    <w:abstractNumId w:val="0"/>
  </w:num>
  <w:num w:numId="5" w16cid:durableId="1565724439">
    <w:abstractNumId w:val="7"/>
  </w:num>
  <w:num w:numId="6" w16cid:durableId="1177503555">
    <w:abstractNumId w:val="3"/>
  </w:num>
  <w:num w:numId="7" w16cid:durableId="913515547">
    <w:abstractNumId w:val="4"/>
  </w:num>
  <w:num w:numId="8" w16cid:durableId="960964143">
    <w:abstractNumId w:val="1"/>
  </w:num>
  <w:num w:numId="9" w16cid:durableId="1674188629">
    <w:abstractNumId w:val="8"/>
  </w:num>
  <w:num w:numId="10" w16cid:durableId="215510686">
    <w:abstractNumId w:val="11"/>
  </w:num>
  <w:num w:numId="11" w16cid:durableId="1519469810">
    <w:abstractNumId w:val="6"/>
  </w:num>
  <w:num w:numId="12" w16cid:durableId="1014956684">
    <w:abstractNumId w:val="2"/>
  </w:num>
  <w:num w:numId="13" w16cid:durableId="1013189210">
    <w:abstractNumId w:val="10"/>
  </w:num>
  <w:num w:numId="14" w16cid:durableId="63992485">
    <w:abstractNumId w:val="9"/>
  </w:num>
  <w:num w:numId="15" w16cid:durableId="760296444">
    <w:abstractNumId w:val="15"/>
  </w:num>
  <w:num w:numId="16" w16cid:durableId="415640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A2"/>
    <w:rsid w:val="000219D1"/>
    <w:rsid w:val="00025608"/>
    <w:rsid w:val="00042181"/>
    <w:rsid w:val="000B3839"/>
    <w:rsid w:val="000E1653"/>
    <w:rsid w:val="001237E1"/>
    <w:rsid w:val="001279CB"/>
    <w:rsid w:val="00134523"/>
    <w:rsid w:val="00151557"/>
    <w:rsid w:val="0017010C"/>
    <w:rsid w:val="001C00FC"/>
    <w:rsid w:val="001D204A"/>
    <w:rsid w:val="00216459"/>
    <w:rsid w:val="00232662"/>
    <w:rsid w:val="00332010"/>
    <w:rsid w:val="003B52B3"/>
    <w:rsid w:val="003E238C"/>
    <w:rsid w:val="00426838"/>
    <w:rsid w:val="004966BF"/>
    <w:rsid w:val="00496E80"/>
    <w:rsid w:val="004B6F1C"/>
    <w:rsid w:val="004E0469"/>
    <w:rsid w:val="004E4D0E"/>
    <w:rsid w:val="004F1C51"/>
    <w:rsid w:val="005241E1"/>
    <w:rsid w:val="00533683"/>
    <w:rsid w:val="005756C2"/>
    <w:rsid w:val="005934B4"/>
    <w:rsid w:val="005A0AC4"/>
    <w:rsid w:val="005A75C8"/>
    <w:rsid w:val="005D6892"/>
    <w:rsid w:val="005D702F"/>
    <w:rsid w:val="00643FA7"/>
    <w:rsid w:val="00650EFE"/>
    <w:rsid w:val="00673F31"/>
    <w:rsid w:val="00723BBC"/>
    <w:rsid w:val="00777573"/>
    <w:rsid w:val="007A028B"/>
    <w:rsid w:val="007D5677"/>
    <w:rsid w:val="007E6F59"/>
    <w:rsid w:val="00807CFC"/>
    <w:rsid w:val="00811C29"/>
    <w:rsid w:val="008320A2"/>
    <w:rsid w:val="008369B2"/>
    <w:rsid w:val="00851118"/>
    <w:rsid w:val="00875297"/>
    <w:rsid w:val="008E0E0B"/>
    <w:rsid w:val="008E629F"/>
    <w:rsid w:val="00925965"/>
    <w:rsid w:val="00982E89"/>
    <w:rsid w:val="009A68E5"/>
    <w:rsid w:val="009B034B"/>
    <w:rsid w:val="009C5D79"/>
    <w:rsid w:val="009F3A87"/>
    <w:rsid w:val="009F4E32"/>
    <w:rsid w:val="00A10EC1"/>
    <w:rsid w:val="00A247BD"/>
    <w:rsid w:val="00A26D98"/>
    <w:rsid w:val="00A93853"/>
    <w:rsid w:val="00AC6070"/>
    <w:rsid w:val="00B24E50"/>
    <w:rsid w:val="00B34EDC"/>
    <w:rsid w:val="00B36A1C"/>
    <w:rsid w:val="00B63932"/>
    <w:rsid w:val="00BC5337"/>
    <w:rsid w:val="00BC5445"/>
    <w:rsid w:val="00BD075F"/>
    <w:rsid w:val="00C708DD"/>
    <w:rsid w:val="00CA5DBF"/>
    <w:rsid w:val="00CC2208"/>
    <w:rsid w:val="00CD205C"/>
    <w:rsid w:val="00CD3D77"/>
    <w:rsid w:val="00CD69F7"/>
    <w:rsid w:val="00CF30B0"/>
    <w:rsid w:val="00D133EC"/>
    <w:rsid w:val="00D41F64"/>
    <w:rsid w:val="00D51673"/>
    <w:rsid w:val="00D6780B"/>
    <w:rsid w:val="00D715F6"/>
    <w:rsid w:val="00D77F86"/>
    <w:rsid w:val="00DA3607"/>
    <w:rsid w:val="00DA7124"/>
    <w:rsid w:val="00DC494B"/>
    <w:rsid w:val="00DE3972"/>
    <w:rsid w:val="00DF0E9A"/>
    <w:rsid w:val="00E14362"/>
    <w:rsid w:val="00E51B9C"/>
    <w:rsid w:val="00E53A1E"/>
    <w:rsid w:val="00E65D5B"/>
    <w:rsid w:val="00EF4479"/>
    <w:rsid w:val="00F147AC"/>
    <w:rsid w:val="00F154C5"/>
    <w:rsid w:val="00F253EF"/>
    <w:rsid w:val="00F3185D"/>
    <w:rsid w:val="00F53088"/>
    <w:rsid w:val="00F5737E"/>
    <w:rsid w:val="00F57D65"/>
    <w:rsid w:val="00F94366"/>
    <w:rsid w:val="00FF2F08"/>
    <w:rsid w:val="00FF6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F28C4"/>
  <w15:chartTrackingRefBased/>
  <w15:docId w15:val="{E797DBC7-6ED0-4B8F-81EB-FB4C5BC08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D65"/>
  </w:style>
  <w:style w:type="paragraph" w:styleId="Footer">
    <w:name w:val="footer"/>
    <w:basedOn w:val="Normal"/>
    <w:link w:val="FooterChar"/>
    <w:uiPriority w:val="99"/>
    <w:unhideWhenUsed/>
    <w:rsid w:val="00F5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D65"/>
  </w:style>
  <w:style w:type="table" w:styleId="TableGrid">
    <w:name w:val="Table Grid"/>
    <w:basedOn w:val="TableNormal"/>
    <w:uiPriority w:val="39"/>
    <w:rsid w:val="00F57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3FA7"/>
    <w:rPr>
      <w:color w:val="0563C1" w:themeColor="hyperlink"/>
      <w:u w:val="single"/>
    </w:rPr>
  </w:style>
  <w:style w:type="character" w:styleId="UnresolvedMention">
    <w:name w:val="Unresolved Mention"/>
    <w:basedOn w:val="DefaultParagraphFont"/>
    <w:uiPriority w:val="99"/>
    <w:semiHidden/>
    <w:unhideWhenUsed/>
    <w:rsid w:val="00643FA7"/>
    <w:rPr>
      <w:color w:val="605E5C"/>
      <w:shd w:val="clear" w:color="auto" w:fill="E1DFDD"/>
    </w:rPr>
  </w:style>
  <w:style w:type="paragraph" w:styleId="ListParagraph">
    <w:name w:val="List Paragraph"/>
    <w:basedOn w:val="Normal"/>
    <w:uiPriority w:val="34"/>
    <w:qFormat/>
    <w:rsid w:val="00CD69F7"/>
    <w:pPr>
      <w:ind w:left="720"/>
      <w:contextualSpacing/>
    </w:pPr>
  </w:style>
  <w:style w:type="paragraph" w:styleId="NormalWeb">
    <w:name w:val="Normal (Web)"/>
    <w:basedOn w:val="Normal"/>
    <w:uiPriority w:val="99"/>
    <w:unhideWhenUsed/>
    <w:rsid w:val="00F3185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692349">
      <w:bodyDiv w:val="1"/>
      <w:marLeft w:val="0"/>
      <w:marRight w:val="0"/>
      <w:marTop w:val="0"/>
      <w:marBottom w:val="0"/>
      <w:divBdr>
        <w:top w:val="none" w:sz="0" w:space="0" w:color="auto"/>
        <w:left w:val="none" w:sz="0" w:space="0" w:color="auto"/>
        <w:bottom w:val="none" w:sz="0" w:space="0" w:color="auto"/>
        <w:right w:val="none" w:sz="0" w:space="0" w:color="auto"/>
      </w:divBdr>
    </w:div>
    <w:div w:id="1677338736">
      <w:bodyDiv w:val="1"/>
      <w:marLeft w:val="0"/>
      <w:marRight w:val="0"/>
      <w:marTop w:val="0"/>
      <w:marBottom w:val="0"/>
      <w:divBdr>
        <w:top w:val="none" w:sz="0" w:space="0" w:color="auto"/>
        <w:left w:val="none" w:sz="0" w:space="0" w:color="auto"/>
        <w:bottom w:val="none" w:sz="0" w:space="0" w:color="auto"/>
        <w:right w:val="none" w:sz="0" w:space="0" w:color="auto"/>
      </w:divBdr>
    </w:div>
    <w:div w:id="199217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tb/publications/factsheets/testing/skintesting.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dc.gov/tb/topic/basics/default.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ny.gov/professionals/nursing_home_administrator/docs/dal_06-03_guidelines_for_tuberculosis_control.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dc.gov/infectioncontrol/basics/transmission-based-precautions.html" TargetMode="External"/><Relationship Id="rId4" Type="http://schemas.openxmlformats.org/officeDocument/2006/relationships/webSettings" Target="webSettings.xml"/><Relationship Id="rId9" Type="http://schemas.openxmlformats.org/officeDocument/2006/relationships/hyperlink" Target="https://www.cdc.gov/tb/topic/basics/howtbspreads.ht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1508</Words>
  <Characters>8598</Characters>
  <Application>Microsoft Office Word</Application>
  <DocSecurity>4</DocSecurity>
  <Lines>71</Lines>
  <Paragraphs>20</Paragraphs>
  <ScaleCrop>false</ScaleCrop>
  <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drigpaul</dc:creator>
  <cp:keywords/>
  <dc:description/>
  <cp:lastModifiedBy>Laura Brick</cp:lastModifiedBy>
  <cp:revision>2</cp:revision>
  <dcterms:created xsi:type="dcterms:W3CDTF">2022-05-26T17:48:00Z</dcterms:created>
  <dcterms:modified xsi:type="dcterms:W3CDTF">2022-05-26T17:48:00Z</dcterms:modified>
</cp:coreProperties>
</file>