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248B" w14:textId="77777777" w:rsidR="00F00EB7" w:rsidRPr="00F00EB7" w:rsidRDefault="00F00EB7" w:rsidP="00F00EB7">
      <w:pPr>
        <w:rPr>
          <w:b/>
          <w:bCs/>
        </w:rPr>
      </w:pPr>
      <w:r w:rsidRPr="00F00EB7">
        <w:rPr>
          <w:b/>
          <w:bCs/>
        </w:rPr>
        <w:t>IP and Contract Strategy During Restructuring: Protecting Intangible Assets When Cash Runs Tight</w:t>
      </w:r>
    </w:p>
    <w:p w14:paraId="2621B84C" w14:textId="3990F705" w:rsidR="00F00EB7" w:rsidRPr="00F00EB7" w:rsidRDefault="00F00EB7" w:rsidP="00F00EB7">
      <w:pPr>
        <w:rPr>
          <w:b/>
          <w:bCs/>
        </w:rPr>
      </w:pPr>
      <w:r w:rsidRPr="00F00EB7">
        <w:rPr>
          <w:b/>
          <w:bCs/>
        </w:rPr>
        <w:t>Executive Summary</w:t>
      </w:r>
    </w:p>
    <w:p w14:paraId="76A8003E" w14:textId="77777777" w:rsidR="00F00EB7" w:rsidRPr="00F00EB7" w:rsidRDefault="00F00EB7" w:rsidP="00F00EB7">
      <w:r w:rsidRPr="00F00EB7">
        <w:t xml:space="preserve">Intellectual property and commercial contracts represent a substantial portion of enterprise value, especially in technology, pharmaceutical, and consumer-facing industries. When liquidity tightens, these assets often determine whether a business can preserve operations, restructure successfully, or </w:t>
      </w:r>
      <w:proofErr w:type="gramStart"/>
      <w:r w:rsidRPr="00F00EB7">
        <w:t>loses</w:t>
      </w:r>
      <w:proofErr w:type="gramEnd"/>
      <w:r w:rsidRPr="00F00EB7">
        <w:t xml:space="preserve"> critical rights in a distressed sale. Yet in many restructurings, IP and commercial agreements are poorly mapped, under</w:t>
      </w:r>
      <w:r w:rsidRPr="00F00EB7">
        <w:noBreakHyphen/>
        <w:t>secured, or unintentionally compromised through DIP financing orders or asset sales under 11 U.S.C. § 363.</w:t>
      </w:r>
    </w:p>
    <w:p w14:paraId="261E330D" w14:textId="77777777" w:rsidR="00F00EB7" w:rsidRPr="00F00EB7" w:rsidRDefault="00F00EB7" w:rsidP="00F00EB7">
      <w:r w:rsidRPr="00F00EB7">
        <w:t xml:space="preserve">Industry research (including analyses by Ocean </w:t>
      </w:r>
      <w:proofErr w:type="spellStart"/>
      <w:r w:rsidRPr="00F00EB7">
        <w:t>Tomo</w:t>
      </w:r>
      <w:proofErr w:type="spellEnd"/>
      <w:r w:rsidRPr="00F00EB7">
        <w:t xml:space="preserve"> and WIPO) indicates that intangible assets comprise a significant proportion of enterprise value and that deficiencies in IP collateral descriptions under UCC Article 9 are common. Practitioner literature also shows that companies that map, perfect, and align IP early in distress typically achieve stronger valuation outcomes.</w:t>
      </w:r>
    </w:p>
    <w:p w14:paraId="6F993C2E" w14:textId="77777777" w:rsidR="00F00EB7" w:rsidRPr="00F00EB7" w:rsidRDefault="00F00EB7" w:rsidP="00F00EB7">
      <w:pPr>
        <w:rPr>
          <w:b/>
          <w:bCs/>
        </w:rPr>
      </w:pPr>
      <w:r w:rsidRPr="00F00EB7">
        <w:rPr>
          <w:b/>
          <w:bCs/>
        </w:rPr>
        <w:t>Immediate Steps for Leadership</w:t>
      </w:r>
    </w:p>
    <w:p w14:paraId="64A6B555" w14:textId="77777777" w:rsidR="00F00EB7" w:rsidRPr="00F00EB7" w:rsidRDefault="00F00EB7" w:rsidP="00F00EB7">
      <w:pPr>
        <w:numPr>
          <w:ilvl w:val="0"/>
          <w:numId w:val="27"/>
        </w:numPr>
      </w:pPr>
      <w:r w:rsidRPr="00F00EB7">
        <w:rPr>
          <w:b/>
          <w:bCs/>
        </w:rPr>
        <w:t>Map IP &amp; contracts</w:t>
      </w:r>
      <w:r w:rsidRPr="00F00EB7">
        <w:t>: Consolidate ownership, registrations, perfection status, and all material contract rights.</w:t>
      </w:r>
    </w:p>
    <w:p w14:paraId="6A876B32" w14:textId="77777777" w:rsidR="00F00EB7" w:rsidRPr="00F00EB7" w:rsidRDefault="00F00EB7" w:rsidP="00F00EB7">
      <w:pPr>
        <w:numPr>
          <w:ilvl w:val="0"/>
          <w:numId w:val="27"/>
        </w:numPr>
      </w:pPr>
      <w:r w:rsidRPr="00F00EB7">
        <w:rPr>
          <w:b/>
          <w:bCs/>
        </w:rPr>
        <w:t>Anticipate rejection or sale</w:t>
      </w:r>
      <w:r w:rsidRPr="00F00EB7">
        <w:t>: Identify which rights survive, which require a § 365(n) election, and which require immediate protection.</w:t>
      </w:r>
    </w:p>
    <w:p w14:paraId="68285DE4" w14:textId="77777777" w:rsidR="00F00EB7" w:rsidRPr="00F00EB7" w:rsidRDefault="00F00EB7" w:rsidP="00F00EB7">
      <w:pPr>
        <w:numPr>
          <w:ilvl w:val="0"/>
          <w:numId w:val="27"/>
        </w:numPr>
      </w:pPr>
      <w:r w:rsidRPr="00F00EB7">
        <w:rPr>
          <w:b/>
          <w:bCs/>
        </w:rPr>
        <w:t>Align legal and commercial strategy</w:t>
      </w:r>
      <w:r w:rsidRPr="00F00EB7">
        <w:t>: Ensure DIP financing and § 363 sale orders do not unintentionally strip or encumber mission</w:t>
      </w:r>
      <w:r w:rsidRPr="00F00EB7">
        <w:noBreakHyphen/>
        <w:t>critical IP.</w:t>
      </w:r>
    </w:p>
    <w:p w14:paraId="4157FD1E" w14:textId="77777777" w:rsidR="00C33B34" w:rsidRDefault="00C33B34" w:rsidP="00F00EB7">
      <w:pPr>
        <w:rPr>
          <w:b/>
          <w:bCs/>
        </w:rPr>
      </w:pPr>
    </w:p>
    <w:p w14:paraId="6D8326E9" w14:textId="165476A3" w:rsidR="00F00EB7" w:rsidRPr="00F00EB7" w:rsidRDefault="00F00EB7" w:rsidP="00F00EB7">
      <w:pPr>
        <w:rPr>
          <w:b/>
          <w:bCs/>
        </w:rPr>
      </w:pPr>
      <w:r w:rsidRPr="00F00EB7">
        <w:rPr>
          <w:b/>
          <w:bCs/>
        </w:rPr>
        <w:t>1. Rejection and License Rights: Breach, Not Rescission</w:t>
      </w:r>
    </w:p>
    <w:p w14:paraId="5B78AFDB" w14:textId="77777777" w:rsidR="00F00EB7" w:rsidRPr="00F00EB7" w:rsidRDefault="00F00EB7" w:rsidP="00F00EB7">
      <w:r w:rsidRPr="00F00EB7">
        <w:t>Under 11 U.S.C. § 365(a) and (g), rejection of an executory contract constitutes a breach deemed to occur immediately before the petition date; it does not rescind or unwind rights already granted.</w:t>
      </w:r>
    </w:p>
    <w:p w14:paraId="3FFF3E19" w14:textId="77777777" w:rsidR="00F00EB7" w:rsidRPr="00F00EB7" w:rsidRDefault="00F00EB7" w:rsidP="00F00EB7">
      <w:r w:rsidRPr="00F00EB7">
        <w:t xml:space="preserve">In </w:t>
      </w:r>
      <w:r w:rsidRPr="00F00EB7">
        <w:rPr>
          <w:b/>
          <w:bCs/>
        </w:rPr>
        <w:t xml:space="preserve">Mission Product Holdings, Inc. v. </w:t>
      </w:r>
      <w:proofErr w:type="spellStart"/>
      <w:r w:rsidRPr="00F00EB7">
        <w:rPr>
          <w:b/>
          <w:bCs/>
        </w:rPr>
        <w:t>Tempnology</w:t>
      </w:r>
      <w:proofErr w:type="spellEnd"/>
      <w:r w:rsidRPr="00F00EB7">
        <w:rPr>
          <w:b/>
          <w:bCs/>
        </w:rPr>
        <w:t>, LLC</w:t>
      </w:r>
      <w:r w:rsidRPr="00F00EB7">
        <w:t xml:space="preserve">, </w:t>
      </w:r>
      <w:r w:rsidRPr="00F00EB7">
        <w:rPr>
          <w:i/>
          <w:iCs/>
        </w:rPr>
        <w:t>587 U.S. ___, 139 S. Ct. 1652 (2019)</w:t>
      </w:r>
      <w:r w:rsidRPr="00F00EB7">
        <w:t xml:space="preserve">, the debtor had granted the licensee an </w:t>
      </w:r>
      <w:r w:rsidRPr="00F00EB7">
        <w:rPr>
          <w:b/>
          <w:bCs/>
        </w:rPr>
        <w:t>exclusive distribution license</w:t>
      </w:r>
      <w:r w:rsidRPr="00F00EB7">
        <w:t xml:space="preserve"> and a </w:t>
      </w:r>
      <w:r w:rsidRPr="00F00EB7">
        <w:rPr>
          <w:b/>
          <w:bCs/>
        </w:rPr>
        <w:t>non</w:t>
      </w:r>
      <w:r w:rsidRPr="00F00EB7">
        <w:rPr>
          <w:b/>
          <w:bCs/>
        </w:rPr>
        <w:noBreakHyphen/>
        <w:t>exclusive trademark license</w:t>
      </w:r>
      <w:r w:rsidRPr="00F00EB7">
        <w:t>. The Supreme Court held that rejection under § 365 is a breach—not a rescission—and therefore does not terminate the licensee’s preexisting rights, including rights under a non</w:t>
      </w:r>
      <w:r w:rsidRPr="00F00EB7">
        <w:noBreakHyphen/>
        <w:t>exclusive trademark license.</w:t>
      </w:r>
    </w:p>
    <w:p w14:paraId="3DFE213F" w14:textId="77777777" w:rsidR="00F00EB7" w:rsidRPr="00F00EB7" w:rsidRDefault="00F00EB7" w:rsidP="00F00EB7">
      <w:pPr>
        <w:rPr>
          <w:b/>
          <w:bCs/>
        </w:rPr>
      </w:pPr>
      <w:r w:rsidRPr="00F00EB7">
        <w:rPr>
          <w:b/>
          <w:bCs/>
        </w:rPr>
        <w:t>Key Statutory Protections</w:t>
      </w:r>
    </w:p>
    <w:p w14:paraId="594E3165" w14:textId="77777777" w:rsidR="00F00EB7" w:rsidRPr="00F00EB7" w:rsidRDefault="00F00EB7" w:rsidP="00F00EB7">
      <w:r w:rsidRPr="00F00EB7">
        <w:t>Under 11 U.S.C. § 365(n), a licensee of "intellectual property" as defined in § 101(35A) may:</w:t>
      </w:r>
    </w:p>
    <w:p w14:paraId="27C9E2C8" w14:textId="77777777" w:rsidR="00F00EB7" w:rsidRPr="00F00EB7" w:rsidRDefault="00F00EB7" w:rsidP="00F00EB7">
      <w:pPr>
        <w:numPr>
          <w:ilvl w:val="0"/>
          <w:numId w:val="28"/>
        </w:numPr>
      </w:pPr>
      <w:r w:rsidRPr="00F00EB7">
        <w:t>Elect to retain its rights as they existed pre</w:t>
      </w:r>
      <w:r w:rsidRPr="00F00EB7">
        <w:noBreakHyphen/>
        <w:t>petition for the duration of the agreement and any renewal period permitted by law.</w:t>
      </w:r>
    </w:p>
    <w:p w14:paraId="070DEC80" w14:textId="77777777" w:rsidR="00F00EB7" w:rsidRPr="00F00EB7" w:rsidRDefault="00F00EB7" w:rsidP="00F00EB7">
      <w:pPr>
        <w:numPr>
          <w:ilvl w:val="0"/>
          <w:numId w:val="28"/>
        </w:numPr>
      </w:pPr>
      <w:r w:rsidRPr="00F00EB7">
        <w:t>Demand continued access to embodiments of intellectual property, including source code and technical materials.</w:t>
      </w:r>
    </w:p>
    <w:p w14:paraId="3C3695CF" w14:textId="77777777" w:rsidR="00F00EB7" w:rsidRPr="00F00EB7" w:rsidRDefault="00F00EB7" w:rsidP="00F00EB7">
      <w:pPr>
        <w:numPr>
          <w:ilvl w:val="0"/>
          <w:numId w:val="28"/>
        </w:numPr>
      </w:pPr>
      <w:r w:rsidRPr="00F00EB7">
        <w:t>Require the debtor not to interfere with such rights.</w:t>
      </w:r>
    </w:p>
    <w:p w14:paraId="405614B8" w14:textId="77777777" w:rsidR="001413E8" w:rsidRPr="001413E8" w:rsidRDefault="001413E8" w:rsidP="001413E8">
      <w:pPr>
        <w:rPr>
          <w:b/>
          <w:bCs/>
        </w:rPr>
      </w:pPr>
      <w:r w:rsidRPr="001413E8">
        <w:rPr>
          <w:b/>
          <w:bCs/>
        </w:rPr>
        <w:t>Trademarks</w:t>
      </w:r>
    </w:p>
    <w:p w14:paraId="4165B1E2" w14:textId="77777777" w:rsidR="001413E8" w:rsidRPr="001413E8" w:rsidRDefault="001413E8" w:rsidP="001413E8">
      <w:r w:rsidRPr="001413E8">
        <w:lastRenderedPageBreak/>
        <w:t>Trademarks are excluded from the definition of "intellectual property" in § 101(35A) and therefore fall outside § 365(n). After Mission Product, a licensee's right to use a mark survives rejection, but the debtor's quality-control obligations do not. This creates a critical gap: trademark law requires ongoing supervision to prevent abandonment or naked licensing, yet bankruptcy rejection eliminates the licensor's QC duties.</w:t>
      </w:r>
    </w:p>
    <w:p w14:paraId="7565F92D" w14:textId="77777777" w:rsidR="001413E8" w:rsidRPr="001413E8" w:rsidRDefault="001413E8" w:rsidP="001413E8">
      <w:r w:rsidRPr="001413E8">
        <w:t>The Quality Control Crisis</w:t>
      </w:r>
    </w:p>
    <w:p w14:paraId="64151786" w14:textId="77777777" w:rsidR="001413E8" w:rsidRPr="001413E8" w:rsidRDefault="001413E8" w:rsidP="001413E8">
      <w:r w:rsidRPr="001413E8">
        <w:t>Without immediate intervention, trademark licenses face a "supervision gap" that can:</w:t>
      </w:r>
    </w:p>
    <w:p w14:paraId="18346A57" w14:textId="77777777" w:rsidR="001413E8" w:rsidRPr="001413E8" w:rsidRDefault="001413E8" w:rsidP="001413E8">
      <w:pPr>
        <w:numPr>
          <w:ilvl w:val="0"/>
          <w:numId w:val="39"/>
        </w:numPr>
      </w:pPr>
      <w:r w:rsidRPr="001413E8">
        <w:t>Invalidate trademark registrations through abandonment claims</w:t>
      </w:r>
    </w:p>
    <w:p w14:paraId="2DE04C58" w14:textId="77777777" w:rsidR="001413E8" w:rsidRPr="001413E8" w:rsidRDefault="001413E8" w:rsidP="001413E8">
      <w:pPr>
        <w:numPr>
          <w:ilvl w:val="0"/>
          <w:numId w:val="39"/>
        </w:numPr>
      </w:pPr>
      <w:r w:rsidRPr="001413E8">
        <w:t>Expose licensees to naked licensing challenges</w:t>
      </w:r>
    </w:p>
    <w:p w14:paraId="10DDA36A" w14:textId="77777777" w:rsidR="001413E8" w:rsidRPr="001413E8" w:rsidRDefault="001413E8" w:rsidP="001413E8">
      <w:pPr>
        <w:numPr>
          <w:ilvl w:val="0"/>
          <w:numId w:val="39"/>
        </w:numPr>
      </w:pPr>
      <w:r w:rsidRPr="001413E8">
        <w:t>Diminish trademark asset value for the estate</w:t>
      </w:r>
    </w:p>
    <w:p w14:paraId="21D2CC03" w14:textId="77777777" w:rsidR="001413E8" w:rsidRPr="001413E8" w:rsidRDefault="001413E8" w:rsidP="001413E8">
      <w:pPr>
        <w:numPr>
          <w:ilvl w:val="0"/>
          <w:numId w:val="39"/>
        </w:numPr>
      </w:pPr>
      <w:r w:rsidRPr="001413E8">
        <w:t>Create liability for purchasers acquiring "unsupervised" marks</w:t>
      </w:r>
    </w:p>
    <w:p w14:paraId="2EE952E7" w14:textId="77777777" w:rsidR="001413E8" w:rsidRPr="001413E8" w:rsidRDefault="001413E8" w:rsidP="001413E8">
      <w:r w:rsidRPr="001413E8">
        <w:t>Mandatory QC Framework for DIP and Sale Orders</w:t>
      </w:r>
    </w:p>
    <w:p w14:paraId="481E2A28" w14:textId="77777777" w:rsidR="001413E8" w:rsidRPr="001413E8" w:rsidRDefault="001413E8" w:rsidP="001413E8">
      <w:r w:rsidRPr="001413E8">
        <w:t>To preserve trademark validity, courts should require:</w:t>
      </w:r>
    </w:p>
    <w:p w14:paraId="484409E3" w14:textId="77777777" w:rsidR="001413E8" w:rsidRPr="001413E8" w:rsidRDefault="001413E8" w:rsidP="00730BEB">
      <w:pPr>
        <w:ind w:left="720"/>
      </w:pPr>
      <w:r w:rsidRPr="001413E8">
        <w:t>1. Immediate QC Successor Designation (Within 15 Days) </w:t>
      </w:r>
      <w:r w:rsidRPr="001413E8">
        <w:rPr>
          <w:i/>
          <w:iCs/>
        </w:rPr>
        <w:t>"The Debtor shall designate a Quality Control Successor within fifteen (15) days of rejection notice, which may be: (</w:t>
      </w:r>
      <w:proofErr w:type="spellStart"/>
      <w:r w:rsidRPr="001413E8">
        <w:rPr>
          <w:i/>
          <w:iCs/>
        </w:rPr>
        <w:t>i</w:t>
      </w:r>
      <w:proofErr w:type="spellEnd"/>
      <w:r w:rsidRPr="001413E8">
        <w:rPr>
          <w:i/>
          <w:iCs/>
        </w:rPr>
        <w:t>) the proposed § 363 purchaser, (ii) a Court-approved third party, or (iii) the estate representative."</w:t>
      </w:r>
    </w:p>
    <w:p w14:paraId="753C1CA2" w14:textId="77777777" w:rsidR="001413E8" w:rsidRPr="001413E8" w:rsidRDefault="001413E8" w:rsidP="00730BEB">
      <w:pPr>
        <w:ind w:left="720"/>
      </w:pPr>
      <w:r w:rsidRPr="001413E8">
        <w:t>2. QC Implementation Timeline (Within 30 Days of Designation) The successor must establish:</w:t>
      </w:r>
    </w:p>
    <w:p w14:paraId="1E236485" w14:textId="77777777" w:rsidR="001413E8" w:rsidRPr="001413E8" w:rsidRDefault="001413E8" w:rsidP="00730BEB">
      <w:pPr>
        <w:numPr>
          <w:ilvl w:val="0"/>
          <w:numId w:val="40"/>
        </w:numPr>
        <w:tabs>
          <w:tab w:val="clear" w:pos="720"/>
          <w:tab w:val="num" w:pos="1440"/>
        </w:tabs>
        <w:ind w:left="1440"/>
      </w:pPr>
      <w:r w:rsidRPr="001413E8">
        <w:t>Written adoption of existing QC standards from original license agreements</w:t>
      </w:r>
    </w:p>
    <w:p w14:paraId="4ED40AEC" w14:textId="77777777" w:rsidR="001413E8" w:rsidRPr="001413E8" w:rsidRDefault="001413E8" w:rsidP="00730BEB">
      <w:pPr>
        <w:numPr>
          <w:ilvl w:val="0"/>
          <w:numId w:val="40"/>
        </w:numPr>
        <w:tabs>
          <w:tab w:val="clear" w:pos="720"/>
          <w:tab w:val="num" w:pos="1440"/>
        </w:tabs>
        <w:ind w:left="1440"/>
      </w:pPr>
      <w:r w:rsidRPr="001413E8">
        <w:t>Monitoring procedures consistent with historical practice</w:t>
      </w:r>
    </w:p>
    <w:p w14:paraId="37B3D9F3" w14:textId="77777777" w:rsidR="001413E8" w:rsidRPr="001413E8" w:rsidRDefault="001413E8" w:rsidP="00730BEB">
      <w:pPr>
        <w:numPr>
          <w:ilvl w:val="0"/>
          <w:numId w:val="40"/>
        </w:numPr>
        <w:tabs>
          <w:tab w:val="clear" w:pos="720"/>
          <w:tab w:val="num" w:pos="1440"/>
        </w:tabs>
        <w:ind w:left="1440"/>
      </w:pPr>
      <w:r w:rsidRPr="001413E8">
        <w:t xml:space="preserve">Direct communication channels with all trademark </w:t>
      </w:r>
      <w:proofErr w:type="gramStart"/>
      <w:r w:rsidRPr="001413E8">
        <w:t>licensees</w:t>
      </w:r>
      <w:proofErr w:type="gramEnd"/>
    </w:p>
    <w:p w14:paraId="09BD0D6E" w14:textId="77777777" w:rsidR="001413E8" w:rsidRPr="001413E8" w:rsidRDefault="001413E8" w:rsidP="00730BEB">
      <w:pPr>
        <w:numPr>
          <w:ilvl w:val="0"/>
          <w:numId w:val="40"/>
        </w:numPr>
        <w:tabs>
          <w:tab w:val="clear" w:pos="720"/>
          <w:tab w:val="num" w:pos="1440"/>
        </w:tabs>
        <w:ind w:left="1440"/>
      </w:pPr>
      <w:r w:rsidRPr="001413E8">
        <w:t>Documentation systems for compliance verification</w:t>
      </w:r>
    </w:p>
    <w:p w14:paraId="34B8F9BF" w14:textId="77777777" w:rsidR="001413E8" w:rsidRPr="001413E8" w:rsidRDefault="001413E8" w:rsidP="00730BEB">
      <w:pPr>
        <w:ind w:left="720"/>
      </w:pPr>
      <w:r w:rsidRPr="001413E8">
        <w:t>3. Enforcement Mechanisms and Failure Consequences</w:t>
      </w:r>
    </w:p>
    <w:p w14:paraId="3751E47C" w14:textId="77777777" w:rsidR="001413E8" w:rsidRPr="001413E8" w:rsidRDefault="001413E8" w:rsidP="00730BEB">
      <w:pPr>
        <w:numPr>
          <w:ilvl w:val="0"/>
          <w:numId w:val="41"/>
        </w:numPr>
        <w:tabs>
          <w:tab w:val="clear" w:pos="720"/>
          <w:tab w:val="num" w:pos="1440"/>
        </w:tabs>
        <w:ind w:left="1440"/>
      </w:pPr>
      <w:r w:rsidRPr="001413E8">
        <w:t>Material QC breaches trigger 30-day cure periods before potential license termination</w:t>
      </w:r>
    </w:p>
    <w:p w14:paraId="5BB7498E" w14:textId="77777777" w:rsidR="001413E8" w:rsidRPr="001413E8" w:rsidRDefault="001413E8" w:rsidP="00730BEB">
      <w:pPr>
        <w:numPr>
          <w:ilvl w:val="0"/>
          <w:numId w:val="41"/>
        </w:numPr>
        <w:tabs>
          <w:tab w:val="clear" w:pos="720"/>
          <w:tab w:val="num" w:pos="1440"/>
        </w:tabs>
        <w:ind w:left="1440"/>
      </w:pPr>
      <w:r w:rsidRPr="001413E8">
        <w:t>QC Successor must maintain compliance documentation for validity challenges</w:t>
      </w:r>
    </w:p>
    <w:p w14:paraId="218DA4A1" w14:textId="77777777" w:rsidR="001413E8" w:rsidRPr="001413E8" w:rsidRDefault="001413E8" w:rsidP="00730BEB">
      <w:pPr>
        <w:numPr>
          <w:ilvl w:val="0"/>
          <w:numId w:val="41"/>
        </w:numPr>
        <w:tabs>
          <w:tab w:val="clear" w:pos="720"/>
          <w:tab w:val="num" w:pos="1440"/>
        </w:tabs>
        <w:ind w:left="1440"/>
      </w:pPr>
      <w:r w:rsidRPr="001413E8">
        <w:t>Systematic QC failures may invalidate underlying trademark registrations</w:t>
      </w:r>
    </w:p>
    <w:p w14:paraId="51F1785F" w14:textId="77777777" w:rsidR="001413E8" w:rsidRPr="001413E8" w:rsidRDefault="001413E8" w:rsidP="00730BEB">
      <w:pPr>
        <w:numPr>
          <w:ilvl w:val="0"/>
          <w:numId w:val="41"/>
        </w:numPr>
        <w:tabs>
          <w:tab w:val="clear" w:pos="720"/>
          <w:tab w:val="num" w:pos="1440"/>
        </w:tabs>
        <w:ind w:left="1440"/>
      </w:pPr>
      <w:r w:rsidRPr="001413E8">
        <w:t>Court retains jurisdiction to modify QC standards as business needs evolve</w:t>
      </w:r>
    </w:p>
    <w:p w14:paraId="37A3C415" w14:textId="77777777" w:rsidR="001413E8" w:rsidRPr="001413E8" w:rsidRDefault="001413E8" w:rsidP="001413E8">
      <w:r w:rsidRPr="001413E8">
        <w:t>Sample DIP Order Language</w:t>
      </w:r>
    </w:p>
    <w:p w14:paraId="20A61EDD" w14:textId="77777777" w:rsidR="001413E8" w:rsidRPr="001413E8" w:rsidRDefault="001413E8" w:rsidP="001413E8">
      <w:r w:rsidRPr="001413E8">
        <w:rPr>
          <w:i/>
          <w:iCs/>
        </w:rPr>
        <w:t>"With respect to trademark licenses surviving rejection under Mission Product Holdings, the Quality Control Successor assumes all supervision obligations necessary to prevent abandonment or naked licensing. The estate and purchaser acknowledge that QC compliance is essential to trademark validity and licensee rights."</w:t>
      </w:r>
    </w:p>
    <w:p w14:paraId="1FFAD7D5" w14:textId="77777777" w:rsidR="001413E8" w:rsidRPr="001413E8" w:rsidRDefault="001413E8" w:rsidP="001413E8">
      <w:r w:rsidRPr="001413E8">
        <w:t>Key Takeaway</w:t>
      </w:r>
    </w:p>
    <w:p w14:paraId="4C32DEC1" w14:textId="78690821" w:rsidR="00A95DA1" w:rsidRDefault="00C4737A" w:rsidP="00F00EB7">
      <w:r w:rsidRPr="00C4737A">
        <w:t xml:space="preserve">Unlike other IP rights protected by § 365(n), trademark licenses require proactive judicial intervention to bridge the supervision gap created by rejection. Early QC successor designation is </w:t>
      </w:r>
      <w:r w:rsidR="003908F3" w:rsidRPr="00C4737A">
        <w:t>essentially</w:t>
      </w:r>
      <w:r w:rsidRPr="00C4737A">
        <w:t xml:space="preserve"> </w:t>
      </w:r>
      <w:r w:rsidR="005E305D">
        <w:t xml:space="preserve">the risk of </w:t>
      </w:r>
      <w:r w:rsidR="006E41EE">
        <w:lastRenderedPageBreak/>
        <w:t>invalidation of the trademark and devaluation of estate assets</w:t>
      </w:r>
      <w:r w:rsidRPr="00C4737A">
        <w:t xml:space="preserve">. Courts should mandate QC successor </w:t>
      </w:r>
      <w:r w:rsidR="005E305D" w:rsidRPr="00C4737A">
        <w:t>appointments</w:t>
      </w:r>
      <w:r w:rsidRPr="00C4737A">
        <w:t xml:space="preserve"> within 15 days of rejection notice to prevent abandonment claims, preserve licensee rights, and protect trademark value for creditors and purchasers. Failure to address this supervision gap can result in permanent loss of trademark rights that may represent substantial enterprise value.</w:t>
      </w:r>
    </w:p>
    <w:p w14:paraId="34397B62" w14:textId="29EEE0CD" w:rsidR="00F00EB7" w:rsidRPr="00F00EB7" w:rsidRDefault="00F00EB7" w:rsidP="00F00EB7">
      <w:pPr>
        <w:rPr>
          <w:b/>
          <w:bCs/>
        </w:rPr>
      </w:pPr>
      <w:r w:rsidRPr="00F00EB7">
        <w:rPr>
          <w:b/>
          <w:bCs/>
        </w:rPr>
        <w:t>Foreign</w:t>
      </w:r>
      <w:r w:rsidRPr="00F00EB7">
        <w:rPr>
          <w:b/>
          <w:bCs/>
        </w:rPr>
        <w:noBreakHyphen/>
        <w:t>Only IP</w:t>
      </w:r>
    </w:p>
    <w:p w14:paraId="1C3F2A95" w14:textId="77777777" w:rsidR="00F00EB7" w:rsidRPr="00F00EB7" w:rsidRDefault="00F00EB7" w:rsidP="00F00EB7">
      <w:r w:rsidRPr="00F00EB7">
        <w:t xml:space="preserve">Foreign IP rights generally fall </w:t>
      </w:r>
      <w:r w:rsidRPr="00F00EB7">
        <w:rPr>
          <w:b/>
          <w:bCs/>
        </w:rPr>
        <w:t>outside the protections of § 365(n)</w:t>
      </w:r>
      <w:r w:rsidRPr="00F00EB7">
        <w:t>. U.S. bankruptcy orders do not automatically apply to foreign patents, trademarks, or copyrights; local IP registry law governs ownership and license enforceability. Cross</w:t>
      </w:r>
      <w:r w:rsidRPr="00F00EB7">
        <w:noBreakHyphen/>
        <w:t>border insolvency regimes (including UNCITRAL Model Law jurisdictions, the UK Insolvency Rules, and EU frameworks) treat IP licensing and rejection differently. Parties should consult foreign counsel early to determine whether a U.S. rejection or sale order will be recognized abroad.</w:t>
      </w:r>
    </w:p>
    <w:p w14:paraId="3E5150A6" w14:textId="77777777" w:rsidR="00F00EB7" w:rsidRPr="00F00EB7" w:rsidRDefault="00F00EB7" w:rsidP="00F00EB7">
      <w:pPr>
        <w:rPr>
          <w:b/>
          <w:bCs/>
        </w:rPr>
      </w:pPr>
      <w:r w:rsidRPr="00F00EB7">
        <w:rPr>
          <w:b/>
          <w:bCs/>
        </w:rPr>
        <w:t>Key Takeaway</w:t>
      </w:r>
    </w:p>
    <w:p w14:paraId="508FC4D3" w14:textId="77777777" w:rsidR="00F00EB7" w:rsidRPr="00F00EB7" w:rsidRDefault="00F00EB7" w:rsidP="00F00EB7">
      <w:r w:rsidRPr="00F00EB7">
        <w:t>License rights do not automatically terminate. A licensee must:</w:t>
      </w:r>
    </w:p>
    <w:p w14:paraId="367EA84C" w14:textId="77777777" w:rsidR="00F00EB7" w:rsidRPr="00F00EB7" w:rsidRDefault="00F00EB7" w:rsidP="00F00EB7">
      <w:pPr>
        <w:numPr>
          <w:ilvl w:val="0"/>
          <w:numId w:val="29"/>
        </w:numPr>
      </w:pPr>
      <w:r w:rsidRPr="00F00EB7">
        <w:t>Elect protection under § 365(n) after receiving notice of rejection, and</w:t>
      </w:r>
    </w:p>
    <w:p w14:paraId="340B36B0" w14:textId="77777777" w:rsidR="00F00EB7" w:rsidRPr="00F00EB7" w:rsidRDefault="00F00EB7" w:rsidP="00F00EB7">
      <w:pPr>
        <w:numPr>
          <w:ilvl w:val="0"/>
          <w:numId w:val="29"/>
        </w:numPr>
      </w:pPr>
      <w:r w:rsidRPr="00F00EB7">
        <w:t>Seek explicit preservation language in DIP financing and § 363 sale orders.</w:t>
      </w:r>
    </w:p>
    <w:p w14:paraId="1C12C975" w14:textId="77777777" w:rsidR="00C33B34" w:rsidRDefault="00C33B34" w:rsidP="00F00EB7"/>
    <w:p w14:paraId="38917EB5" w14:textId="4E7FE8CC" w:rsidR="00F00EB7" w:rsidRPr="00F00EB7" w:rsidRDefault="00F00EB7" w:rsidP="00F00EB7">
      <w:pPr>
        <w:rPr>
          <w:b/>
          <w:bCs/>
        </w:rPr>
      </w:pPr>
      <w:r w:rsidRPr="00F00EB7">
        <w:rPr>
          <w:b/>
          <w:bCs/>
        </w:rPr>
        <w:t>2. Collateral, DIP Financing, and Sales Under § 363</w:t>
      </w:r>
    </w:p>
    <w:p w14:paraId="74621CEE" w14:textId="3C73CB44" w:rsidR="004E60E6" w:rsidRDefault="000E42A1" w:rsidP="00F00EB7">
      <w:r w:rsidRPr="000E42A1">
        <w:t xml:space="preserve">The first 30 days of </w:t>
      </w:r>
      <w:proofErr w:type="gramStart"/>
      <w:r w:rsidRPr="000E42A1">
        <w:t>a Chapter</w:t>
      </w:r>
      <w:proofErr w:type="gramEnd"/>
      <w:r w:rsidRPr="000E42A1">
        <w:t xml:space="preserve"> </w:t>
      </w:r>
      <w:proofErr w:type="gramStart"/>
      <w:r w:rsidRPr="000E42A1">
        <w:t>11 case</w:t>
      </w:r>
      <w:proofErr w:type="gramEnd"/>
      <w:r w:rsidRPr="000E42A1">
        <w:t xml:space="preserve"> are critical for protecting IP. DIP financing, cash</w:t>
      </w:r>
      <w:r w:rsidRPr="000E42A1">
        <w:noBreakHyphen/>
      </w:r>
      <w:r w:rsidR="004E60E6">
        <w:t>collateral usage, and initial § 363 sale procedures are frequently addressed at the first-day</w:t>
      </w:r>
      <w:r w:rsidRPr="000E42A1">
        <w:t xml:space="preserve"> hearing, sometimes within 24–72 hours of filing. Interim DIP orders may immediately impose liens on IP assets. Critical deadlines: § 365(n) elections must be made within 60 days of rejection notice (or such </w:t>
      </w:r>
      <w:r w:rsidR="004E60E6">
        <w:t>more extended</w:t>
      </w:r>
      <w:r w:rsidR="004E60E6" w:rsidRPr="000E42A1">
        <w:t xml:space="preserve"> </w:t>
      </w:r>
      <w:r w:rsidRPr="000E42A1">
        <w:t xml:space="preserve">period as the court may allow); § 363(e) adequate protection motions typically have </w:t>
      </w:r>
      <w:proofErr w:type="gramStart"/>
      <w:r w:rsidRPr="000E42A1">
        <w:t>7-14 day</w:t>
      </w:r>
      <w:proofErr w:type="gramEnd"/>
      <w:r w:rsidRPr="000E42A1">
        <w:t xml:space="preserve"> notice periods but can be expedited. Failure to object early can result in waiver. Licensees and counterparties must review </w:t>
      </w:r>
      <w:r w:rsidR="004E60E6">
        <w:t>first-day</w:t>
      </w:r>
      <w:r w:rsidRPr="000E42A1">
        <w:t xml:space="preserve"> filings promptly.</w:t>
      </w:r>
    </w:p>
    <w:p w14:paraId="3C938AE5" w14:textId="2E0AEE3B" w:rsidR="00F00EB7" w:rsidRPr="00F00EB7" w:rsidRDefault="00F00EB7" w:rsidP="00F00EB7">
      <w:r w:rsidRPr="00F00EB7">
        <w:t xml:space="preserve">Debtors often pledge "all assets"—including IP—as collateral in a DIP facility under § 364 or propose a § 363(f) sale "free and clear" of interests. Without timely objections under § 363(e), </w:t>
      </w:r>
      <w:proofErr w:type="gramStart"/>
      <w:r w:rsidRPr="00F00EB7">
        <w:t>licensees</w:t>
      </w:r>
      <w:proofErr w:type="gramEnd"/>
      <w:r w:rsidRPr="00F00EB7">
        <w:t xml:space="preserve"> and contract counterparties risk losing rights.</w:t>
      </w:r>
    </w:p>
    <w:p w14:paraId="034437E8" w14:textId="77777777" w:rsidR="00F00EB7" w:rsidRPr="00F00EB7" w:rsidRDefault="00F00EB7" w:rsidP="00F00EB7">
      <w:pPr>
        <w:rPr>
          <w:b/>
          <w:bCs/>
        </w:rPr>
      </w:pPr>
      <w:r w:rsidRPr="00F00EB7">
        <w:rPr>
          <w:b/>
          <w:bCs/>
        </w:rPr>
        <w:t>§ 363(f): Free</w:t>
      </w:r>
      <w:r w:rsidRPr="00F00EB7">
        <w:rPr>
          <w:b/>
          <w:bCs/>
        </w:rPr>
        <w:noBreakHyphen/>
        <w:t>and</w:t>
      </w:r>
      <w:r w:rsidRPr="00F00EB7">
        <w:rPr>
          <w:b/>
          <w:bCs/>
        </w:rPr>
        <w:noBreakHyphen/>
        <w:t>Clear Sales</w:t>
      </w:r>
    </w:p>
    <w:p w14:paraId="6B21620C" w14:textId="77777777" w:rsidR="00F00EB7" w:rsidRPr="00F00EB7" w:rsidRDefault="00F00EB7" w:rsidP="00F00EB7">
      <w:r w:rsidRPr="00F00EB7">
        <w:t xml:space="preserve">A debtor may sell assets free and clear if one of the five statutory conditions is met and proper notice is provided under Fed. R. </w:t>
      </w:r>
      <w:proofErr w:type="spellStart"/>
      <w:r w:rsidRPr="00F00EB7">
        <w:t>Bankr</w:t>
      </w:r>
      <w:proofErr w:type="spellEnd"/>
      <w:r w:rsidRPr="00F00EB7">
        <w:t>. P. 6004(a), and applicable local bankruptcy rules, which often shorten notice periods below federal defaults.</w:t>
      </w:r>
    </w:p>
    <w:p w14:paraId="7ABB4AFD" w14:textId="77777777" w:rsidR="00F00EB7" w:rsidRPr="00F00EB7" w:rsidRDefault="00F00EB7" w:rsidP="00F00EB7">
      <w:pPr>
        <w:rPr>
          <w:b/>
          <w:bCs/>
        </w:rPr>
      </w:pPr>
      <w:r w:rsidRPr="00F00EB7">
        <w:rPr>
          <w:b/>
          <w:bCs/>
        </w:rPr>
        <w:t>§ 363(e): Adequate Protection</w:t>
      </w:r>
    </w:p>
    <w:p w14:paraId="7E38BA93" w14:textId="77777777" w:rsidR="00F00EB7" w:rsidRPr="00F00EB7" w:rsidRDefault="00F00EB7" w:rsidP="00F00EB7">
      <w:r w:rsidRPr="00F00EB7">
        <w:t>Any party with an interest in property may request adequate protection, and the court must condition use or sale as necessary to protect that interest.</w:t>
      </w:r>
    </w:p>
    <w:p w14:paraId="615AA48B" w14:textId="77777777" w:rsidR="00F00EB7" w:rsidRPr="00F00EB7" w:rsidRDefault="00F00EB7" w:rsidP="00F00EB7">
      <w:pPr>
        <w:rPr>
          <w:b/>
          <w:bCs/>
        </w:rPr>
      </w:pPr>
      <w:r w:rsidRPr="00F00EB7">
        <w:rPr>
          <w:b/>
          <w:bCs/>
        </w:rPr>
        <w:t>Practical Steps for Counterparties</w:t>
      </w:r>
    </w:p>
    <w:p w14:paraId="6D674E2C" w14:textId="77777777" w:rsidR="00F00EB7" w:rsidRPr="00F00EB7" w:rsidRDefault="00F00EB7" w:rsidP="00F00EB7">
      <w:pPr>
        <w:numPr>
          <w:ilvl w:val="0"/>
          <w:numId w:val="30"/>
        </w:numPr>
      </w:pPr>
      <w:r w:rsidRPr="00F00EB7">
        <w:t>Monitor DIP and sale motions; deadlines are often 7–14 days.</w:t>
      </w:r>
    </w:p>
    <w:p w14:paraId="2F2EDA7B" w14:textId="77777777" w:rsidR="00F00EB7" w:rsidRPr="00F00EB7" w:rsidRDefault="00F00EB7" w:rsidP="00F00EB7">
      <w:pPr>
        <w:numPr>
          <w:ilvl w:val="0"/>
          <w:numId w:val="30"/>
        </w:numPr>
      </w:pPr>
      <w:r w:rsidRPr="00F00EB7">
        <w:t>File timely § 363(e) motions.</w:t>
      </w:r>
    </w:p>
    <w:p w14:paraId="33807B20" w14:textId="77777777" w:rsidR="00F00EB7" w:rsidRPr="00F00EB7" w:rsidRDefault="00F00EB7" w:rsidP="00F00EB7">
      <w:pPr>
        <w:numPr>
          <w:ilvl w:val="0"/>
          <w:numId w:val="30"/>
        </w:numPr>
      </w:pPr>
      <w:r w:rsidRPr="00F00EB7">
        <w:lastRenderedPageBreak/>
        <w:t>Request precise, enforceable language:</w:t>
      </w:r>
    </w:p>
    <w:p w14:paraId="63003751" w14:textId="77777777" w:rsidR="00F00EB7" w:rsidRPr="00F00EB7" w:rsidRDefault="00F00EB7" w:rsidP="00F00EB7">
      <w:r w:rsidRPr="00F00EB7">
        <w:rPr>
          <w:b/>
          <w:bCs/>
        </w:rPr>
        <w:t>Corrected Sale</w:t>
      </w:r>
      <w:r w:rsidRPr="00F00EB7">
        <w:rPr>
          <w:b/>
          <w:bCs/>
        </w:rPr>
        <w:noBreakHyphen/>
        <w:t>Order Language</w:t>
      </w:r>
      <w:r w:rsidRPr="00F00EB7">
        <w:t>: "Nothing in this Order shall extinguish, modify, or impair (</w:t>
      </w:r>
      <w:proofErr w:type="spellStart"/>
      <w:r w:rsidRPr="00F00EB7">
        <w:t>i</w:t>
      </w:r>
      <w:proofErr w:type="spellEnd"/>
      <w:r w:rsidRPr="00F00EB7">
        <w:t>) any rights expressly preserved under 11 U.S.C. § 365(n) following rejection of an executory contract, or (ii) any trademark license rights that continue under applicable non</w:t>
      </w:r>
      <w:r w:rsidRPr="00F00EB7">
        <w:noBreakHyphen/>
        <w:t xml:space="preserve">bankruptcy law pursuant to </w:t>
      </w:r>
      <w:r w:rsidRPr="00F00EB7">
        <w:rPr>
          <w:i/>
          <w:iCs/>
        </w:rPr>
        <w:t xml:space="preserve">Mission Product Holdings, Inc. v. </w:t>
      </w:r>
      <w:proofErr w:type="spellStart"/>
      <w:r w:rsidRPr="00F00EB7">
        <w:rPr>
          <w:i/>
          <w:iCs/>
        </w:rPr>
        <w:t>Tempnology</w:t>
      </w:r>
      <w:proofErr w:type="spellEnd"/>
      <w:r w:rsidRPr="00F00EB7">
        <w:rPr>
          <w:i/>
          <w:iCs/>
        </w:rPr>
        <w:t>, LLC</w:t>
      </w:r>
      <w:r w:rsidRPr="00F00EB7">
        <w:t>, 587 U.S. ___, 139 S. Ct. 1652 (2019), provided that the licensee continues to comply with its contractual obligations."</w:t>
      </w:r>
    </w:p>
    <w:p w14:paraId="1A56FD36" w14:textId="77777777" w:rsidR="00F00EB7" w:rsidRPr="00F00EB7" w:rsidRDefault="00F00EB7" w:rsidP="00F00EB7">
      <w:pPr>
        <w:rPr>
          <w:b/>
          <w:bCs/>
        </w:rPr>
      </w:pPr>
      <w:r w:rsidRPr="00F00EB7">
        <w:rPr>
          <w:b/>
          <w:bCs/>
        </w:rPr>
        <w:t>Guidance for Debtors and Lenders</w:t>
      </w:r>
    </w:p>
    <w:p w14:paraId="163CD1D8" w14:textId="519905B0" w:rsidR="00F00EB7" w:rsidRPr="00F00EB7" w:rsidRDefault="00CD54A0" w:rsidP="00F00EB7">
      <w:pPr>
        <w:numPr>
          <w:ilvl w:val="0"/>
          <w:numId w:val="31"/>
        </w:numPr>
      </w:pPr>
      <w:r>
        <w:t xml:space="preserve">Complete UCC searches, chain-of-title verification, and foreign registry checks before including IP in collateral descriptions. Once perfection is confirmed, structure DIP </w:t>
      </w:r>
      <w:proofErr w:type="gramStart"/>
      <w:r>
        <w:t>liens</w:t>
      </w:r>
      <w:proofErr w:type="gramEnd"/>
      <w:r>
        <w:t xml:space="preserve"> to permit ordinary-course licensing or court-approved outbound licenses, ensuring liens attach only to properly perfected domestic IP rights.</w:t>
      </w:r>
    </w:p>
    <w:p w14:paraId="364AFB0D" w14:textId="77777777" w:rsidR="00F00EB7" w:rsidRPr="00F00EB7" w:rsidRDefault="00F00EB7" w:rsidP="00F00EB7">
      <w:pPr>
        <w:numPr>
          <w:ilvl w:val="0"/>
          <w:numId w:val="31"/>
        </w:numPr>
      </w:pPr>
      <w:r w:rsidRPr="00F00EB7">
        <w:t>Ensure IP treatment aligns with the intended § 363 sale structure.</w:t>
      </w:r>
    </w:p>
    <w:p w14:paraId="758DE24F" w14:textId="77777777" w:rsidR="00F00EB7" w:rsidRPr="00F00EB7" w:rsidRDefault="00F00EB7" w:rsidP="00F00EB7">
      <w:pPr>
        <w:numPr>
          <w:ilvl w:val="0"/>
          <w:numId w:val="31"/>
        </w:numPr>
      </w:pPr>
      <w:r w:rsidRPr="00F00EB7">
        <w:t>Structure DIP liens to permit ordinary</w:t>
      </w:r>
      <w:r w:rsidRPr="00F00EB7">
        <w:noBreakHyphen/>
        <w:t>course licensing or court</w:t>
      </w:r>
      <w:r w:rsidRPr="00F00EB7">
        <w:noBreakHyphen/>
        <w:t>approved outbound licenses.</w:t>
      </w:r>
    </w:p>
    <w:p w14:paraId="40316FFD" w14:textId="77777777" w:rsidR="00C33B34" w:rsidRDefault="00C33B34" w:rsidP="00F00EB7"/>
    <w:p w14:paraId="4AC6FBDC" w14:textId="66F7818A" w:rsidR="00F00EB7" w:rsidRPr="00F00EB7" w:rsidRDefault="00F00EB7" w:rsidP="00F00EB7">
      <w:pPr>
        <w:rPr>
          <w:b/>
          <w:bCs/>
        </w:rPr>
      </w:pPr>
      <w:r w:rsidRPr="00F00EB7">
        <w:rPr>
          <w:b/>
          <w:bCs/>
        </w:rPr>
        <w:t>3. Recovery and Monetization Pathways</w:t>
      </w:r>
    </w:p>
    <w:p w14:paraId="4EB8F0F3" w14:textId="77777777" w:rsidR="00F00EB7" w:rsidRPr="00F00EB7" w:rsidRDefault="00F00EB7" w:rsidP="00F00EB7">
      <w:r w:rsidRPr="00F00EB7">
        <w:t>Once stabilized, IP provides flexible value</w:t>
      </w:r>
      <w:r w:rsidRPr="00F00EB7">
        <w:noBreakHyphen/>
        <w:t>creation options.</w:t>
      </w:r>
    </w:p>
    <w:p w14:paraId="280085CD" w14:textId="77777777" w:rsidR="00F00EB7" w:rsidRPr="00F00EB7" w:rsidRDefault="00F00EB7" w:rsidP="00F00EB7">
      <w:pPr>
        <w:rPr>
          <w:b/>
          <w:bCs/>
        </w:rPr>
      </w:pPr>
      <w:r w:rsidRPr="00F00EB7">
        <w:rPr>
          <w:b/>
          <w:bCs/>
        </w:rPr>
        <w:t>Proven Strategies</w:t>
      </w:r>
    </w:p>
    <w:p w14:paraId="3719D60D" w14:textId="77777777" w:rsidR="00F00EB7" w:rsidRPr="00F00EB7" w:rsidRDefault="00F00EB7" w:rsidP="00F00EB7">
      <w:pPr>
        <w:numPr>
          <w:ilvl w:val="0"/>
          <w:numId w:val="32"/>
        </w:numPr>
      </w:pPr>
      <w:r w:rsidRPr="00F00EB7">
        <w:t>Outbound licensing under § 363(b) or § 363(c)(1).</w:t>
      </w:r>
    </w:p>
    <w:p w14:paraId="75357C9F" w14:textId="77777777" w:rsidR="00F00EB7" w:rsidRPr="00F00EB7" w:rsidRDefault="00F00EB7" w:rsidP="00F00EB7">
      <w:pPr>
        <w:numPr>
          <w:ilvl w:val="0"/>
          <w:numId w:val="32"/>
        </w:numPr>
      </w:pPr>
      <w:r w:rsidRPr="00F00EB7">
        <w:t>License</w:t>
      </w:r>
      <w:r w:rsidRPr="00F00EB7">
        <w:noBreakHyphen/>
        <w:t>back arrangements in § 363 sales.</w:t>
      </w:r>
    </w:p>
    <w:p w14:paraId="1FFAE00B" w14:textId="77777777" w:rsidR="00F00EB7" w:rsidRPr="00F00EB7" w:rsidRDefault="00F00EB7" w:rsidP="00F00EB7">
      <w:pPr>
        <w:numPr>
          <w:ilvl w:val="0"/>
          <w:numId w:val="32"/>
        </w:numPr>
      </w:pPr>
      <w:r w:rsidRPr="00F00EB7">
        <w:t xml:space="preserve">IP </w:t>
      </w:r>
      <w:proofErr w:type="gramStart"/>
      <w:r w:rsidRPr="00F00EB7">
        <w:t>carve</w:t>
      </w:r>
      <w:r w:rsidRPr="00F00EB7">
        <w:noBreakHyphen/>
        <w:t>outs</w:t>
      </w:r>
      <w:proofErr w:type="gramEnd"/>
      <w:r w:rsidRPr="00F00EB7">
        <w:t xml:space="preserve"> or special purpose vehicles.</w:t>
      </w:r>
    </w:p>
    <w:p w14:paraId="7671B845" w14:textId="77777777" w:rsidR="00F00EB7" w:rsidRPr="00F00EB7" w:rsidRDefault="00F00EB7" w:rsidP="00F00EB7">
      <w:pPr>
        <w:numPr>
          <w:ilvl w:val="0"/>
          <w:numId w:val="32"/>
        </w:numPr>
      </w:pPr>
      <w:r w:rsidRPr="00F00EB7">
        <w:t>Royalty</w:t>
      </w:r>
      <w:r w:rsidRPr="00F00EB7">
        <w:noBreakHyphen/>
        <w:t>backed exit financing.</w:t>
      </w:r>
    </w:p>
    <w:p w14:paraId="03B72AB4" w14:textId="77777777" w:rsidR="00F00EB7" w:rsidRPr="00F00EB7" w:rsidRDefault="00F00EB7" w:rsidP="00F00EB7">
      <w:pPr>
        <w:rPr>
          <w:b/>
          <w:bCs/>
        </w:rPr>
      </w:pPr>
      <w:r w:rsidRPr="00F00EB7">
        <w:rPr>
          <w:b/>
          <w:bCs/>
        </w:rPr>
        <w:t>Example</w:t>
      </w:r>
    </w:p>
    <w:p w14:paraId="24EDE3C7" w14:textId="77777777" w:rsidR="00F00EB7" w:rsidRPr="00F00EB7" w:rsidRDefault="00F00EB7" w:rsidP="00F00EB7">
      <w:r w:rsidRPr="00F00EB7">
        <w:t>A distressed software company negotiated a license</w:t>
      </w:r>
      <w:r w:rsidRPr="00F00EB7">
        <w:noBreakHyphen/>
        <w:t>back in a § 363 sale, enabling continued operations and producing materially higher unsecured recoveries.</w:t>
      </w:r>
    </w:p>
    <w:p w14:paraId="2A43983A" w14:textId="77777777" w:rsidR="00C33B34" w:rsidRDefault="00C33B34" w:rsidP="00F00EB7"/>
    <w:p w14:paraId="4AEBC75C" w14:textId="7813CA44" w:rsidR="00F00EB7" w:rsidRPr="00F00EB7" w:rsidRDefault="00F00EB7" w:rsidP="00F00EB7">
      <w:pPr>
        <w:rPr>
          <w:b/>
          <w:bCs/>
        </w:rPr>
      </w:pPr>
      <w:r w:rsidRPr="00F00EB7">
        <w:rPr>
          <w:b/>
          <w:bCs/>
        </w:rPr>
        <w:t>4. Foreign and Emerging Assets</w:t>
      </w:r>
    </w:p>
    <w:p w14:paraId="524BF7ED" w14:textId="77777777" w:rsidR="00F00EB7" w:rsidRPr="00F00EB7" w:rsidRDefault="00F00EB7" w:rsidP="00F00EB7">
      <w:r w:rsidRPr="00F00EB7">
        <w:t>Cross</w:t>
      </w:r>
      <w:r w:rsidRPr="00F00EB7">
        <w:noBreakHyphen/>
        <w:t>border IP, data, and AI assets require heightened diligence.</w:t>
      </w:r>
    </w:p>
    <w:p w14:paraId="47732154" w14:textId="77777777" w:rsidR="00F00EB7" w:rsidRPr="00F00EB7" w:rsidRDefault="00F00EB7" w:rsidP="00F00EB7">
      <w:pPr>
        <w:rPr>
          <w:b/>
          <w:bCs/>
        </w:rPr>
      </w:pPr>
      <w:r w:rsidRPr="00F00EB7">
        <w:rPr>
          <w:b/>
          <w:bCs/>
        </w:rPr>
        <w:t>Key Challenges</w:t>
      </w:r>
    </w:p>
    <w:p w14:paraId="26D27260" w14:textId="77777777" w:rsidR="00F00EB7" w:rsidRPr="00F00EB7" w:rsidRDefault="00F00EB7" w:rsidP="00F00EB7">
      <w:pPr>
        <w:numPr>
          <w:ilvl w:val="0"/>
          <w:numId w:val="33"/>
        </w:numPr>
      </w:pPr>
      <w:r w:rsidRPr="00F00EB7">
        <w:t>§ 365(n) applies only to IP defined in § 101(35A).</w:t>
      </w:r>
    </w:p>
    <w:p w14:paraId="661B4EFF" w14:textId="74689E95" w:rsidR="00F00EB7" w:rsidRPr="00F00EB7" w:rsidRDefault="00587155" w:rsidP="00F00EB7">
      <w:pPr>
        <w:numPr>
          <w:ilvl w:val="0"/>
          <w:numId w:val="33"/>
        </w:numPr>
      </w:pPr>
      <w:r w:rsidRPr="00587155">
        <w:t>AI models, datasets, training corpora, and model weights are often treated as trade secrets under the Defend Trade Secrets Act (DTSA) and state UTSA variants; however, the legal framework governing AI assets, data ownership, training</w:t>
      </w:r>
      <w:r w:rsidRPr="00587155">
        <w:noBreakHyphen/>
      </w:r>
      <w:r>
        <w:t>data rights, and cross-border data</w:t>
      </w:r>
      <w:r>
        <w:noBreakHyphen/>
        <w:t>transfer</w:t>
      </w:r>
      <w:r w:rsidRPr="00587155">
        <w:t xml:space="preserve"> restrictions is rapidly evolving. This section provides general guidance but should be supplemented with </w:t>
      </w:r>
      <w:r>
        <w:t>matter-specific</w:t>
      </w:r>
      <w:r w:rsidRPr="00587155">
        <w:t xml:space="preserve"> analysis. </w:t>
      </w:r>
      <w:r>
        <w:t>And</w:t>
      </w:r>
      <w:r w:rsidRPr="00587155">
        <w:t xml:space="preserve"> highly uncertain. Given the nascent state of AI law, this guidance may become obsolete quickly and should be supplemented with current matter-</w:t>
      </w:r>
      <w:r w:rsidRPr="00587155">
        <w:lastRenderedPageBreak/>
        <w:t>specific analysis and consultation with AI-specialized counsel. Practitioners should expect significant legal developments in this area and verify current law before relying on any AI-related strategies.</w:t>
      </w:r>
      <w:r>
        <w:t xml:space="preserve"> </w:t>
      </w:r>
      <w:proofErr w:type="gramStart"/>
      <w:r w:rsidR="00F00EB7" w:rsidRPr="00F00EB7">
        <w:t>Crypto</w:t>
      </w:r>
      <w:proofErr w:type="gramEnd"/>
      <w:r w:rsidR="00F00EB7" w:rsidRPr="00F00EB7">
        <w:t xml:space="preserve"> assets and digital property vary significantly by jurisdiction.</w:t>
      </w:r>
    </w:p>
    <w:p w14:paraId="40B273F7" w14:textId="77777777" w:rsidR="00F00EB7" w:rsidRPr="00F00EB7" w:rsidRDefault="00F00EB7" w:rsidP="00F00EB7">
      <w:pPr>
        <w:rPr>
          <w:b/>
          <w:bCs/>
        </w:rPr>
      </w:pPr>
      <w:r w:rsidRPr="00F00EB7">
        <w:rPr>
          <w:b/>
          <w:bCs/>
        </w:rPr>
        <w:t>Red Flags</w:t>
      </w:r>
    </w:p>
    <w:p w14:paraId="191790B7" w14:textId="77777777" w:rsidR="00F00EB7" w:rsidRPr="00F00EB7" w:rsidRDefault="00F00EB7" w:rsidP="00F00EB7">
      <w:pPr>
        <w:numPr>
          <w:ilvl w:val="0"/>
          <w:numId w:val="34"/>
        </w:numPr>
      </w:pPr>
      <w:r w:rsidRPr="00F00EB7">
        <w:t>Foreign patents owned by the wrong entity.</w:t>
      </w:r>
    </w:p>
    <w:p w14:paraId="381788FC" w14:textId="77777777" w:rsidR="00F00EB7" w:rsidRPr="00F00EB7" w:rsidRDefault="00F00EB7" w:rsidP="00F00EB7">
      <w:pPr>
        <w:numPr>
          <w:ilvl w:val="0"/>
          <w:numId w:val="34"/>
        </w:numPr>
      </w:pPr>
      <w:r w:rsidRPr="00F00EB7">
        <w:t>Data licenses governed by non</w:t>
      </w:r>
      <w:r w:rsidRPr="00F00EB7">
        <w:noBreakHyphen/>
        <w:t>U.S. law.</w:t>
      </w:r>
    </w:p>
    <w:p w14:paraId="79EEF07A" w14:textId="77777777" w:rsidR="00F00EB7" w:rsidRPr="00F00EB7" w:rsidRDefault="00F00EB7" w:rsidP="00F00EB7">
      <w:pPr>
        <w:numPr>
          <w:ilvl w:val="0"/>
          <w:numId w:val="34"/>
        </w:numPr>
      </w:pPr>
      <w:r w:rsidRPr="00F00EB7">
        <w:t>JV IP owned offshore but funded by U.S. entities.</w:t>
      </w:r>
    </w:p>
    <w:p w14:paraId="3FD4B173" w14:textId="77777777" w:rsidR="00C33B34" w:rsidRDefault="00C33B34" w:rsidP="00F00EB7"/>
    <w:p w14:paraId="4E99772F" w14:textId="30336C76" w:rsidR="00F00EB7" w:rsidRPr="00F00EB7" w:rsidRDefault="00F00EB7" w:rsidP="00F00EB7">
      <w:pPr>
        <w:rPr>
          <w:b/>
          <w:bCs/>
        </w:rPr>
      </w:pPr>
      <w:r w:rsidRPr="00F00EB7">
        <w:rPr>
          <w:b/>
          <w:bCs/>
        </w:rPr>
        <w:t>5. The Second Circuit Landscape</w:t>
      </w:r>
    </w:p>
    <w:p w14:paraId="707E25D4" w14:textId="77777777" w:rsidR="00F00EB7" w:rsidRPr="00F00EB7" w:rsidRDefault="00F00EB7" w:rsidP="00F00EB7">
      <w:r w:rsidRPr="00F00EB7">
        <w:t xml:space="preserve">Courts are divided </w:t>
      </w:r>
      <w:proofErr w:type="gramStart"/>
      <w:r w:rsidRPr="00F00EB7">
        <w:t>on §</w:t>
      </w:r>
      <w:proofErr w:type="gramEnd"/>
      <w:r w:rsidRPr="00F00EB7">
        <w:t xml:space="preserve"> 365(c)(1):</w:t>
      </w:r>
    </w:p>
    <w:p w14:paraId="327E3B77" w14:textId="77777777" w:rsidR="00F00EB7" w:rsidRPr="00F00EB7" w:rsidRDefault="00F00EB7" w:rsidP="00F00EB7">
      <w:pPr>
        <w:numPr>
          <w:ilvl w:val="0"/>
          <w:numId w:val="35"/>
        </w:numPr>
      </w:pPr>
      <w:r w:rsidRPr="00F00EB7">
        <w:rPr>
          <w:b/>
          <w:bCs/>
        </w:rPr>
        <w:t>Third Circuit → Hypothetical test</w:t>
      </w:r>
      <w:r w:rsidRPr="00F00EB7">
        <w:t xml:space="preserve"> (</w:t>
      </w:r>
      <w:r w:rsidRPr="00F00EB7">
        <w:rPr>
          <w:i/>
          <w:iCs/>
        </w:rPr>
        <w:t>West Electronics</w:t>
      </w:r>
      <w:r w:rsidRPr="00F00EB7">
        <w:t>): A debtor may not assume a contract if applicable non</w:t>
      </w:r>
      <w:r w:rsidRPr="00F00EB7">
        <w:noBreakHyphen/>
        <w:t xml:space="preserve">bankruptcy law would </w:t>
      </w:r>
      <w:proofErr w:type="gramStart"/>
      <w:r w:rsidRPr="00F00EB7">
        <w:t>bar</w:t>
      </w:r>
      <w:proofErr w:type="gramEnd"/>
      <w:r w:rsidRPr="00F00EB7">
        <w:t xml:space="preserve"> assignment to </w:t>
      </w:r>
      <w:r w:rsidRPr="00F00EB7">
        <w:rPr>
          <w:b/>
          <w:bCs/>
        </w:rPr>
        <w:t>any</w:t>
      </w:r>
      <w:r w:rsidRPr="00F00EB7">
        <w:t xml:space="preserve"> third party, even if the debtor does not intend to assign it.</w:t>
      </w:r>
    </w:p>
    <w:p w14:paraId="2FBC0B0A" w14:textId="77777777" w:rsidR="00F00EB7" w:rsidRPr="00F00EB7" w:rsidRDefault="00F00EB7" w:rsidP="00F00EB7">
      <w:pPr>
        <w:numPr>
          <w:ilvl w:val="0"/>
          <w:numId w:val="35"/>
        </w:numPr>
      </w:pPr>
      <w:r w:rsidRPr="00F00EB7">
        <w:rPr>
          <w:b/>
          <w:bCs/>
        </w:rPr>
        <w:t>First Circuit → Actual test</w:t>
      </w:r>
      <w:r w:rsidRPr="00F00EB7">
        <w:t xml:space="preserve"> (</w:t>
      </w:r>
      <w:proofErr w:type="spellStart"/>
      <w:r w:rsidRPr="00F00EB7">
        <w:rPr>
          <w:i/>
          <w:iCs/>
        </w:rPr>
        <w:t>Institut</w:t>
      </w:r>
      <w:proofErr w:type="spellEnd"/>
      <w:r w:rsidRPr="00F00EB7">
        <w:rPr>
          <w:i/>
          <w:iCs/>
        </w:rPr>
        <w:t xml:space="preserve"> Pasteur</w:t>
      </w:r>
      <w:r w:rsidRPr="00F00EB7">
        <w:t xml:space="preserve">): A debtor may assume the contract unless it </w:t>
      </w:r>
      <w:proofErr w:type="gramStart"/>
      <w:r w:rsidRPr="00F00EB7">
        <w:rPr>
          <w:b/>
          <w:bCs/>
        </w:rPr>
        <w:t>actually intends</w:t>
      </w:r>
      <w:proofErr w:type="gramEnd"/>
      <w:r w:rsidRPr="00F00EB7">
        <w:t xml:space="preserve"> to assign it to a third party.</w:t>
      </w:r>
    </w:p>
    <w:p w14:paraId="5C004B0F" w14:textId="77777777" w:rsidR="00F00EB7" w:rsidRPr="00F00EB7" w:rsidRDefault="00F00EB7" w:rsidP="00F00EB7">
      <w:pPr>
        <w:numPr>
          <w:ilvl w:val="0"/>
          <w:numId w:val="35"/>
        </w:numPr>
      </w:pPr>
      <w:r w:rsidRPr="00F00EB7">
        <w:rPr>
          <w:b/>
          <w:bCs/>
        </w:rPr>
        <w:t>Second Circuit</w:t>
      </w:r>
      <w:r w:rsidRPr="00F00EB7">
        <w:t xml:space="preserve"> → No definitive adoption of either test; SDNY/EDNY courts analyze contract language, applicable non</w:t>
      </w:r>
      <w:r w:rsidRPr="00F00EB7">
        <w:noBreakHyphen/>
        <w:t>bankruptcy law, and factual circumstances.</w:t>
      </w:r>
    </w:p>
    <w:p w14:paraId="124C62C8" w14:textId="6610B3B9" w:rsidR="00F00EB7" w:rsidRPr="00F00EB7" w:rsidRDefault="00F00EB7" w:rsidP="00F00EB7">
      <w:r w:rsidRPr="00F00EB7">
        <w:rPr>
          <w:b/>
          <w:bCs/>
        </w:rPr>
        <w:t>Practical Impact:</w:t>
      </w:r>
      <w:r w:rsidRPr="00F00EB7">
        <w:t xml:space="preserve"> The choice of test determines whether the debtor may continue </w:t>
      </w:r>
      <w:r w:rsidR="007E2558">
        <w:t>to perform under critical IP licenses post-petition</w:t>
      </w:r>
      <w:r w:rsidRPr="00F00EB7">
        <w:t>. Counsel should assess venue tendencies early.</w:t>
      </w:r>
    </w:p>
    <w:p w14:paraId="17764E74" w14:textId="77777777" w:rsidR="00F00EB7" w:rsidRPr="00F00EB7" w:rsidRDefault="00F00EB7" w:rsidP="00F00EB7">
      <w:pPr>
        <w:rPr>
          <w:b/>
          <w:bCs/>
        </w:rPr>
      </w:pPr>
      <w:r w:rsidRPr="00F00EB7">
        <w:rPr>
          <w:b/>
          <w:bCs/>
        </w:rPr>
        <w:t>Adequate Protection Practices</w:t>
      </w:r>
    </w:p>
    <w:p w14:paraId="30AC69AB" w14:textId="77777777" w:rsidR="00F00EB7" w:rsidRPr="00F00EB7" w:rsidRDefault="00F00EB7" w:rsidP="00F00EB7">
      <w:r w:rsidRPr="00F00EB7">
        <w:t>SDNY/EDNY courts expect:</w:t>
      </w:r>
    </w:p>
    <w:p w14:paraId="615EA16E" w14:textId="77777777" w:rsidR="00F00EB7" w:rsidRPr="00F00EB7" w:rsidRDefault="00F00EB7" w:rsidP="00F00EB7">
      <w:pPr>
        <w:numPr>
          <w:ilvl w:val="0"/>
          <w:numId w:val="36"/>
        </w:numPr>
      </w:pPr>
      <w:r w:rsidRPr="00F00EB7">
        <w:t>Sworn declarations (28 U.S.C. § 1746).</w:t>
      </w:r>
    </w:p>
    <w:p w14:paraId="0663F0C6" w14:textId="77777777" w:rsidR="00F00EB7" w:rsidRPr="00F00EB7" w:rsidRDefault="00F00EB7" w:rsidP="00F00EB7">
      <w:pPr>
        <w:numPr>
          <w:ilvl w:val="0"/>
          <w:numId w:val="36"/>
        </w:numPr>
      </w:pPr>
      <w:r w:rsidRPr="00F00EB7">
        <w:t>Expert reports satisfying Fed. R. Evid. 702.</w:t>
      </w:r>
    </w:p>
    <w:p w14:paraId="4318A06A" w14:textId="77777777" w:rsidR="00F00EB7" w:rsidRPr="00F00EB7" w:rsidRDefault="00F00EB7" w:rsidP="00F00EB7">
      <w:pPr>
        <w:numPr>
          <w:ilvl w:val="0"/>
          <w:numId w:val="36"/>
        </w:numPr>
      </w:pPr>
      <w:r w:rsidRPr="00F00EB7">
        <w:t>Document authentication under Fed. R. Evid. 901.</w:t>
      </w:r>
    </w:p>
    <w:p w14:paraId="19D583A3" w14:textId="77777777" w:rsidR="00C33B34" w:rsidRDefault="00C33B34" w:rsidP="00F00EB7"/>
    <w:p w14:paraId="7504D2B5" w14:textId="1C94F707" w:rsidR="00F00EB7" w:rsidRPr="00F00EB7" w:rsidRDefault="00F00EB7" w:rsidP="00F00EB7">
      <w:pPr>
        <w:rPr>
          <w:b/>
          <w:bCs/>
        </w:rPr>
      </w:pPr>
      <w:r w:rsidRPr="00F00EB7">
        <w:rPr>
          <w:b/>
          <w:bCs/>
        </w:rPr>
        <w:t>6. Executive Action Plan</w:t>
      </w:r>
    </w:p>
    <w:p w14:paraId="551466A9" w14:textId="77777777" w:rsidR="00F00EB7" w:rsidRPr="00F00EB7" w:rsidRDefault="00F00EB7" w:rsidP="00F00EB7">
      <w:pPr>
        <w:numPr>
          <w:ilvl w:val="0"/>
          <w:numId w:val="37"/>
        </w:numPr>
      </w:pPr>
      <w:r w:rsidRPr="00F00EB7">
        <w:rPr>
          <w:b/>
          <w:bCs/>
        </w:rPr>
        <w:t>Map &amp; verify</w:t>
      </w:r>
      <w:r w:rsidRPr="00F00EB7">
        <w:t xml:space="preserve"> all IP and contract rights.</w:t>
      </w:r>
    </w:p>
    <w:p w14:paraId="0AB33372" w14:textId="77777777" w:rsidR="00F00EB7" w:rsidRPr="00F00EB7" w:rsidRDefault="00F00EB7" w:rsidP="00F00EB7">
      <w:pPr>
        <w:numPr>
          <w:ilvl w:val="0"/>
          <w:numId w:val="37"/>
        </w:numPr>
      </w:pPr>
      <w:r w:rsidRPr="00F00EB7">
        <w:rPr>
          <w:b/>
          <w:bCs/>
        </w:rPr>
        <w:t>Protect &amp; align</w:t>
      </w:r>
      <w:r w:rsidRPr="00F00EB7">
        <w:t xml:space="preserve"> via § 365(n) elections, § 363(e) motions, and precise sale</w:t>
      </w:r>
      <w:r w:rsidRPr="00F00EB7">
        <w:noBreakHyphen/>
        <w:t>order language.</w:t>
      </w:r>
    </w:p>
    <w:p w14:paraId="17C94BEC" w14:textId="77777777" w:rsidR="00F00EB7" w:rsidRPr="00F00EB7" w:rsidRDefault="00F00EB7" w:rsidP="00F00EB7">
      <w:pPr>
        <w:numPr>
          <w:ilvl w:val="0"/>
          <w:numId w:val="37"/>
        </w:numPr>
      </w:pPr>
      <w:r w:rsidRPr="00F00EB7">
        <w:rPr>
          <w:b/>
          <w:bCs/>
        </w:rPr>
        <w:t>Monetize strategically</w:t>
      </w:r>
      <w:r w:rsidRPr="00F00EB7">
        <w:t xml:space="preserve"> using licensing, </w:t>
      </w:r>
      <w:proofErr w:type="gramStart"/>
      <w:r w:rsidRPr="00F00EB7">
        <w:t>carve</w:t>
      </w:r>
      <w:r w:rsidRPr="00F00EB7">
        <w:noBreakHyphen/>
        <w:t>outs</w:t>
      </w:r>
      <w:proofErr w:type="gramEnd"/>
      <w:r w:rsidRPr="00F00EB7">
        <w:t>, or structured § 363 transactions.</w:t>
      </w:r>
    </w:p>
    <w:p w14:paraId="2072565B" w14:textId="31C75DAE" w:rsidR="00F00EB7" w:rsidRPr="00F00EB7" w:rsidRDefault="00F00EB7" w:rsidP="00F00EB7">
      <w:r w:rsidRPr="00F00EB7">
        <w:rPr>
          <w:b/>
          <w:bCs/>
        </w:rPr>
        <w:t>Section 365(c) vs. Section 365(n)</w:t>
      </w:r>
      <w:r w:rsidRPr="00F00EB7">
        <w:br/>
        <w:t xml:space="preserve">Section 365(c)(1) governs whether a debtor may assume or assign a contract containing </w:t>
      </w:r>
      <w:r w:rsidR="00894BDE">
        <w:t>anti-assignment</w:t>
      </w:r>
      <w:r w:rsidRPr="00F00EB7">
        <w:t xml:space="preserve"> restrictions. Section 365(n) governs whether an IP licensee may continue using licensed intellectual property after the debtor rejects the agreement. These provisions address different issues and apply at </w:t>
      </w:r>
      <w:r w:rsidR="007E2558">
        <w:t>various</w:t>
      </w:r>
      <w:r w:rsidRPr="00F00EB7">
        <w:t xml:space="preserve"> stages.</w:t>
      </w:r>
    </w:p>
    <w:p w14:paraId="5D67AEAF" w14:textId="77777777" w:rsidR="00F00EB7" w:rsidRPr="00F00EB7" w:rsidRDefault="00F00EB7" w:rsidP="00F00EB7">
      <w:r w:rsidRPr="00F00EB7">
        <w:lastRenderedPageBreak/>
        <w:t>Early action significantly improves valuation outcomes.</w:t>
      </w:r>
    </w:p>
    <w:p w14:paraId="6DA5504E" w14:textId="77777777" w:rsidR="00F00EB7" w:rsidRPr="00F00EB7" w:rsidRDefault="00F00EB7" w:rsidP="00F00EB7">
      <w:r w:rsidRPr="00F00EB7">
        <w:pict w14:anchorId="6753FCBE">
          <v:rect id="_x0000_i1123" style="width:0;height:1.5pt" o:hralign="center" o:hrstd="t" o:hr="t" fillcolor="#a0a0a0" stroked="f"/>
        </w:pict>
      </w:r>
    </w:p>
    <w:p w14:paraId="7A06AD47" w14:textId="77777777" w:rsidR="00F00EB7" w:rsidRPr="00F00EB7" w:rsidRDefault="00F00EB7" w:rsidP="00F00EB7">
      <w:pPr>
        <w:rPr>
          <w:b/>
          <w:bCs/>
        </w:rPr>
      </w:pPr>
      <w:r w:rsidRPr="00F00EB7">
        <w:rPr>
          <w:b/>
          <w:bCs/>
        </w:rPr>
        <w:t>Contact Information</w:t>
      </w:r>
    </w:p>
    <w:p w14:paraId="6245EA40" w14:textId="7D1C7477" w:rsidR="00894BDE" w:rsidRDefault="00F00EB7" w:rsidP="00F00EB7">
      <w:r w:rsidRPr="00F00EB7">
        <w:rPr>
          <w:b/>
          <w:bCs/>
        </w:rPr>
        <w:t>Law Office of Gary Lipson, LLC</w:t>
      </w:r>
      <w:r w:rsidRPr="00F00EB7">
        <w:br/>
        <w:t>20 North Broadway</w:t>
      </w:r>
      <w:r w:rsidRPr="00F00EB7">
        <w:br/>
        <w:t>White Plains, NY 10601</w:t>
      </w:r>
      <w:r w:rsidRPr="00F00EB7">
        <w:br/>
        <w:t xml:space="preserve">Email: </w:t>
      </w:r>
      <w:hyperlink r:id="rId7" w:history="1">
        <w:r w:rsidR="00894BDE" w:rsidRPr="00DB0C31">
          <w:rPr>
            <w:rStyle w:val="Hyperlink"/>
          </w:rPr>
          <w:t>gary@lipsonlawfirm.com</w:t>
        </w:r>
      </w:hyperlink>
    </w:p>
    <w:p w14:paraId="6D328130" w14:textId="7BD62B3E" w:rsidR="00F00EB7" w:rsidRPr="00F00EB7" w:rsidRDefault="00F00EB7" w:rsidP="00F00EB7">
      <w:r w:rsidRPr="00F00EB7">
        <w:t>Phone: (203) 583</w:t>
      </w:r>
      <w:r w:rsidRPr="00F00EB7">
        <w:noBreakHyphen/>
        <w:t>6737</w:t>
      </w:r>
    </w:p>
    <w:p w14:paraId="45930D24" w14:textId="77777777" w:rsidR="00F00EB7" w:rsidRPr="00F00EB7" w:rsidRDefault="00F00EB7" w:rsidP="00F00EB7">
      <w:r w:rsidRPr="00F00EB7">
        <w:pict w14:anchorId="1C13EE86">
          <v:rect id="_x0000_i1095" style="width:0;height:1.5pt" o:hralign="center" o:hrstd="t" o:hr="t" fillcolor="#a0a0a0" stroked="f"/>
        </w:pict>
      </w:r>
    </w:p>
    <w:p w14:paraId="0AF8B9B3" w14:textId="51FEF5BC" w:rsidR="00F00EB7" w:rsidRPr="00F00EB7" w:rsidRDefault="00F00EB7" w:rsidP="00F00EB7">
      <w:r w:rsidRPr="00F00EB7">
        <w:rPr>
          <w:b/>
          <w:bCs/>
        </w:rPr>
        <w:t>Disclaimer</w:t>
      </w:r>
      <w:r w:rsidR="00344FFC">
        <w:rPr>
          <w:b/>
          <w:bCs/>
        </w:rPr>
        <w:t>:</w:t>
      </w:r>
      <w:r w:rsidRPr="00F00EB7">
        <w:rPr>
          <w:b/>
          <w:bCs/>
        </w:rPr>
        <w:t xml:space="preserve"> This white paper provides general information for educational purposes only and does not constitute legal advice. Bankruptcy outcomes depend on specific facts, venue, and governing law. Readers should consult qualified legal counsel before acting. No attorney–client relationship is created by this document.</w:t>
      </w:r>
    </w:p>
    <w:p w14:paraId="02F8CAA5" w14:textId="77777777" w:rsidR="00F00EB7" w:rsidRPr="00F00EB7" w:rsidRDefault="00F00EB7" w:rsidP="00F00EB7">
      <w:r w:rsidRPr="00F00EB7">
        <w:pict w14:anchorId="43B25AEE">
          <v:rect id="_x0000_i1096" style="width:0;height:1.5pt" o:hralign="center" o:hrstd="t" o:hr="t" fillcolor="#a0a0a0" stroked="f"/>
        </w:pict>
      </w:r>
    </w:p>
    <w:p w14:paraId="1D82BB6A" w14:textId="77777777" w:rsidR="00F00EB7" w:rsidRPr="00F00EB7" w:rsidRDefault="00F00EB7" w:rsidP="00F00EB7">
      <w:pPr>
        <w:rPr>
          <w:b/>
          <w:bCs/>
        </w:rPr>
      </w:pPr>
      <w:r w:rsidRPr="00F00EB7">
        <w:rPr>
          <w:b/>
          <w:bCs/>
        </w:rPr>
        <w:t>References</w:t>
      </w:r>
    </w:p>
    <w:p w14:paraId="3B5C9013" w14:textId="77777777" w:rsidR="00F00EB7" w:rsidRPr="00F00EB7" w:rsidRDefault="00F00EB7" w:rsidP="00F00EB7">
      <w:pPr>
        <w:numPr>
          <w:ilvl w:val="0"/>
          <w:numId w:val="38"/>
        </w:numPr>
      </w:pPr>
      <w:r w:rsidRPr="00F00EB7">
        <w:t xml:space="preserve">Ocean </w:t>
      </w:r>
      <w:proofErr w:type="spellStart"/>
      <w:r w:rsidRPr="00F00EB7">
        <w:t>Tomo</w:t>
      </w:r>
      <w:proofErr w:type="spellEnd"/>
      <w:r w:rsidRPr="00F00EB7">
        <w:t xml:space="preserve">, LLC. </w:t>
      </w:r>
      <w:r w:rsidRPr="00F00EB7">
        <w:rPr>
          <w:i/>
          <w:iCs/>
        </w:rPr>
        <w:t>Intangible Asset Market Value Study – Interim Update 2020</w:t>
      </w:r>
      <w:r w:rsidRPr="00F00EB7">
        <w:t xml:space="preserve"> (2020).</w:t>
      </w:r>
    </w:p>
    <w:p w14:paraId="69100D14" w14:textId="77777777" w:rsidR="00F00EB7" w:rsidRPr="00F00EB7" w:rsidRDefault="00F00EB7" w:rsidP="00F00EB7">
      <w:pPr>
        <w:numPr>
          <w:ilvl w:val="0"/>
          <w:numId w:val="38"/>
        </w:numPr>
      </w:pPr>
      <w:r w:rsidRPr="00F00EB7">
        <w:t xml:space="preserve">WIPO &amp; PwC. </w:t>
      </w:r>
      <w:r w:rsidRPr="00F00EB7">
        <w:rPr>
          <w:i/>
          <w:iCs/>
        </w:rPr>
        <w:t>Intangible Asset Finance and Security Report</w:t>
      </w:r>
      <w:r w:rsidRPr="00F00EB7">
        <w:t xml:space="preserve"> (2022).</w:t>
      </w:r>
    </w:p>
    <w:p w14:paraId="27D2B2DA" w14:textId="77777777" w:rsidR="00F00EB7" w:rsidRPr="00F00EB7" w:rsidRDefault="00F00EB7" w:rsidP="00F00EB7">
      <w:pPr>
        <w:numPr>
          <w:ilvl w:val="0"/>
          <w:numId w:val="38"/>
        </w:numPr>
      </w:pPr>
      <w:r w:rsidRPr="00F00EB7">
        <w:t xml:space="preserve">Rivette, K., &amp; Kline, D. "Discovering New Value in Intellectual Property," </w:t>
      </w:r>
      <w:r w:rsidRPr="00F00EB7">
        <w:rPr>
          <w:i/>
          <w:iCs/>
        </w:rPr>
        <w:t>Harvard Business Review</w:t>
      </w:r>
      <w:r w:rsidRPr="00F00EB7">
        <w:t>, 78(1), 2000.</w:t>
      </w:r>
    </w:p>
    <w:p w14:paraId="59240EF7" w14:textId="77777777" w:rsidR="00F00EB7" w:rsidRPr="00F00EB7" w:rsidRDefault="00F00EB7" w:rsidP="00F00EB7">
      <w:pPr>
        <w:numPr>
          <w:ilvl w:val="0"/>
          <w:numId w:val="38"/>
        </w:numPr>
      </w:pPr>
      <w:r w:rsidRPr="00F00EB7">
        <w:t xml:space="preserve">Rivette, K., &amp; Kline, D. </w:t>
      </w:r>
      <w:r w:rsidRPr="00F00EB7">
        <w:rPr>
          <w:i/>
          <w:iCs/>
        </w:rPr>
        <w:t>Rembrandts in the Attic</w:t>
      </w:r>
      <w:r w:rsidRPr="00F00EB7">
        <w:t xml:space="preserve">. </w:t>
      </w:r>
      <w:proofErr w:type="gramStart"/>
      <w:r w:rsidRPr="00F00EB7">
        <w:t>Harvard Business</w:t>
      </w:r>
      <w:proofErr w:type="gramEnd"/>
      <w:r w:rsidRPr="00F00EB7">
        <w:t xml:space="preserve"> School Press (2000).</w:t>
      </w:r>
    </w:p>
    <w:p w14:paraId="575EF54B" w14:textId="77777777" w:rsidR="00F00EB7" w:rsidRPr="00F00EB7" w:rsidRDefault="00F00EB7" w:rsidP="00F00EB7">
      <w:pPr>
        <w:numPr>
          <w:ilvl w:val="0"/>
          <w:numId w:val="38"/>
        </w:numPr>
      </w:pPr>
      <w:r w:rsidRPr="00F00EB7">
        <w:rPr>
          <w:i/>
          <w:iCs/>
        </w:rPr>
        <w:t xml:space="preserve">Mission Product Holdings, Inc. v. </w:t>
      </w:r>
      <w:proofErr w:type="spellStart"/>
      <w:r w:rsidRPr="00F00EB7">
        <w:rPr>
          <w:i/>
          <w:iCs/>
        </w:rPr>
        <w:t>Tempnology</w:t>
      </w:r>
      <w:proofErr w:type="spellEnd"/>
      <w:r w:rsidRPr="00F00EB7">
        <w:rPr>
          <w:i/>
          <w:iCs/>
        </w:rPr>
        <w:t>, LLC</w:t>
      </w:r>
      <w:r w:rsidRPr="00F00EB7">
        <w:t>, 587 U.S. ___, 139 S. Ct. 1652 (2019).</w:t>
      </w:r>
    </w:p>
    <w:p w14:paraId="70F516BC" w14:textId="77777777" w:rsidR="00F00EB7" w:rsidRPr="00F00EB7" w:rsidRDefault="00F00EB7" w:rsidP="00F00EB7">
      <w:pPr>
        <w:numPr>
          <w:ilvl w:val="0"/>
          <w:numId w:val="38"/>
        </w:numPr>
      </w:pPr>
      <w:proofErr w:type="spellStart"/>
      <w:r w:rsidRPr="00F00EB7">
        <w:t>ArentFox</w:t>
      </w:r>
      <w:proofErr w:type="spellEnd"/>
      <w:r w:rsidRPr="00F00EB7">
        <w:t xml:space="preserve"> Schiff LLP. Client Alert on Mission Product (2019).</w:t>
      </w:r>
    </w:p>
    <w:p w14:paraId="057617FF" w14:textId="77777777" w:rsidR="00F00EB7" w:rsidRPr="00F00EB7" w:rsidRDefault="00F00EB7" w:rsidP="00F00EB7">
      <w:pPr>
        <w:numPr>
          <w:ilvl w:val="0"/>
          <w:numId w:val="38"/>
        </w:numPr>
      </w:pPr>
      <w:r w:rsidRPr="00F00EB7">
        <w:t>Wilson Sonsini. Client Alert on Mission Product (2019).</w:t>
      </w:r>
    </w:p>
    <w:p w14:paraId="1E83421E" w14:textId="77777777" w:rsidR="00F00EB7" w:rsidRPr="00F00EB7" w:rsidRDefault="00F00EB7" w:rsidP="00F00EB7">
      <w:pPr>
        <w:numPr>
          <w:ilvl w:val="0"/>
          <w:numId w:val="38"/>
        </w:numPr>
      </w:pPr>
      <w:r w:rsidRPr="00F00EB7">
        <w:t>McDermott Will &amp; Emery. Client Alert on Trademark Licenses (2019).</w:t>
      </w:r>
    </w:p>
    <w:p w14:paraId="2C8C4062" w14:textId="77777777" w:rsidR="00F00EB7" w:rsidRPr="00F00EB7" w:rsidRDefault="00F00EB7" w:rsidP="00F00EB7">
      <w:pPr>
        <w:numPr>
          <w:ilvl w:val="0"/>
          <w:numId w:val="38"/>
        </w:numPr>
      </w:pPr>
      <w:r w:rsidRPr="00F00EB7">
        <w:t>Holland &amp; Knight. Client Alert on Trademark License Rights (2014).</w:t>
      </w:r>
    </w:p>
    <w:p w14:paraId="1B8EAE05" w14:textId="77777777" w:rsidR="00F00EB7" w:rsidRPr="00F00EB7" w:rsidRDefault="00F00EB7" w:rsidP="00F00EB7">
      <w:pPr>
        <w:numPr>
          <w:ilvl w:val="0"/>
          <w:numId w:val="38"/>
        </w:numPr>
      </w:pPr>
      <w:r w:rsidRPr="00F00EB7">
        <w:t>Duane Morris LLP. "Acquiring IP from a Bankrupt Licensor" (2011).</w:t>
      </w:r>
    </w:p>
    <w:p w14:paraId="184B7941" w14:textId="77777777" w:rsidR="00B55FE7" w:rsidRPr="004649BF" w:rsidRDefault="00B55FE7" w:rsidP="004649BF"/>
    <w:sectPr w:rsidR="00B55FE7" w:rsidRPr="004649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BAE8" w14:textId="77777777" w:rsidR="00CC6ED5" w:rsidRDefault="00CC6ED5" w:rsidP="00317FC7">
      <w:pPr>
        <w:spacing w:after="0" w:line="240" w:lineRule="auto"/>
      </w:pPr>
      <w:r>
        <w:separator/>
      </w:r>
    </w:p>
  </w:endnote>
  <w:endnote w:type="continuationSeparator" w:id="0">
    <w:p w14:paraId="58431254" w14:textId="77777777" w:rsidR="00CC6ED5" w:rsidRDefault="00CC6ED5" w:rsidP="00317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44777"/>
      <w:docPartObj>
        <w:docPartGallery w:val="Page Numbers (Bottom of Page)"/>
        <w:docPartUnique/>
      </w:docPartObj>
    </w:sdtPr>
    <w:sdtEndPr>
      <w:rPr>
        <w:noProof/>
      </w:rPr>
    </w:sdtEndPr>
    <w:sdtContent>
      <w:p w14:paraId="17405CF7" w14:textId="277567FC" w:rsidR="00317FC7" w:rsidRDefault="00317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B9B4D" w14:textId="77777777" w:rsidR="00317FC7" w:rsidRDefault="00317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C626" w14:textId="77777777" w:rsidR="00CC6ED5" w:rsidRDefault="00CC6ED5" w:rsidP="00317FC7">
      <w:pPr>
        <w:spacing w:after="0" w:line="240" w:lineRule="auto"/>
      </w:pPr>
      <w:r>
        <w:separator/>
      </w:r>
    </w:p>
  </w:footnote>
  <w:footnote w:type="continuationSeparator" w:id="0">
    <w:p w14:paraId="744FAF2B" w14:textId="77777777" w:rsidR="00CC6ED5" w:rsidRDefault="00CC6ED5" w:rsidP="0031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51C"/>
    <w:multiLevelType w:val="multilevel"/>
    <w:tmpl w:val="9474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53A93"/>
    <w:multiLevelType w:val="multilevel"/>
    <w:tmpl w:val="C8C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356B2"/>
    <w:multiLevelType w:val="multilevel"/>
    <w:tmpl w:val="7704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56997"/>
    <w:multiLevelType w:val="multilevel"/>
    <w:tmpl w:val="380C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B056E"/>
    <w:multiLevelType w:val="multilevel"/>
    <w:tmpl w:val="D7FC6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88051D"/>
    <w:multiLevelType w:val="multilevel"/>
    <w:tmpl w:val="9286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B295A"/>
    <w:multiLevelType w:val="multilevel"/>
    <w:tmpl w:val="539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C7813"/>
    <w:multiLevelType w:val="multilevel"/>
    <w:tmpl w:val="84403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0C2573"/>
    <w:multiLevelType w:val="multilevel"/>
    <w:tmpl w:val="BDC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A500A"/>
    <w:multiLevelType w:val="multilevel"/>
    <w:tmpl w:val="9546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8746E"/>
    <w:multiLevelType w:val="multilevel"/>
    <w:tmpl w:val="D85A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331A67"/>
    <w:multiLevelType w:val="multilevel"/>
    <w:tmpl w:val="28D87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8E12F4"/>
    <w:multiLevelType w:val="multilevel"/>
    <w:tmpl w:val="B200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85151"/>
    <w:multiLevelType w:val="multilevel"/>
    <w:tmpl w:val="8C18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0E69C6"/>
    <w:multiLevelType w:val="multilevel"/>
    <w:tmpl w:val="2490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7732E3"/>
    <w:multiLevelType w:val="multilevel"/>
    <w:tmpl w:val="D1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25F66"/>
    <w:multiLevelType w:val="multilevel"/>
    <w:tmpl w:val="078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E7673D"/>
    <w:multiLevelType w:val="multilevel"/>
    <w:tmpl w:val="BB66C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4F0291"/>
    <w:multiLevelType w:val="multilevel"/>
    <w:tmpl w:val="669A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304CB"/>
    <w:multiLevelType w:val="multilevel"/>
    <w:tmpl w:val="3DA8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913CF"/>
    <w:multiLevelType w:val="multilevel"/>
    <w:tmpl w:val="4A78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637CD9"/>
    <w:multiLevelType w:val="multilevel"/>
    <w:tmpl w:val="C596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70D77"/>
    <w:multiLevelType w:val="multilevel"/>
    <w:tmpl w:val="6766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F632B"/>
    <w:multiLevelType w:val="multilevel"/>
    <w:tmpl w:val="75F21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C2A27"/>
    <w:multiLevelType w:val="multilevel"/>
    <w:tmpl w:val="A112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47554"/>
    <w:multiLevelType w:val="multilevel"/>
    <w:tmpl w:val="DAD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45178"/>
    <w:multiLevelType w:val="multilevel"/>
    <w:tmpl w:val="449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A7C57"/>
    <w:multiLevelType w:val="multilevel"/>
    <w:tmpl w:val="C2A8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F1DC1"/>
    <w:multiLevelType w:val="multilevel"/>
    <w:tmpl w:val="3FC4A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0C22E9"/>
    <w:multiLevelType w:val="multilevel"/>
    <w:tmpl w:val="156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7C4F1A"/>
    <w:multiLevelType w:val="multilevel"/>
    <w:tmpl w:val="CF7A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A1A04"/>
    <w:multiLevelType w:val="multilevel"/>
    <w:tmpl w:val="7C7A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8E33E5"/>
    <w:multiLevelType w:val="multilevel"/>
    <w:tmpl w:val="0DC8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86EDC"/>
    <w:multiLevelType w:val="multilevel"/>
    <w:tmpl w:val="74BCE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5A170F"/>
    <w:multiLevelType w:val="multilevel"/>
    <w:tmpl w:val="7F02F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50BF3"/>
    <w:multiLevelType w:val="multilevel"/>
    <w:tmpl w:val="32881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4C089E"/>
    <w:multiLevelType w:val="multilevel"/>
    <w:tmpl w:val="9DE84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E244E"/>
    <w:multiLevelType w:val="multilevel"/>
    <w:tmpl w:val="DF5C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120A86"/>
    <w:multiLevelType w:val="hybridMultilevel"/>
    <w:tmpl w:val="DC903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50774"/>
    <w:multiLevelType w:val="multilevel"/>
    <w:tmpl w:val="4D6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3B6A33"/>
    <w:multiLevelType w:val="multilevel"/>
    <w:tmpl w:val="E932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778205">
    <w:abstractNumId w:val="32"/>
  </w:num>
  <w:num w:numId="2" w16cid:durableId="1000742611">
    <w:abstractNumId w:val="15"/>
  </w:num>
  <w:num w:numId="3" w16cid:durableId="8920632">
    <w:abstractNumId w:val="24"/>
  </w:num>
  <w:num w:numId="4" w16cid:durableId="1799376170">
    <w:abstractNumId w:val="5"/>
  </w:num>
  <w:num w:numId="5" w16cid:durableId="1226530450">
    <w:abstractNumId w:val="3"/>
  </w:num>
  <w:num w:numId="6" w16cid:durableId="690839504">
    <w:abstractNumId w:val="22"/>
  </w:num>
  <w:num w:numId="7" w16cid:durableId="712847905">
    <w:abstractNumId w:val="1"/>
  </w:num>
  <w:num w:numId="8" w16cid:durableId="244917801">
    <w:abstractNumId w:val="25"/>
  </w:num>
  <w:num w:numId="9" w16cid:durableId="194777807">
    <w:abstractNumId w:val="9"/>
  </w:num>
  <w:num w:numId="10" w16cid:durableId="1486121469">
    <w:abstractNumId w:val="20"/>
  </w:num>
  <w:num w:numId="11" w16cid:durableId="284698061">
    <w:abstractNumId w:val="27"/>
  </w:num>
  <w:num w:numId="12" w16cid:durableId="894968526">
    <w:abstractNumId w:val="35"/>
  </w:num>
  <w:num w:numId="13" w16cid:durableId="1325357284">
    <w:abstractNumId w:val="38"/>
  </w:num>
  <w:num w:numId="14" w16cid:durableId="1930238875">
    <w:abstractNumId w:val="13"/>
  </w:num>
  <w:num w:numId="15" w16cid:durableId="1137454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010800">
    <w:abstractNumId w:val="34"/>
  </w:num>
  <w:num w:numId="17" w16cid:durableId="1152409112">
    <w:abstractNumId w:val="28"/>
  </w:num>
  <w:num w:numId="18" w16cid:durableId="2025131085">
    <w:abstractNumId w:val="23"/>
  </w:num>
  <w:num w:numId="19" w16cid:durableId="2030452623">
    <w:abstractNumId w:val="36"/>
  </w:num>
  <w:num w:numId="20" w16cid:durableId="1283422303">
    <w:abstractNumId w:val="11"/>
  </w:num>
  <w:num w:numId="21" w16cid:durableId="1759136107">
    <w:abstractNumId w:val="10"/>
  </w:num>
  <w:num w:numId="22" w16cid:durableId="1990595193">
    <w:abstractNumId w:val="37"/>
  </w:num>
  <w:num w:numId="23" w16cid:durableId="1740666989">
    <w:abstractNumId w:val="33"/>
  </w:num>
  <w:num w:numId="24" w16cid:durableId="2034305301">
    <w:abstractNumId w:val="31"/>
  </w:num>
  <w:num w:numId="25" w16cid:durableId="2039159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4206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6141">
    <w:abstractNumId w:val="0"/>
  </w:num>
  <w:num w:numId="28" w16cid:durableId="331030542">
    <w:abstractNumId w:val="8"/>
  </w:num>
  <w:num w:numId="29" w16cid:durableId="428619531">
    <w:abstractNumId w:val="40"/>
  </w:num>
  <w:num w:numId="30" w16cid:durableId="1380207622">
    <w:abstractNumId w:val="30"/>
  </w:num>
  <w:num w:numId="31" w16cid:durableId="160702225">
    <w:abstractNumId w:val="18"/>
  </w:num>
  <w:num w:numId="32" w16cid:durableId="809901730">
    <w:abstractNumId w:val="6"/>
  </w:num>
  <w:num w:numId="33" w16cid:durableId="1016074896">
    <w:abstractNumId w:val="29"/>
  </w:num>
  <w:num w:numId="34" w16cid:durableId="1326711842">
    <w:abstractNumId w:val="19"/>
  </w:num>
  <w:num w:numId="35" w16cid:durableId="1739016671">
    <w:abstractNumId w:val="26"/>
  </w:num>
  <w:num w:numId="36" w16cid:durableId="871528060">
    <w:abstractNumId w:val="12"/>
  </w:num>
  <w:num w:numId="37" w16cid:durableId="919826749">
    <w:abstractNumId w:val="14"/>
  </w:num>
  <w:num w:numId="38" w16cid:durableId="1162116225">
    <w:abstractNumId w:val="2"/>
  </w:num>
  <w:num w:numId="39" w16cid:durableId="1043602021">
    <w:abstractNumId w:val="21"/>
  </w:num>
  <w:num w:numId="40" w16cid:durableId="361899957">
    <w:abstractNumId w:val="16"/>
  </w:num>
  <w:num w:numId="41" w16cid:durableId="1030690627">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CE"/>
    <w:rsid w:val="00032FFC"/>
    <w:rsid w:val="000B71C1"/>
    <w:rsid w:val="000E42A1"/>
    <w:rsid w:val="001413E8"/>
    <w:rsid w:val="00175D3B"/>
    <w:rsid w:val="0018135E"/>
    <w:rsid w:val="00191BBB"/>
    <w:rsid w:val="001A4FF0"/>
    <w:rsid w:val="001B0ED2"/>
    <w:rsid w:val="001B270C"/>
    <w:rsid w:val="001C1303"/>
    <w:rsid w:val="001D355A"/>
    <w:rsid w:val="00237EF2"/>
    <w:rsid w:val="00286DCB"/>
    <w:rsid w:val="002B658E"/>
    <w:rsid w:val="00317FC7"/>
    <w:rsid w:val="00344FFC"/>
    <w:rsid w:val="003908F3"/>
    <w:rsid w:val="003A7A08"/>
    <w:rsid w:val="003B4C51"/>
    <w:rsid w:val="003B7748"/>
    <w:rsid w:val="003E3D06"/>
    <w:rsid w:val="004649BF"/>
    <w:rsid w:val="004E60E6"/>
    <w:rsid w:val="005138F7"/>
    <w:rsid w:val="00523670"/>
    <w:rsid w:val="005507E4"/>
    <w:rsid w:val="00575386"/>
    <w:rsid w:val="005777FE"/>
    <w:rsid w:val="0058108E"/>
    <w:rsid w:val="00587155"/>
    <w:rsid w:val="005A152F"/>
    <w:rsid w:val="005C426A"/>
    <w:rsid w:val="005E305D"/>
    <w:rsid w:val="00697AEC"/>
    <w:rsid w:val="006B395D"/>
    <w:rsid w:val="006C691D"/>
    <w:rsid w:val="006E41EE"/>
    <w:rsid w:val="006E5B0E"/>
    <w:rsid w:val="007109EB"/>
    <w:rsid w:val="00730BEB"/>
    <w:rsid w:val="00736AC7"/>
    <w:rsid w:val="00751E47"/>
    <w:rsid w:val="007C3F6E"/>
    <w:rsid w:val="007E2558"/>
    <w:rsid w:val="00841B28"/>
    <w:rsid w:val="00841B78"/>
    <w:rsid w:val="008548C2"/>
    <w:rsid w:val="00891CE9"/>
    <w:rsid w:val="00892049"/>
    <w:rsid w:val="00894BDE"/>
    <w:rsid w:val="008D34D9"/>
    <w:rsid w:val="00920F11"/>
    <w:rsid w:val="00925F44"/>
    <w:rsid w:val="009D16D3"/>
    <w:rsid w:val="00A3445A"/>
    <w:rsid w:val="00A43D94"/>
    <w:rsid w:val="00A5239E"/>
    <w:rsid w:val="00A56C78"/>
    <w:rsid w:val="00A60DA9"/>
    <w:rsid w:val="00A86CEE"/>
    <w:rsid w:val="00A95DA1"/>
    <w:rsid w:val="00AF7548"/>
    <w:rsid w:val="00B23FB7"/>
    <w:rsid w:val="00B2463F"/>
    <w:rsid w:val="00B55FE7"/>
    <w:rsid w:val="00B62B56"/>
    <w:rsid w:val="00BF10BC"/>
    <w:rsid w:val="00C26165"/>
    <w:rsid w:val="00C335EB"/>
    <w:rsid w:val="00C33B34"/>
    <w:rsid w:val="00C3474A"/>
    <w:rsid w:val="00C377B3"/>
    <w:rsid w:val="00C4737A"/>
    <w:rsid w:val="00C91280"/>
    <w:rsid w:val="00CC6ED5"/>
    <w:rsid w:val="00CD2634"/>
    <w:rsid w:val="00CD54A0"/>
    <w:rsid w:val="00CE21A9"/>
    <w:rsid w:val="00D05FD5"/>
    <w:rsid w:val="00D10CBC"/>
    <w:rsid w:val="00D5715A"/>
    <w:rsid w:val="00E06F21"/>
    <w:rsid w:val="00E76538"/>
    <w:rsid w:val="00E85BCE"/>
    <w:rsid w:val="00F00EB7"/>
    <w:rsid w:val="00F44FFC"/>
    <w:rsid w:val="00F4708D"/>
    <w:rsid w:val="00F56752"/>
    <w:rsid w:val="00F60EB5"/>
    <w:rsid w:val="00F66EAF"/>
    <w:rsid w:val="00FC5159"/>
    <w:rsid w:val="00FF0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69DCB"/>
  <w15:chartTrackingRefBased/>
  <w15:docId w15:val="{99A9B50E-D211-4807-BB72-FD592D7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5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E85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E85B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B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B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B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5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E85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E85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B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B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5BCE"/>
    <w:pPr>
      <w:spacing w:before="160"/>
      <w:jc w:val="center"/>
    </w:pPr>
    <w:rPr>
      <w:i/>
      <w:iCs/>
      <w:color w:val="404040" w:themeColor="text1" w:themeTint="BF"/>
    </w:rPr>
  </w:style>
  <w:style w:type="character" w:customStyle="1" w:styleId="QuoteChar">
    <w:name w:val="Quote Char"/>
    <w:basedOn w:val="DefaultParagraphFont"/>
    <w:link w:val="Quote"/>
    <w:uiPriority w:val="29"/>
    <w:rsid w:val="00E85BCE"/>
    <w:rPr>
      <w:i/>
      <w:iCs/>
      <w:color w:val="404040" w:themeColor="text1" w:themeTint="BF"/>
    </w:rPr>
  </w:style>
  <w:style w:type="paragraph" w:styleId="ListParagraph">
    <w:name w:val="List Paragraph"/>
    <w:basedOn w:val="Normal"/>
    <w:uiPriority w:val="34"/>
    <w:qFormat/>
    <w:rsid w:val="00E85BCE"/>
    <w:pPr>
      <w:ind w:left="720"/>
      <w:contextualSpacing/>
    </w:pPr>
  </w:style>
  <w:style w:type="character" w:styleId="IntenseEmphasis">
    <w:name w:val="Intense Emphasis"/>
    <w:basedOn w:val="DefaultParagraphFont"/>
    <w:uiPriority w:val="21"/>
    <w:qFormat/>
    <w:rsid w:val="00E85BCE"/>
    <w:rPr>
      <w:i/>
      <w:iCs/>
      <w:color w:val="0F4761" w:themeColor="accent1" w:themeShade="BF"/>
    </w:rPr>
  </w:style>
  <w:style w:type="paragraph" w:styleId="IntenseQuote">
    <w:name w:val="Intense Quote"/>
    <w:basedOn w:val="Normal"/>
    <w:next w:val="Normal"/>
    <w:link w:val="IntenseQuoteChar"/>
    <w:uiPriority w:val="30"/>
    <w:qFormat/>
    <w:rsid w:val="00E8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BCE"/>
    <w:rPr>
      <w:i/>
      <w:iCs/>
      <w:color w:val="0F4761" w:themeColor="accent1" w:themeShade="BF"/>
    </w:rPr>
  </w:style>
  <w:style w:type="character" w:styleId="IntenseReference">
    <w:name w:val="Intense Reference"/>
    <w:basedOn w:val="DefaultParagraphFont"/>
    <w:uiPriority w:val="32"/>
    <w:qFormat/>
    <w:rsid w:val="00E85BCE"/>
    <w:rPr>
      <w:b/>
      <w:bCs/>
      <w:smallCaps/>
      <w:color w:val="0F4761" w:themeColor="accent1" w:themeShade="BF"/>
      <w:spacing w:val="5"/>
    </w:rPr>
  </w:style>
  <w:style w:type="character" w:styleId="Hyperlink">
    <w:name w:val="Hyperlink"/>
    <w:basedOn w:val="DefaultParagraphFont"/>
    <w:uiPriority w:val="99"/>
    <w:unhideWhenUsed/>
    <w:rsid w:val="00E85BCE"/>
    <w:rPr>
      <w:color w:val="467886" w:themeColor="hyperlink"/>
      <w:u w:val="single"/>
    </w:rPr>
  </w:style>
  <w:style w:type="character" w:styleId="UnresolvedMention">
    <w:name w:val="Unresolved Mention"/>
    <w:basedOn w:val="DefaultParagraphFont"/>
    <w:uiPriority w:val="99"/>
    <w:semiHidden/>
    <w:unhideWhenUsed/>
    <w:rsid w:val="00E85BCE"/>
    <w:rPr>
      <w:color w:val="605E5C"/>
      <w:shd w:val="clear" w:color="auto" w:fill="E1DFDD"/>
    </w:rPr>
  </w:style>
  <w:style w:type="paragraph" w:customStyle="1" w:styleId="msonormal0">
    <w:name w:val="msonormal"/>
    <w:basedOn w:val="Normal"/>
    <w:rsid w:val="00C335EB"/>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C335EB"/>
    <w:rPr>
      <w:color w:val="800080"/>
      <w:u w:val="single"/>
    </w:rPr>
  </w:style>
  <w:style w:type="character" w:customStyle="1" w:styleId="font-medium">
    <w:name w:val="font-medium"/>
    <w:basedOn w:val="DefaultParagraphFont"/>
    <w:rsid w:val="00C335EB"/>
  </w:style>
  <w:style w:type="character" w:customStyle="1" w:styleId="flex">
    <w:name w:val="flex"/>
    <w:basedOn w:val="DefaultParagraphFont"/>
    <w:rsid w:val="00C335EB"/>
  </w:style>
  <w:style w:type="paragraph" w:styleId="NormalWeb">
    <w:name w:val="Normal (Web)"/>
    <w:basedOn w:val="Normal"/>
    <w:uiPriority w:val="99"/>
    <w:semiHidden/>
    <w:unhideWhenUsed/>
    <w:rsid w:val="00C335E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C335EB"/>
    <w:rPr>
      <w:b/>
      <w:bCs/>
    </w:rPr>
  </w:style>
  <w:style w:type="character" w:styleId="Emphasis">
    <w:name w:val="Emphasis"/>
    <w:basedOn w:val="DefaultParagraphFont"/>
    <w:uiPriority w:val="20"/>
    <w:qFormat/>
    <w:rsid w:val="00C335EB"/>
    <w:rPr>
      <w:i/>
      <w:iCs/>
    </w:rPr>
  </w:style>
  <w:style w:type="character" w:customStyle="1" w:styleId="ms-05">
    <w:name w:val="ms-0.5"/>
    <w:basedOn w:val="DefaultParagraphFont"/>
    <w:rsid w:val="00C335EB"/>
  </w:style>
  <w:style w:type="character" w:customStyle="1" w:styleId="pointer-events-none">
    <w:name w:val="pointer-events-none"/>
    <w:basedOn w:val="DefaultParagraphFont"/>
    <w:rsid w:val="00C335EB"/>
  </w:style>
  <w:style w:type="paragraph" w:customStyle="1" w:styleId="line-clamp-3">
    <w:name w:val="line-clamp-3"/>
    <w:basedOn w:val="Normal"/>
    <w:rsid w:val="00C335EB"/>
    <w:pPr>
      <w:spacing w:before="100" w:beforeAutospacing="1" w:after="100" w:afterAutospacing="1" w:line="240" w:lineRule="auto"/>
    </w:pPr>
    <w:rPr>
      <w:rFonts w:eastAsia="Times New Roman"/>
      <w:sz w:val="24"/>
      <w:szCs w:val="24"/>
    </w:rPr>
  </w:style>
  <w:style w:type="character" w:customStyle="1" w:styleId="ms-1">
    <w:name w:val="ms-1"/>
    <w:basedOn w:val="DefaultParagraphFont"/>
    <w:rsid w:val="00C335EB"/>
  </w:style>
  <w:style w:type="character" w:customStyle="1" w:styleId="relative">
    <w:name w:val="relative"/>
    <w:basedOn w:val="DefaultParagraphFont"/>
    <w:rsid w:val="00C335EB"/>
  </w:style>
  <w:style w:type="character" w:customStyle="1" w:styleId="max-w-15ch">
    <w:name w:val="max-w-[15ch]"/>
    <w:basedOn w:val="DefaultParagraphFont"/>
    <w:rsid w:val="00C335EB"/>
  </w:style>
  <w:style w:type="paragraph" w:styleId="z-TopofForm">
    <w:name w:val="HTML Top of Form"/>
    <w:basedOn w:val="Normal"/>
    <w:next w:val="Normal"/>
    <w:link w:val="z-TopofFormChar"/>
    <w:hidden/>
    <w:uiPriority w:val="99"/>
    <w:semiHidden/>
    <w:unhideWhenUsed/>
    <w:rsid w:val="00C335E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335EB"/>
    <w:rPr>
      <w:rFonts w:ascii="Arial" w:eastAsia="Times New Roman" w:hAnsi="Arial" w:cs="Arial"/>
      <w:vanish/>
      <w:sz w:val="16"/>
      <w:szCs w:val="16"/>
    </w:rPr>
  </w:style>
  <w:style w:type="paragraph" w:customStyle="1" w:styleId="placeholder">
    <w:name w:val="placeholder"/>
    <w:basedOn w:val="Normal"/>
    <w:rsid w:val="00C335EB"/>
    <w:pPr>
      <w:spacing w:before="100" w:beforeAutospacing="1" w:after="100" w:afterAutospacing="1" w:line="240" w:lineRule="auto"/>
    </w:pPr>
    <w:rPr>
      <w:rFonts w:eastAsia="Times New Roman"/>
      <w:sz w:val="24"/>
      <w:szCs w:val="24"/>
    </w:rPr>
  </w:style>
  <w:style w:type="paragraph" w:styleId="z-BottomofForm">
    <w:name w:val="HTML Bottom of Form"/>
    <w:basedOn w:val="Normal"/>
    <w:next w:val="Normal"/>
    <w:link w:val="z-BottomofFormChar"/>
    <w:hidden/>
    <w:uiPriority w:val="99"/>
    <w:semiHidden/>
    <w:unhideWhenUsed/>
    <w:rsid w:val="00C335E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335EB"/>
    <w:rPr>
      <w:rFonts w:ascii="Arial" w:eastAsia="Times New Roman" w:hAnsi="Arial" w:cs="Arial"/>
      <w:vanish/>
      <w:sz w:val="16"/>
      <w:szCs w:val="16"/>
    </w:rPr>
  </w:style>
  <w:style w:type="paragraph" w:customStyle="1" w:styleId="text-normal">
    <w:name w:val="text-normal"/>
    <w:basedOn w:val="Normal"/>
    <w:rsid w:val="00C335EB"/>
    <w:pPr>
      <w:spacing w:before="100" w:beforeAutospacing="1" w:after="100" w:afterAutospacing="1" w:line="240" w:lineRule="auto"/>
    </w:pPr>
    <w:rPr>
      <w:rFonts w:eastAsia="Times New Roman"/>
      <w:sz w:val="24"/>
      <w:szCs w:val="24"/>
    </w:rPr>
  </w:style>
  <w:style w:type="paragraph" w:styleId="Revision">
    <w:name w:val="Revision"/>
    <w:hidden/>
    <w:uiPriority w:val="99"/>
    <w:semiHidden/>
    <w:rsid w:val="008548C2"/>
    <w:pPr>
      <w:spacing w:after="0" w:line="240" w:lineRule="auto"/>
    </w:pPr>
  </w:style>
  <w:style w:type="character" w:customStyle="1" w:styleId="aydlc">
    <w:name w:val="aydlc"/>
    <w:basedOn w:val="DefaultParagraphFont"/>
    <w:rsid w:val="008548C2"/>
  </w:style>
  <w:style w:type="character" w:customStyle="1" w:styleId="up62d">
    <w:name w:val="up62d"/>
    <w:basedOn w:val="DefaultParagraphFont"/>
    <w:rsid w:val="008548C2"/>
  </w:style>
  <w:style w:type="character" w:customStyle="1" w:styleId="tskut">
    <w:name w:val="tskut"/>
    <w:basedOn w:val="DefaultParagraphFont"/>
    <w:rsid w:val="008548C2"/>
  </w:style>
  <w:style w:type="character" w:customStyle="1" w:styleId="fcnmv">
    <w:name w:val="fcnmv"/>
    <w:basedOn w:val="DefaultParagraphFont"/>
    <w:rsid w:val="008548C2"/>
  </w:style>
  <w:style w:type="paragraph" w:styleId="Header">
    <w:name w:val="header"/>
    <w:basedOn w:val="Normal"/>
    <w:link w:val="HeaderChar"/>
    <w:uiPriority w:val="99"/>
    <w:unhideWhenUsed/>
    <w:rsid w:val="00317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FC7"/>
  </w:style>
  <w:style w:type="paragraph" w:styleId="Footer">
    <w:name w:val="footer"/>
    <w:basedOn w:val="Normal"/>
    <w:link w:val="FooterChar"/>
    <w:uiPriority w:val="99"/>
    <w:unhideWhenUsed/>
    <w:rsid w:val="00317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ry@lipsonlaw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DE68D7-8BDC-4601-97BD-6E8753394E02}">
  <we:reference id="wa200004774" version="1.7.0.0" store="en-US" storeType="OMEX"/>
  <we:alternateReferences>
    <we:reference id="wa200004774" version="1.7.0.0" store="" storeType="OMEX"/>
  </we:alternateReferences>
  <we:properties>
    <we:property name="documentId" value="&quot;854025b5-81ab-4659-b99c-acf385d6cfc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28</TotalTime>
  <Pages>6</Pages>
  <Words>1880</Words>
  <Characters>11262</Characters>
  <Application>Microsoft Office Word</Application>
  <DocSecurity>0</DocSecurity>
  <Lines>204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Lipson</dc:creator>
  <cp:keywords/>
  <dc:description/>
  <cp:lastModifiedBy>Gary Lipson</cp:lastModifiedBy>
  <cp:revision>25</cp:revision>
  <cp:lastPrinted>2025-11-13T20:16:00Z</cp:lastPrinted>
  <dcterms:created xsi:type="dcterms:W3CDTF">2025-11-13T21:04:00Z</dcterms:created>
  <dcterms:modified xsi:type="dcterms:W3CDTF">2025-11-13T21:28:00Z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256a4071-212b-4648-9d8d-f748c6b2bf0d</vt:lpwstr>
  </property>
</Properties>
</file>