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White-Label Mentoring Software RFP and Vendor Checklist</w:t>
      </w:r>
    </w:p>
    <w:p>
      <w:r>
        <w:t>Editable procurement workbook | Mentorgain | November 2026</w:t>
      </w:r>
    </w:p>
    <w:p>
      <w:r>
        <w:t>Use this workbook to define the purchase, gather comparable answers and record the reasons for your selection. Replace the bracketed fields and duplicate the vendor response and scorecard sections for each proposal. Set your mandatory gates and weights before reviewing responses.</w:t>
      </w:r>
    </w:p>
    <w:p>
      <w:pPr>
        <w:pStyle w:val="Heading1"/>
      </w:pPr>
      <w:r>
        <w:t>Your RFP brief</w:t>
      </w:r>
    </w:p>
    <w:p>
      <w:r>
        <w:t>Organization and program owner: [Enter details]</w:t>
      </w:r>
    </w:p>
    <w:p>
      <w:r>
        <w:t>Business problem and intended outcomes: [Enter details]</w:t>
      </w:r>
    </w:p>
    <w:p>
      <w:r>
        <w:t>Audience, eligible population and expected active users: [Enter details]</w:t>
      </w:r>
    </w:p>
    <w:p>
      <w:r>
        <w:t>Countries, languages, mentoring formats and brands: [Enter details]</w:t>
      </w:r>
    </w:p>
    <w:p>
      <w:r>
        <w:t>Required branding surfaces and permitted vendor attribution: [Enter details]</w:t>
      </w:r>
    </w:p>
    <w:p>
      <w:r>
        <w:t>Mandatory security, access, privacy, accessibility and integration requirements: [Enter details]</w:t>
      </w:r>
    </w:p>
    <w:p>
      <w:r>
        <w:t>Target launch, migration scope and internal responsibilities: [Enter details]</w:t>
      </w:r>
    </w:p>
    <w:p>
      <w:r>
        <w:t>Contract term, currency and three-year usage forecast: [Enter details]</w:t>
      </w:r>
    </w:p>
    <w:p>
      <w:r>
        <w:t>Questions deadline, submission deadline and timezone: [Enter details]</w:t>
      </w:r>
    </w:p>
    <w:p>
      <w:r>
        <w:t>Submission contact, demo dates and decision date: [Enter details]</w:t>
      </w:r>
    </w:p>
    <w:p>
      <w:pPr>
        <w:pStyle w:val="Heading1"/>
      </w:pPr>
      <w:r>
        <w:t>Vendor instructions</w:t>
      </w:r>
    </w:p>
    <w:p>
      <w:r>
        <w:t>For each requirement, state Available now, Configuration required, Custom development, Planned or Not supported. Include the plan, cost, effort, dependencies and evidence. Identify roadmap items separately and state whether delivery is contractually committed. Attach itemized pricing, implementation plans, security and accessibility evidence, service levels and proposed contract terms.</w:t>
      </w:r>
    </w:p>
    <w:p>
      <w:pPr>
        <w:pStyle w:val="Heading1"/>
      </w:pPr>
      <w:r>
        <w:t>Response form to duplicate for each requirement</w:t>
      </w:r>
    </w:p>
    <w:tbl>
      <w:tblPr>
        <w:tblStyle w:val="LightShading-Accent1"/>
        <w:tblW w:type="auto" w:w="0"/>
        <w:tblLook w:firstColumn="1" w:firstRow="1" w:lastColumn="0" w:lastRow="0" w:noHBand="0" w:noVBand="1" w:val="04A0"/>
      </w:tblPr>
      <w:tblGrid>
        <w:gridCol w:w="4968"/>
        <w:gridCol w:w="4968"/>
      </w:tblGrid>
      <w:tr>
        <w:trPr>
          <w:tblHeader/>
          <w:cantSplit/>
        </w:trPr>
        <w:tc>
          <w:tcPr>
            <w:tcW w:type="dxa" w:w="4968"/>
          </w:tcPr>
          <w:p>
            <w:r>
              <w:t>Field</w:t>
            </w:r>
          </w:p>
        </w:tc>
        <w:tc>
          <w:tcPr>
            <w:tcW w:type="dxa" w:w="4968"/>
          </w:tcPr>
          <w:p>
            <w:r>
              <w:t>Response</w:t>
            </w:r>
          </w:p>
        </w:tc>
      </w:tr>
      <w:tr>
        <w:trPr>
          <w:cantSplit/>
        </w:trPr>
        <w:tc>
          <w:tcPr>
            <w:tcW w:type="dxa" w:w="4968"/>
          </w:tcPr>
          <w:p>
            <w:r>
              <w:t>Vendor and requirement ID</w:t>
            </w:r>
          </w:p>
        </w:tc>
        <w:tc>
          <w:tcPr>
            <w:tcW w:type="dxa" w:w="4968"/>
          </w:tcPr>
          <w:p>
            <w:r>
              <w:t>[Enter response]</w:t>
            </w:r>
          </w:p>
        </w:tc>
      </w:tr>
      <w:tr>
        <w:trPr>
          <w:cantSplit/>
        </w:trPr>
        <w:tc>
          <w:tcPr>
            <w:tcW w:type="dxa" w:w="4968"/>
          </w:tcPr>
          <w:p>
            <w:r>
              <w:t>Priority: Must, Should or Could</w:t>
            </w:r>
          </w:p>
        </w:tc>
        <w:tc>
          <w:tcPr>
            <w:tcW w:type="dxa" w:w="4968"/>
          </w:tcPr>
          <w:p>
            <w:r>
              <w:t>[Enter response]</w:t>
            </w:r>
          </w:p>
        </w:tc>
      </w:tr>
      <w:tr>
        <w:trPr>
          <w:cantSplit/>
        </w:trPr>
        <w:tc>
          <w:tcPr>
            <w:tcW w:type="dxa" w:w="4968"/>
          </w:tcPr>
          <w:p>
            <w:r>
              <w:t>Availability status and applicable plan</w:t>
            </w:r>
          </w:p>
        </w:tc>
        <w:tc>
          <w:tcPr>
            <w:tcW w:type="dxa" w:w="4968"/>
          </w:tcPr>
          <w:p>
            <w:r>
              <w:t>[Enter response]</w:t>
            </w:r>
          </w:p>
        </w:tc>
      </w:tr>
      <w:tr>
        <w:trPr>
          <w:cantSplit/>
        </w:trPr>
        <w:tc>
          <w:tcPr>
            <w:tcW w:type="dxa" w:w="4968"/>
          </w:tcPr>
          <w:p>
            <w:r>
              <w:t>Evidence link or attachment and date</w:t>
            </w:r>
          </w:p>
        </w:tc>
        <w:tc>
          <w:tcPr>
            <w:tcW w:type="dxa" w:w="4968"/>
          </w:tcPr>
          <w:p>
            <w:r>
              <w:t>[Enter response]</w:t>
            </w:r>
          </w:p>
        </w:tc>
      </w:tr>
      <w:tr>
        <w:trPr>
          <w:cantSplit/>
        </w:trPr>
        <w:tc>
          <w:tcPr>
            <w:tcW w:type="dxa" w:w="4968"/>
          </w:tcPr>
          <w:p>
            <w:r>
              <w:t>Setup and recurring charges</w:t>
            </w:r>
          </w:p>
        </w:tc>
        <w:tc>
          <w:tcPr>
            <w:tcW w:type="dxa" w:w="4968"/>
          </w:tcPr>
          <w:p>
            <w:r>
              <w:t>[Enter response]</w:t>
            </w:r>
          </w:p>
        </w:tc>
      </w:tr>
      <w:tr>
        <w:trPr>
          <w:cantSplit/>
        </w:trPr>
        <w:tc>
          <w:tcPr>
            <w:tcW w:type="dxa" w:w="4968"/>
          </w:tcPr>
          <w:p>
            <w:r>
              <w:t>Implementation effort and dependencies</w:t>
            </w:r>
          </w:p>
        </w:tc>
        <w:tc>
          <w:tcPr>
            <w:tcW w:type="dxa" w:w="4968"/>
          </w:tcPr>
          <w:p>
            <w:r>
              <w:t>[Enter response]</w:t>
            </w:r>
          </w:p>
        </w:tc>
      </w:tr>
      <w:tr>
        <w:trPr>
          <w:cantSplit/>
        </w:trPr>
        <w:tc>
          <w:tcPr>
            <w:tcW w:type="dxa" w:w="4968"/>
          </w:tcPr>
          <w:p>
            <w:r>
              <w:t>Known limitations and workarounds</w:t>
            </w:r>
          </w:p>
        </w:tc>
        <w:tc>
          <w:tcPr>
            <w:tcW w:type="dxa" w:w="4968"/>
          </w:tcPr>
          <w:p>
            <w:r>
              <w:t>[Enter response]</w:t>
            </w:r>
          </w:p>
        </w:tc>
      </w:tr>
      <w:tr>
        <w:trPr>
          <w:cantSplit/>
        </w:trPr>
        <w:tc>
          <w:tcPr>
            <w:tcW w:type="dxa" w:w="4968"/>
          </w:tcPr>
          <w:p>
            <w:r>
              <w:t>Acceptance criteria and commitment</w:t>
            </w:r>
          </w:p>
        </w:tc>
        <w:tc>
          <w:tcPr>
            <w:tcW w:type="dxa" w:w="4968"/>
          </w:tcPr>
          <w:p>
            <w:r>
              <w:t>[Enter response]</w:t>
            </w:r>
          </w:p>
        </w:tc>
      </w:tr>
      <w:tr>
        <w:trPr>
          <w:cantSplit/>
        </w:trPr>
        <w:tc>
          <w:tcPr>
            <w:tcW w:type="dxa" w:w="4968"/>
          </w:tcPr>
          <w:p>
            <w:r>
              <w:t>Buyer score and rationale</w:t>
            </w:r>
          </w:p>
        </w:tc>
        <w:tc>
          <w:tcPr>
            <w:tcW w:type="dxa" w:w="4968"/>
          </w:tcPr>
          <w:p>
            <w:r>
              <w:t>[Enter response]</w:t>
            </w:r>
          </w:p>
        </w:tc>
      </w:tr>
    </w:tbl>
    <w:p>
      <w:pPr>
        <w:pStyle w:val="Heading1"/>
      </w:pPr>
      <w:r>
        <w:t>Branding and the participant experience</w:t>
      </w:r>
    </w:p>
    <w:p>
      <w:pPr>
        <w:keepNext/>
      </w:pPr>
      <w:r>
        <w:rPr>
          <w:b/>
        </w:rPr>
        <w:t>1. Which screens and communications can carry our brand, and where will yours remain visible?</w:t>
      </w:r>
    </w:p>
    <w:p>
      <w:r>
        <w:t>A live walkthrough of sign-in, invitations, reminders, booking, password resets, help pages and mobile views. Include logos, colors, terminology and any limitations.</w:t>
      </w:r>
    </w:p>
    <w:p>
      <w:r>
        <w:t>Priority: [ ] Must  [ ] Should  [ ] Could     Evidence reference: [Enter]</w:t>
      </w:r>
    </w:p>
    <w:p>
      <w:pPr>
        <w:keepNext/>
      </w:pPr>
      <w:r>
        <w:rPr>
          <w:b/>
        </w:rPr>
        <w:t>2. Can we use our own domain and email sender identity?</w:t>
      </w:r>
    </w:p>
    <w:p>
      <w:r>
        <w:t>Describe domain setup, sender authentication, reply handling, certificate management and who owns maintenance. List setup and recurring charges.</w:t>
      </w:r>
    </w:p>
    <w:p>
      <w:r>
        <w:t>Priority: [ ] Must  [ ] Should  [ ] Could     Evidence reference: [Enter]</w:t>
      </w:r>
    </w:p>
    <w:p>
      <w:pPr>
        <w:keepNext/>
      </w:pPr>
      <w:r>
        <w:rPr>
          <w:b/>
        </w:rPr>
        <w:t>3. Can different programs or client organizations have separate branding?</w:t>
      </w:r>
    </w:p>
    <w:p>
      <w:r>
        <w:t>Show the branding hierarchy and permission boundaries. Clarify whether separate brands require separate contracts or workspaces.</w:t>
      </w:r>
    </w:p>
    <w:p>
      <w:r>
        <w:t>Priority: [ ] Must  [ ] Should  [ ] Could     Evidence reference: [Enter]</w:t>
      </w:r>
    </w:p>
    <w:p>
      <w:pPr>
        <w:pStyle w:val="Heading1"/>
      </w:pPr>
      <w:r>
        <w:t>Matching and program operations</w:t>
      </w:r>
    </w:p>
    <w:p>
      <w:pPr>
        <w:keepNext/>
      </w:pPr>
      <w:r>
        <w:rPr>
          <w:b/>
        </w:rPr>
        <w:t>4. How can we configure and review mentor recommendations?</w:t>
      </w:r>
    </w:p>
    <w:p>
      <w:r>
        <w:t>Demonstrate goals, skills, availability, capacity, exclusions and administrator overrides using sample profiles. Explain what happens when nobody is a suitable match.</w:t>
      </w:r>
    </w:p>
    <w:p>
      <w:r>
        <w:t>Priority: [ ] Must  [ ] Should  [ ] Could     Evidence reference: [Enter]</w:t>
      </w:r>
    </w:p>
    <w:p>
      <w:pPr>
        <w:keepNext/>
      </w:pPr>
      <w:r>
        <w:rPr>
          <w:b/>
        </w:rPr>
        <w:t>5. Can participants choose mentors, accept a pairing and request a rematch?</w:t>
      </w:r>
    </w:p>
    <w:p>
      <w:r>
        <w:t>Show the complete workflow, including consent, approval rules, notifications and the history retained after a rematch.</w:t>
      </w:r>
    </w:p>
    <w:p>
      <w:r>
        <w:t>Priority: [ ] Must  [ ] Should  [ ] Could     Evidence reference: [Enter]</w:t>
      </w:r>
    </w:p>
    <w:p>
      <w:pPr>
        <w:keepNext/>
      </w:pPr>
      <w:r>
        <w:rPr>
          <w:b/>
        </w:rPr>
        <w:t>6. Which mentoring formats and program journeys are supported today?</w:t>
      </w:r>
    </w:p>
    <w:p>
      <w:r>
        <w:t>Demonstrate the formats you need, such as one-to-one, group or reverse mentoring. Show milestones, resources, reminders and cohort management.</w:t>
      </w:r>
    </w:p>
    <w:p>
      <w:r>
        <w:t>Priority: [ ] Must  [ ] Should  [ ] Could     Evidence reference: [Enter]</w:t>
      </w:r>
    </w:p>
    <w:p>
      <w:pPr>
        <w:keepNext/>
      </w:pPr>
      <w:r>
        <w:rPr>
          <w:b/>
        </w:rPr>
        <w:t>7. What work remains with our program team?</w:t>
      </w:r>
    </w:p>
    <w:p>
      <w:r>
        <w:t>List routine tasks, bulk actions, escalation routes and training requirements. Demonstrate how an administrator follows up with inactive pairs.</w:t>
      </w:r>
    </w:p>
    <w:p>
      <w:r>
        <w:t>Priority: [ ] Must  [ ] Should  [ ] Could     Evidence reference: [Enter]</w:t>
      </w:r>
    </w:p>
    <w:p>
      <w:pPr>
        <w:pStyle w:val="Heading1"/>
      </w:pPr>
      <w:r>
        <w:t>Security and privacy</w:t>
      </w:r>
    </w:p>
    <w:p>
      <w:pPr>
        <w:keepNext/>
      </w:pPr>
      <w:r>
        <w:rPr>
          <w:b/>
        </w:rPr>
        <w:t>8. Who can see profiles, meeting notes, survey responses and development goals?</w:t>
      </w:r>
    </w:p>
    <w:p>
      <w:r>
        <w:t>Provide a role-by-role access matrix. Separate participant notes from administrative reporting and show how permissions are enforced.</w:t>
      </w:r>
    </w:p>
    <w:p>
      <w:r>
        <w:t>Priority: [ ] Must  [ ] Should  [ ] Could     Evidence reference: [Enter]</w:t>
      </w:r>
    </w:p>
    <w:p>
      <w:pPr>
        <w:keepNext/>
      </w:pPr>
      <w:r>
        <w:rPr>
          <w:b/>
        </w:rPr>
        <w:t>9. Where is our data stored and who else processes it?</w:t>
      </w:r>
    </w:p>
    <w:p>
      <w:r>
        <w:t>Identify primary and backup locations, subprocessors, retention settings and deletion procedures. Provide the proposed data processing agreement for review.</w:t>
      </w:r>
    </w:p>
    <w:p>
      <w:r>
        <w:t>Priority: [ ] Must  [ ] Should  [ ] Could     Evidence reference: [Enter]</w:t>
      </w:r>
    </w:p>
    <w:p>
      <w:pPr>
        <w:keepNext/>
      </w:pPr>
      <w:r>
        <w:rPr>
          <w:b/>
        </w:rPr>
        <w:t>10. What independent security evidence can we review?</w:t>
      </w:r>
    </w:p>
    <w:p>
      <w:r>
        <w:t>Provide relevant current assurance reports or certificates, their scope and dates, plus a summary of penetration-test findings and remediation. Explain any exclusions.</w:t>
      </w:r>
    </w:p>
    <w:p>
      <w:r>
        <w:t>Priority: [ ] Must  [ ] Should  [ ] Could     Evidence reference: [Enter]</w:t>
      </w:r>
    </w:p>
    <w:p>
      <w:pPr>
        <w:keepNext/>
      </w:pPr>
      <w:r>
        <w:rPr>
          <w:b/>
        </w:rPr>
        <w:t>11. How are incidents, outages and recovery handled?</w:t>
      </w:r>
    </w:p>
    <w:p>
      <w:r>
        <w:t>Describe notification commitments, escalation contacts, backup testing, recovery time and recovery point objectives. Provide the proposed service level agreement.</w:t>
      </w:r>
    </w:p>
    <w:p>
      <w:r>
        <w:t>Priority: [ ] Must  [ ] Should  [ ] Could     Evidence reference: [Enter]</w:t>
      </w:r>
    </w:p>
    <w:p>
      <w:pPr>
        <w:pStyle w:val="Heading1"/>
      </w:pPr>
      <w:r>
        <w:t>Integrations and flexibility</w:t>
      </w:r>
    </w:p>
    <w:p>
      <w:pPr>
        <w:keepNext/>
      </w:pPr>
      <w:r>
        <w:rPr>
          <w:b/>
        </w:rPr>
        <w:t>12. Which integrations are included and how do they work?</w:t>
      </w:r>
    </w:p>
    <w:p>
      <w:r>
        <w:t>Separate native integrations, API connections, middleware and manual imports. Show the actual identity, HR system, calendar or collaboration workflow you need.</w:t>
      </w:r>
    </w:p>
    <w:p>
      <w:r>
        <w:t>Priority: [ ] Must  [ ] Should  [ ] Could     Evidence reference: [Enter]</w:t>
      </w:r>
    </w:p>
    <w:p>
      <w:pPr>
        <w:keepNext/>
      </w:pPr>
      <w:r>
        <w:rPr>
          <w:b/>
        </w:rPr>
        <w:t>13. What happens when an employee joins, changes roles or leaves?</w:t>
      </w:r>
    </w:p>
    <w:p>
      <w:r>
        <w:t>Demonstrate provisioning, attribute updates and deprovisioning. Explain single sign-on, account recovery, API limits and failed-sync alerts.</w:t>
      </w:r>
    </w:p>
    <w:p>
      <w:r>
        <w:t>Priority: [ ] Must  [ ] Should  [ ] Could     Evidence reference: [Enter]</w:t>
      </w:r>
    </w:p>
    <w:p>
      <w:pPr>
        <w:keepNext/>
      </w:pPr>
      <w:r>
        <w:rPr>
          <w:b/>
        </w:rPr>
        <w:t>14. Can we add integrations midway through the program?</w:t>
      </w:r>
    </w:p>
    <w:p>
      <w:r>
        <w:t>Explain whether integrations can be added after launch, including supported systems, setup time, additional costs and technical dependencies. Describe any downtime, data migration or changes to existing workflows, and who handles implementation and testing.</w:t>
      </w:r>
    </w:p>
    <w:p>
      <w:r>
        <w:t>Priority: [ ] Must  [ ] Should  [ ] Could     Evidence reference: [Enter]</w:t>
      </w:r>
    </w:p>
    <w:p>
      <w:pPr>
        <w:pStyle w:val="Heading1"/>
      </w:pPr>
      <w:r>
        <w:t>Reporting and responsible use of AI</w:t>
      </w:r>
    </w:p>
    <w:p>
      <w:pPr>
        <w:keepNext/>
      </w:pPr>
      <w:r>
        <w:rPr>
          <w:b/>
        </w:rPr>
        <w:t>15. How are program metrics calculated and exported?</w:t>
      </w:r>
    </w:p>
    <w:p>
      <w:r>
        <w:t>Show definitions, denominators, time windows, filters and a sample export. Distinguish enrollment, active pairs, completed sessions, goal progress and feedback.</w:t>
      </w:r>
    </w:p>
    <w:p>
      <w:r>
        <w:t>Priority: [ ] Must  [ ] Should  [ ] Could     Evidence reference: [Enter]</w:t>
      </w:r>
    </w:p>
    <w:p>
      <w:pPr>
        <w:keepNext/>
      </w:pPr>
      <w:r>
        <w:rPr>
          <w:b/>
        </w:rPr>
        <w:t>16. Can reporting protect small groups and sensitive responses?</w:t>
      </w:r>
    </w:p>
    <w:p>
      <w:r>
        <w:t>Show access restrictions, aggregation rules and how administrators avoid identifying individuals through filters or exports.</w:t>
      </w:r>
    </w:p>
    <w:p>
      <w:r>
        <w:t>Priority: [ ] Must  [ ] Should  [ ] Could     Evidence reference: [Enter]</w:t>
      </w:r>
    </w:p>
    <w:p>
      <w:pPr>
        <w:keepNext/>
      </w:pPr>
      <w:r>
        <w:rPr>
          <w:b/>
        </w:rPr>
        <w:t>17. Where does the product use AI and what data does it receive?</w:t>
      </w:r>
    </w:p>
    <w:p>
      <w:r>
        <w:t>List models or providers, purposes, retention, training use, opt-out settings and human review controls. Explain whether disabling AI changes core workflows.</w:t>
      </w:r>
    </w:p>
    <w:p>
      <w:r>
        <w:t>Priority: [ ] Must  [ ] Should  [ ] Could     Evidence reference: [Enter]</w:t>
      </w:r>
    </w:p>
    <w:p>
      <w:pPr>
        <w:pStyle w:val="Heading1"/>
      </w:pPr>
      <w:r>
        <w:t>Implementation and commercial terms</w:t>
      </w:r>
    </w:p>
    <w:p>
      <w:pPr>
        <w:keepNext/>
      </w:pPr>
      <w:r>
        <w:rPr>
          <w:b/>
        </w:rPr>
        <w:t>18. What must happen before launch and who owns each step?</w:t>
      </w:r>
    </w:p>
    <w:p>
      <w:r>
        <w:t>Provide a project plan with dependencies, named responsibilities, migration scope, acceptance criteria, training and support coverage.</w:t>
      </w:r>
    </w:p>
    <w:p>
      <w:r>
        <w:t>Priority: [ ] Must  [ ] Should  [ ] Could     Evidence reference: [Enter]</w:t>
      </w:r>
    </w:p>
    <w:p>
      <w:pPr>
        <w:keepNext/>
      </w:pPr>
      <w:r>
        <w:rPr>
          <w:b/>
        </w:rPr>
        <w:t>19. What will we pay over three years at our expected usage?</w:t>
      </w:r>
    </w:p>
    <w:p>
      <w:r>
        <w:t>Itemize licenses, branding, domains, integrations, migration, support, storage, overages, taxes and renewal increases. Define exactly what counts as a billable user.</w:t>
      </w:r>
    </w:p>
    <w:p>
      <w:r>
        <w:t>Priority: [ ] Must  [ ] Should  [ ] Could     Evidence reference: [Enter]</w:t>
      </w:r>
    </w:p>
    <w:p>
      <w:pPr>
        <w:keepNext/>
      </w:pPr>
      <w:r>
        <w:rPr>
          <w:b/>
        </w:rPr>
        <w:t>20. How do we leave and recover our data?</w:t>
      </w:r>
    </w:p>
    <w:p>
      <w:r>
        <w:t>Provide export formats, included records, transition support, fees, delivery deadlines and deletion confirmation. Explain what is excluded and how backups expire.</w:t>
      </w:r>
    </w:p>
    <w:p>
      <w:r>
        <w:t>Priority: [ ] Must  [ ] Should  [ ] Could     Evidence reference: [Enter]</w:t>
      </w:r>
    </w:p>
    <w:p>
      <w:pPr>
        <w:pStyle w:val="Heading1"/>
      </w:pPr>
      <w:r>
        <w:t>Vendor scorecard</w:t>
      </w:r>
    </w:p>
    <w:p>
      <w:r>
        <w:t>Vendor: [Enter]    Reviewers: [Enter]    Review date: [Enter]</w:t>
      </w:r>
    </w:p>
    <w:p>
      <w:r>
        <w:t>Mandatory gates: [List]. Gate result: [Pass / Fail / Pending]. Treat an unresolved mandatory requirement as pending, not as passed. Score only vendors that meet the agreed gates.</w:t>
      </w:r>
    </w:p>
    <w:tbl>
      <w:tblPr>
        <w:tblStyle w:val="LightShading-Accent1"/>
        <w:tblW w:type="auto" w:w="0"/>
        <w:tblLook w:firstColumn="1" w:firstRow="1" w:lastColumn="0" w:lastRow="0" w:noHBand="0" w:noVBand="1" w:val="04A0"/>
      </w:tblPr>
      <w:tblGrid>
        <w:gridCol w:w="2484"/>
        <w:gridCol w:w="2484"/>
        <w:gridCol w:w="2484"/>
        <w:gridCol w:w="2484"/>
      </w:tblGrid>
      <w:tr>
        <w:trPr>
          <w:tblHeader/>
          <w:cantSplit/>
        </w:trPr>
        <w:tc>
          <w:tcPr>
            <w:tcW w:type="dxa" w:w="2484"/>
          </w:tcPr>
          <w:p>
            <w:r>
              <w:t>Category</w:t>
            </w:r>
          </w:p>
        </w:tc>
        <w:tc>
          <w:tcPr>
            <w:tcW w:type="dxa" w:w="2484"/>
          </w:tcPr>
          <w:p>
            <w:r>
              <w:t>Weight</w:t>
            </w:r>
          </w:p>
        </w:tc>
        <w:tc>
          <w:tcPr>
            <w:tcW w:type="dxa" w:w="2484"/>
          </w:tcPr>
          <w:p>
            <w:r>
              <w:t>Score 0 to 5</w:t>
            </w:r>
          </w:p>
        </w:tc>
        <w:tc>
          <w:tcPr>
            <w:tcW w:type="dxa" w:w="2484"/>
          </w:tcPr>
          <w:p>
            <w:r>
              <w:t>Weighted points</w:t>
            </w:r>
          </w:p>
        </w:tc>
      </w:tr>
      <w:tr>
        <w:trPr>
          <w:cantSplit/>
        </w:trPr>
        <w:tc>
          <w:tcPr>
            <w:tcW w:type="dxa" w:w="2484"/>
          </w:tcPr>
          <w:p>
            <w:r>
              <w:t>Branding and participant experience</w:t>
            </w:r>
          </w:p>
        </w:tc>
        <w:tc>
          <w:tcPr>
            <w:tcW w:type="dxa" w:w="2484"/>
          </w:tcPr>
          <w:p>
            <w:r>
              <w:t>15%</w:t>
            </w:r>
          </w:p>
        </w:tc>
        <w:tc>
          <w:tcPr>
            <w:tcW w:type="dxa" w:w="2484"/>
          </w:tcPr>
          <w:p>
            <w:r>
              <w:t>[Enter]</w:t>
            </w:r>
          </w:p>
        </w:tc>
        <w:tc>
          <w:tcPr>
            <w:tcW w:type="dxa" w:w="2484"/>
          </w:tcPr>
          <w:p>
            <w:r>
              <w:t>[Enter]</w:t>
            </w:r>
          </w:p>
        </w:tc>
      </w:tr>
      <w:tr>
        <w:trPr>
          <w:cantSplit/>
        </w:trPr>
        <w:tc>
          <w:tcPr>
            <w:tcW w:type="dxa" w:w="2484"/>
          </w:tcPr>
          <w:p>
            <w:r>
              <w:t>Matching and program operations</w:t>
            </w:r>
          </w:p>
        </w:tc>
        <w:tc>
          <w:tcPr>
            <w:tcW w:type="dxa" w:w="2484"/>
          </w:tcPr>
          <w:p>
            <w:r>
              <w:t>25%</w:t>
            </w:r>
          </w:p>
        </w:tc>
        <w:tc>
          <w:tcPr>
            <w:tcW w:type="dxa" w:w="2484"/>
          </w:tcPr>
          <w:p>
            <w:r>
              <w:t>[Enter]</w:t>
            </w:r>
          </w:p>
        </w:tc>
        <w:tc>
          <w:tcPr>
            <w:tcW w:type="dxa" w:w="2484"/>
          </w:tcPr>
          <w:p>
            <w:r>
              <w:t>[Enter]</w:t>
            </w:r>
          </w:p>
        </w:tc>
      </w:tr>
      <w:tr>
        <w:trPr>
          <w:cantSplit/>
        </w:trPr>
        <w:tc>
          <w:tcPr>
            <w:tcW w:type="dxa" w:w="2484"/>
          </w:tcPr>
          <w:p>
            <w:r>
              <w:t>Security and privacy</w:t>
            </w:r>
          </w:p>
        </w:tc>
        <w:tc>
          <w:tcPr>
            <w:tcW w:type="dxa" w:w="2484"/>
          </w:tcPr>
          <w:p>
            <w:r>
              <w:t>20%</w:t>
            </w:r>
          </w:p>
        </w:tc>
        <w:tc>
          <w:tcPr>
            <w:tcW w:type="dxa" w:w="2484"/>
          </w:tcPr>
          <w:p>
            <w:r>
              <w:t>[Enter]</w:t>
            </w:r>
          </w:p>
        </w:tc>
        <w:tc>
          <w:tcPr>
            <w:tcW w:type="dxa" w:w="2484"/>
          </w:tcPr>
          <w:p>
            <w:r>
              <w:t>[Enter]</w:t>
            </w:r>
          </w:p>
        </w:tc>
      </w:tr>
      <w:tr>
        <w:trPr>
          <w:cantSplit/>
        </w:trPr>
        <w:tc>
          <w:tcPr>
            <w:tcW w:type="dxa" w:w="2484"/>
          </w:tcPr>
          <w:p>
            <w:r>
              <w:t>Integrations and flexibility</w:t>
            </w:r>
          </w:p>
        </w:tc>
        <w:tc>
          <w:tcPr>
            <w:tcW w:type="dxa" w:w="2484"/>
          </w:tcPr>
          <w:p>
            <w:r>
              <w:t>15%</w:t>
            </w:r>
          </w:p>
        </w:tc>
        <w:tc>
          <w:tcPr>
            <w:tcW w:type="dxa" w:w="2484"/>
          </w:tcPr>
          <w:p>
            <w:r>
              <w:t>[Enter]</w:t>
            </w:r>
          </w:p>
        </w:tc>
        <w:tc>
          <w:tcPr>
            <w:tcW w:type="dxa" w:w="2484"/>
          </w:tcPr>
          <w:p>
            <w:r>
              <w:t>[Enter]</w:t>
            </w:r>
          </w:p>
        </w:tc>
      </w:tr>
      <w:tr>
        <w:trPr>
          <w:cantSplit/>
        </w:trPr>
        <w:tc>
          <w:tcPr>
            <w:tcW w:type="dxa" w:w="2484"/>
          </w:tcPr>
          <w:p>
            <w:r>
              <w:t>Reporting and AI controls</w:t>
            </w:r>
          </w:p>
        </w:tc>
        <w:tc>
          <w:tcPr>
            <w:tcW w:type="dxa" w:w="2484"/>
          </w:tcPr>
          <w:p>
            <w:r>
              <w:t>10%</w:t>
            </w:r>
          </w:p>
        </w:tc>
        <w:tc>
          <w:tcPr>
            <w:tcW w:type="dxa" w:w="2484"/>
          </w:tcPr>
          <w:p>
            <w:r>
              <w:t>[Enter]</w:t>
            </w:r>
          </w:p>
        </w:tc>
        <w:tc>
          <w:tcPr>
            <w:tcW w:type="dxa" w:w="2484"/>
          </w:tcPr>
          <w:p>
            <w:r>
              <w:t>[Enter]</w:t>
            </w:r>
          </w:p>
        </w:tc>
      </w:tr>
      <w:tr>
        <w:trPr>
          <w:cantSplit/>
        </w:trPr>
        <w:tc>
          <w:tcPr>
            <w:tcW w:type="dxa" w:w="2484"/>
          </w:tcPr>
          <w:p>
            <w:r>
              <w:t>Implementation and commercial terms</w:t>
            </w:r>
          </w:p>
        </w:tc>
        <w:tc>
          <w:tcPr>
            <w:tcW w:type="dxa" w:w="2484"/>
          </w:tcPr>
          <w:p>
            <w:r>
              <w:t>15%</w:t>
            </w:r>
          </w:p>
        </w:tc>
        <w:tc>
          <w:tcPr>
            <w:tcW w:type="dxa" w:w="2484"/>
          </w:tcPr>
          <w:p>
            <w:r>
              <w:t>[Enter]</w:t>
            </w:r>
          </w:p>
        </w:tc>
        <w:tc>
          <w:tcPr>
            <w:tcW w:type="dxa" w:w="2484"/>
          </w:tcPr>
          <w:p>
            <w:r>
              <w:t>[Enter]</w:t>
            </w:r>
          </w:p>
        </w:tc>
      </w:tr>
      <w:tr>
        <w:trPr>
          <w:cantSplit/>
        </w:trPr>
        <w:tc>
          <w:tcPr>
            <w:tcW w:type="dxa" w:w="2484"/>
          </w:tcPr>
          <w:p>
            <w:r>
              <w:t>Total</w:t>
            </w:r>
          </w:p>
        </w:tc>
        <w:tc>
          <w:tcPr>
            <w:tcW w:type="dxa" w:w="2484"/>
          </w:tcPr>
          <w:p>
            <w:r>
              <w:t>100%</w:t>
            </w:r>
          </w:p>
        </w:tc>
        <w:tc>
          <w:tcPr>
            <w:tcW w:type="dxa" w:w="2484"/>
          </w:tcPr>
          <w:p>
            <w:r/>
          </w:p>
        </w:tc>
        <w:tc>
          <w:tcPr>
            <w:tcW w:type="dxa" w:w="2484"/>
          </w:tcPr>
          <w:p>
            <w:r>
              <w:t>[Enter / 100]</w:t>
            </w:r>
          </w:p>
        </w:tc>
      </w:tr>
    </w:tbl>
    <w:p>
      <w:r>
        <w:t>Weighted points = score ÷ 5 × weight. Example: 4 ÷ 5 × 25 = 20 points. Average requirement scores within each category. These are suggested weights, not a benchmark. Adjust them before issuing the RFP.</w:t>
      </w:r>
    </w:p>
    <w:p>
      <w:r>
        <w:t>Scoring guide: 0 unsupported; 1 major gap or uncommitted roadmap; 2 partial fit with substantial work; 3 meets requirements with evidence; 4 meets them well with minor limitations; 5 strong fit demonstrated in the agreed scenario. Evidence and reasons for scores: [Enter].</w:t>
      </w:r>
    </w:p>
    <w:p>
      <w:pPr>
        <w:pStyle w:val="Heading1"/>
      </w:pPr>
      <w:r>
        <w:t>Three-year cost comparison</w:t>
      </w:r>
    </w:p>
    <w:tbl>
      <w:tblPr>
        <w:tblStyle w:val="LightShading-Accent1"/>
        <w:tblW w:type="auto" w:w="0"/>
        <w:tblLook w:firstColumn="1" w:firstRow="1" w:lastColumn="0" w:lastRow="0" w:noHBand="0" w:noVBand="1" w:val="04A0"/>
      </w:tblPr>
      <w:tblGrid>
        <w:gridCol w:w="2484"/>
        <w:gridCol w:w="2484"/>
        <w:gridCol w:w="2484"/>
        <w:gridCol w:w="2484"/>
      </w:tblGrid>
      <w:tr>
        <w:trPr>
          <w:tblHeader/>
          <w:cantSplit/>
        </w:trPr>
        <w:tc>
          <w:tcPr>
            <w:tcW w:type="dxa" w:w="2484"/>
          </w:tcPr>
          <w:p>
            <w:r>
              <w:t>Cost item</w:t>
            </w:r>
          </w:p>
        </w:tc>
        <w:tc>
          <w:tcPr>
            <w:tcW w:type="dxa" w:w="2484"/>
          </w:tcPr>
          <w:p>
            <w:r>
              <w:t>Year 1</w:t>
            </w:r>
          </w:p>
        </w:tc>
        <w:tc>
          <w:tcPr>
            <w:tcW w:type="dxa" w:w="2484"/>
          </w:tcPr>
          <w:p>
            <w:r>
              <w:t>Year 2</w:t>
            </w:r>
          </w:p>
        </w:tc>
        <w:tc>
          <w:tcPr>
            <w:tcW w:type="dxa" w:w="2484"/>
          </w:tcPr>
          <w:p>
            <w:r>
              <w:t>Year 3</w:t>
            </w:r>
          </w:p>
        </w:tc>
      </w:tr>
      <w:tr>
        <w:trPr>
          <w:cantSplit/>
        </w:trPr>
        <w:tc>
          <w:tcPr>
            <w:tcW w:type="dxa" w:w="2484"/>
          </w:tcPr>
          <w:p>
            <w:r>
              <w:t>Licenses and billable user assumptions</w:t>
            </w:r>
          </w:p>
        </w:tc>
        <w:tc>
          <w:tcPr>
            <w:tcW w:type="dxa" w:w="2484"/>
          </w:tcPr>
          <w:p>
            <w:r>
              <w:t>[Enter]</w:t>
            </w:r>
          </w:p>
        </w:tc>
        <w:tc>
          <w:tcPr>
            <w:tcW w:type="dxa" w:w="2484"/>
          </w:tcPr>
          <w:p>
            <w:r>
              <w:t>[Enter]</w:t>
            </w:r>
          </w:p>
        </w:tc>
        <w:tc>
          <w:tcPr>
            <w:tcW w:type="dxa" w:w="2484"/>
          </w:tcPr>
          <w:p>
            <w:r>
              <w:t>[Enter]</w:t>
            </w:r>
          </w:p>
        </w:tc>
      </w:tr>
      <w:tr>
        <w:trPr>
          <w:cantSplit/>
        </w:trPr>
        <w:tc>
          <w:tcPr>
            <w:tcW w:type="dxa" w:w="2484"/>
          </w:tcPr>
          <w:p>
            <w:r>
              <w:t>Branding and domains</w:t>
            </w:r>
          </w:p>
        </w:tc>
        <w:tc>
          <w:tcPr>
            <w:tcW w:type="dxa" w:w="2484"/>
          </w:tcPr>
          <w:p>
            <w:r>
              <w:t>[Enter]</w:t>
            </w:r>
          </w:p>
        </w:tc>
        <w:tc>
          <w:tcPr>
            <w:tcW w:type="dxa" w:w="2484"/>
          </w:tcPr>
          <w:p>
            <w:r>
              <w:t>[Enter]</w:t>
            </w:r>
          </w:p>
        </w:tc>
        <w:tc>
          <w:tcPr>
            <w:tcW w:type="dxa" w:w="2484"/>
          </w:tcPr>
          <w:p>
            <w:r>
              <w:t>[Enter]</w:t>
            </w:r>
          </w:p>
        </w:tc>
      </w:tr>
      <w:tr>
        <w:trPr>
          <w:cantSplit/>
        </w:trPr>
        <w:tc>
          <w:tcPr>
            <w:tcW w:type="dxa" w:w="2484"/>
          </w:tcPr>
          <w:p>
            <w:r>
              <w:t>Integrations and migration</w:t>
            </w:r>
          </w:p>
        </w:tc>
        <w:tc>
          <w:tcPr>
            <w:tcW w:type="dxa" w:w="2484"/>
          </w:tcPr>
          <w:p>
            <w:r>
              <w:t>[Enter]</w:t>
            </w:r>
          </w:p>
        </w:tc>
        <w:tc>
          <w:tcPr>
            <w:tcW w:type="dxa" w:w="2484"/>
          </w:tcPr>
          <w:p>
            <w:r>
              <w:t>[Enter]</w:t>
            </w:r>
          </w:p>
        </w:tc>
        <w:tc>
          <w:tcPr>
            <w:tcW w:type="dxa" w:w="2484"/>
          </w:tcPr>
          <w:p>
            <w:r>
              <w:t>[Enter]</w:t>
            </w:r>
          </w:p>
        </w:tc>
      </w:tr>
      <w:tr>
        <w:trPr>
          <w:cantSplit/>
        </w:trPr>
        <w:tc>
          <w:tcPr>
            <w:tcW w:type="dxa" w:w="2484"/>
          </w:tcPr>
          <w:p>
            <w:r>
              <w:t>Implementation and training</w:t>
            </w:r>
          </w:p>
        </w:tc>
        <w:tc>
          <w:tcPr>
            <w:tcW w:type="dxa" w:w="2484"/>
          </w:tcPr>
          <w:p>
            <w:r>
              <w:t>[Enter]</w:t>
            </w:r>
          </w:p>
        </w:tc>
        <w:tc>
          <w:tcPr>
            <w:tcW w:type="dxa" w:w="2484"/>
          </w:tcPr>
          <w:p>
            <w:r>
              <w:t>[Enter]</w:t>
            </w:r>
          </w:p>
        </w:tc>
        <w:tc>
          <w:tcPr>
            <w:tcW w:type="dxa" w:w="2484"/>
          </w:tcPr>
          <w:p>
            <w:r>
              <w:t>[Enter]</w:t>
            </w:r>
          </w:p>
        </w:tc>
      </w:tr>
      <w:tr>
        <w:trPr>
          <w:cantSplit/>
        </w:trPr>
        <w:tc>
          <w:tcPr>
            <w:tcW w:type="dxa" w:w="2484"/>
          </w:tcPr>
          <w:p>
            <w:r>
              <w:t>Support, storage and overages</w:t>
            </w:r>
          </w:p>
        </w:tc>
        <w:tc>
          <w:tcPr>
            <w:tcW w:type="dxa" w:w="2484"/>
          </w:tcPr>
          <w:p>
            <w:r>
              <w:t>[Enter]</w:t>
            </w:r>
          </w:p>
        </w:tc>
        <w:tc>
          <w:tcPr>
            <w:tcW w:type="dxa" w:w="2484"/>
          </w:tcPr>
          <w:p>
            <w:r>
              <w:t>[Enter]</w:t>
            </w:r>
          </w:p>
        </w:tc>
        <w:tc>
          <w:tcPr>
            <w:tcW w:type="dxa" w:w="2484"/>
          </w:tcPr>
          <w:p>
            <w:r>
              <w:t>[Enter]</w:t>
            </w:r>
          </w:p>
        </w:tc>
      </w:tr>
      <w:tr>
        <w:trPr>
          <w:cantSplit/>
        </w:trPr>
        <w:tc>
          <w:tcPr>
            <w:tcW w:type="dxa" w:w="2484"/>
          </w:tcPr>
          <w:p>
            <w:r>
              <w:t>Other charges and applicable taxes</w:t>
            </w:r>
          </w:p>
        </w:tc>
        <w:tc>
          <w:tcPr>
            <w:tcW w:type="dxa" w:w="2484"/>
          </w:tcPr>
          <w:p>
            <w:r>
              <w:t>[Enter]</w:t>
            </w:r>
          </w:p>
        </w:tc>
        <w:tc>
          <w:tcPr>
            <w:tcW w:type="dxa" w:w="2484"/>
          </w:tcPr>
          <w:p>
            <w:r>
              <w:t>[Enter]</w:t>
            </w:r>
          </w:p>
        </w:tc>
        <w:tc>
          <w:tcPr>
            <w:tcW w:type="dxa" w:w="2484"/>
          </w:tcPr>
          <w:p>
            <w:r>
              <w:t>[Enter]</w:t>
            </w:r>
          </w:p>
        </w:tc>
      </w:tr>
      <w:tr>
        <w:trPr>
          <w:cantSplit/>
        </w:trPr>
        <w:tc>
          <w:tcPr>
            <w:tcW w:type="dxa" w:w="2484"/>
          </w:tcPr>
          <w:p>
            <w:r>
              <w:t>Annual total</w:t>
            </w:r>
          </w:p>
        </w:tc>
        <w:tc>
          <w:tcPr>
            <w:tcW w:type="dxa" w:w="2484"/>
          </w:tcPr>
          <w:p>
            <w:r>
              <w:t>[Enter]</w:t>
            </w:r>
          </w:p>
        </w:tc>
        <w:tc>
          <w:tcPr>
            <w:tcW w:type="dxa" w:w="2484"/>
          </w:tcPr>
          <w:p>
            <w:r>
              <w:t>[Enter]</w:t>
            </w:r>
          </w:p>
        </w:tc>
        <w:tc>
          <w:tcPr>
            <w:tcW w:type="dxa" w:w="2484"/>
          </w:tcPr>
          <w:p>
            <w:r>
              <w:t>[Enter]</w:t>
            </w:r>
          </w:p>
        </w:tc>
      </w:tr>
    </w:tbl>
    <w:p>
      <w:r>
        <w:t>Currency: [Enter]. Renewal increase assumptions: [Enter]. Exit and transition fees: [Enter]. Optional features excluded from comparison: [Enter]. Three-year total: [Enter]. Use the same usage forecast for every vendor.</w:t>
      </w:r>
    </w:p>
    <w:p>
      <w:pPr>
        <w:pStyle w:val="Heading1"/>
      </w:pPr>
      <w:r>
        <w:t>Demonstration and acceptance checks</w:t>
      </w:r>
    </w:p>
    <w:p>
      <w:r>
        <w:t>[ ] A participant enrolls through the branded invitation and sign-in journey.</w:t>
      </w:r>
    </w:p>
    <w:p>
      <w:r>
        <w:t>[ ] A mentee reviews mentors, accepts a match and schedules a session.</w:t>
      </w:r>
    </w:p>
    <w:p>
      <w:r>
        <w:t>[ ] The pair completes a check-in and the administrator reviews progress.</w:t>
      </w:r>
    </w:p>
    <w:p>
      <w:r>
        <w:t>[ ] The administrator rematches a pair and investigates a failed reminder or sync.</w:t>
      </w:r>
    </w:p>
    <w:p>
      <w:r>
        <w:t>[ ] A departing participant loses access through the agreed process.</w:t>
      </w:r>
    </w:p>
    <w:p>
      <w:r>
        <w:t>[ ] A user cannot access another client or unauthorized program data.</w:t>
      </w:r>
    </w:p>
    <w:p>
      <w:r>
        <w:t>[ ] Password resets, help pages and mobile views meet the agreed branding scope.</w:t>
      </w:r>
    </w:p>
    <w:p>
      <w:r>
        <w:t>[ ] A keyboard user can complete the core journey.</w:t>
      </w:r>
    </w:p>
    <w:p>
      <w:r>
        <w:t>[ ] A cohort export matches agreed definitions and permission rules.</w:t>
      </w:r>
    </w:p>
    <w:p>
      <w:pPr>
        <w:pStyle w:val="Heading1"/>
      </w:pPr>
      <w:r>
        <w:t>Final selection checklist</w:t>
      </w:r>
    </w:p>
    <w:p>
      <w:r>
        <w:t>[ ] Program goals, participant scope and internal owner are agreed.</w:t>
      </w:r>
    </w:p>
    <w:p>
      <w:r>
        <w:t>[ ] Mandatory requirements have evidence and pass-or-fail decisions.</w:t>
      </w:r>
    </w:p>
    <w:p>
      <w:r>
        <w:t>[ ] Branding inclusions, exceptions and charges are documented.</w:t>
      </w:r>
    </w:p>
    <w:p>
      <w:r>
        <w:t>[ ] Data access, storage, subprocessors, retention and deletion are reviewed.</w:t>
      </w:r>
    </w:p>
    <w:p>
      <w:r>
        <w:t>[ ] Security evidence is current and covers the proposed service.</w:t>
      </w:r>
    </w:p>
    <w:p>
      <w:r>
        <w:t>[ ] Accessibility gaps and remediation commitments are recorded.</w:t>
      </w:r>
    </w:p>
    <w:p>
      <w:r>
        <w:t>[ ] Integration dependencies and ownership are agreed.</w:t>
      </w:r>
    </w:p>
    <w:p>
      <w:r>
        <w:t>[ ] AI data use, training, retention and disable controls are documented.</w:t>
      </w:r>
    </w:p>
    <w:p>
      <w:r>
        <w:t>[ ] The scorecard and evidence notes are complete.</w:t>
      </w:r>
    </w:p>
    <w:p>
      <w:r>
        <w:t>[ ] Three-year costs use consistent assumptions.</w:t>
      </w:r>
    </w:p>
    <w:p>
      <w:r>
        <w:t>[ ] Implementation owners, training and acceptance criteria are agreed.</w:t>
      </w:r>
    </w:p>
    <w:p>
      <w:r>
        <w:t>[ ] Service levels, escalation contacts and incident commitments are agreed.</w:t>
      </w:r>
    </w:p>
    <w:p>
      <w:r>
        <w:t>[ ] Export scope, formats, timing, fees and deletion terms are agreed.</w:t>
      </w:r>
    </w:p>
    <w:p>
      <w:r>
        <w:t>[ ] Contract exceptions and unresolved risks have named owners.</w:t>
      </w:r>
    </w:p>
    <w:p>
      <w:r>
        <w:t>[ ] The selected vendor and the reasons for selection are recorded.</w:t>
      </w:r>
    </w:p>
    <w:p>
      <w:r>
        <w:t>Selected vendor: [Enter]. Decision rationale: [Enter]. Remaining conditions: [Enter]. Approvers and dates: [Enter].</w:t>
      </w:r>
    </w:p>
    <w:p>
      <w:pPr>
        <w:pStyle w:val="Heading1"/>
      </w:pPr>
      <w:r>
        <w:t>Reference points</w:t>
      </w:r>
    </w:p>
    <w:p>
      <w:r/>
      <w:hyperlink r:id="rId9">
        <w:r>
          <w:rPr>
            <w:color w:val="175D8D"/>
          </w:rPr>
          <w:t>NIST: The NIST Cybersecurity Framework 2.0</w:t>
        </w:r>
      </w:hyperlink>
      <w:r>
        <w:t>. Published February 26, 2024. Accessed November 5, 2026.</w:t>
      </w:r>
    </w:p>
    <w:p>
      <w:r>
        <w:t>Use this reference to inform questions about cybersecurity. Review the vendor’s actual evidence against your organization’s requirements.</w:t>
      </w:r>
    </w:p>
    <w:p>
      <w:r/>
      <w:hyperlink r:id="rId10">
        <w:r>
          <w:rPr>
            <w:color w:val="175D8D"/>
          </w:rPr>
          <w:t>Discuss your requirements with Mentorgain</w:t>
        </w:r>
      </w:hyperlink>
      <w:r>
        <w:t>.</w:t>
      </w:r>
    </w:p>
    <w:sectPr w:rsidR="00FC693F" w:rsidRPr="0006063C" w:rsidSect="00034616">
      <w:headerReference w:type="default" r:id="rId11"/>
      <w:footerReference w:type="default" r:id="rId12"/>
      <w:pgSz w:w="12240" w:h="15840"/>
      <w:pgMar w:top="1008" w:right="1152" w:bottom="1008" w:left="1152" w:header="216"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Mentorgain  |  mentorgain.com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868680" cy="388300"/>
          <wp:docPr id="1" name="Picture 1"/>
          <wp:cNvGraphicFramePr>
            <a:graphicFrameLocks noChangeAspect="1"/>
          </wp:cNvGraphicFramePr>
          <a:graphic>
            <a:graphicData uri="http://schemas.openxmlformats.org/drawingml/2006/picture">
              <pic:pic>
                <pic:nvPicPr>
                  <pic:cNvPr id="0" name="mentorgain-logo.png"/>
                  <pic:cNvPicPr/>
                </pic:nvPicPr>
                <pic:blipFill>
                  <a:blip r:embed="rId1"/>
                  <a:stretch>
                    <a:fillRect/>
                  </a:stretch>
                </pic:blipFill>
                <pic:spPr>
                  <a:xfrm>
                    <a:off x="0" y="0"/>
                    <a:ext cx="868680" cy="3883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6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before="260"/>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nist.gov/publications/nist-cybersecurity-framework-csf-20" TargetMode="External"/><Relationship Id="rId10" Type="http://schemas.openxmlformats.org/officeDocument/2006/relationships/hyperlink" Target="https://www.mentorgain.com/contact-us" TargetMode="External"/><Relationship Id="rId11" Type="http://schemas.openxmlformats.org/officeDocument/2006/relationships/header" Target="header1.xml"/><Relationship Id="rId1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Mentorgain</dc:creator>
  <cp:keywords/>
  <dc:description>generated by python-docx</dc:description>
  <cp:lastModifiedBy/>
  <cp:revision>1</cp:revision>
  <dcterms:created xsi:type="dcterms:W3CDTF">2013-12-23T23:15:00Z</dcterms:created>
  <dcterms:modified xsi:type="dcterms:W3CDTF">2013-12-23T23:15:00Z</dcterms:modified>
  <cp:category/>
</cp:coreProperties>
</file>