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BFAD9C" w14:textId="5D803C8A" w:rsidR="003A5081" w:rsidRPr="00C82FE2" w:rsidRDefault="003A5081" w:rsidP="00C82FE2">
      <w:pPr>
        <w:jc w:val="center"/>
        <w:rPr>
          <w:b/>
          <w:bCs/>
          <w:color w:val="FF5A00"/>
          <w:sz w:val="28"/>
          <w:szCs w:val="28"/>
        </w:rPr>
      </w:pPr>
      <w:r w:rsidRPr="00C82FE2">
        <w:rPr>
          <w:b/>
          <w:bCs/>
          <w:color w:val="FF5A00"/>
          <w:sz w:val="28"/>
          <w:szCs w:val="28"/>
        </w:rPr>
        <w:t>M</w:t>
      </w:r>
      <w:r w:rsidR="00B46EC6">
        <w:rPr>
          <w:b/>
          <w:bCs/>
          <w:color w:val="FF5A00"/>
          <w:sz w:val="28"/>
          <w:szCs w:val="28"/>
        </w:rPr>
        <w:t>Á</w:t>
      </w:r>
      <w:r w:rsidRPr="00C82FE2">
        <w:rPr>
          <w:b/>
          <w:bCs/>
          <w:color w:val="FF5A00"/>
          <w:sz w:val="28"/>
          <w:szCs w:val="28"/>
        </w:rPr>
        <w:t xml:space="preserve">S DE 350 INTERESADOS POR VIVIENDA DE ALQUILER EN BARCELONA </w:t>
      </w:r>
      <w:r w:rsidR="0057492B">
        <w:rPr>
          <w:b/>
          <w:bCs/>
          <w:color w:val="FF5A00"/>
          <w:sz w:val="28"/>
          <w:szCs w:val="28"/>
        </w:rPr>
        <w:t xml:space="preserve">Y PRECIOS DE </w:t>
      </w:r>
      <w:r w:rsidRPr="00C82FE2">
        <w:rPr>
          <w:b/>
          <w:bCs/>
          <w:color w:val="FF5A00"/>
          <w:sz w:val="28"/>
          <w:szCs w:val="28"/>
        </w:rPr>
        <w:t>1.598€ DE MEDIA</w:t>
      </w:r>
    </w:p>
    <w:p w14:paraId="547EEA5B" w14:textId="77777777" w:rsidR="003A5081" w:rsidRDefault="003A5081" w:rsidP="00B678D0">
      <w:pPr>
        <w:pStyle w:val="Prrafodelista"/>
        <w:spacing w:after="0"/>
        <w:jc w:val="both"/>
        <w:rPr>
          <w:b/>
          <w:bCs/>
        </w:rPr>
      </w:pPr>
    </w:p>
    <w:p w14:paraId="7C39715C" w14:textId="093AA871" w:rsidR="00930607" w:rsidRPr="003A5081" w:rsidRDefault="00C10193" w:rsidP="00B678D0">
      <w:pPr>
        <w:pStyle w:val="Prrafodelista"/>
        <w:numPr>
          <w:ilvl w:val="0"/>
          <w:numId w:val="2"/>
        </w:numPr>
        <w:spacing w:after="0"/>
        <w:jc w:val="both"/>
        <w:rPr>
          <w:b/>
          <w:bCs/>
        </w:rPr>
      </w:pPr>
      <w:r>
        <w:rPr>
          <w:b/>
          <w:bCs/>
        </w:rPr>
        <w:t>E</w:t>
      </w:r>
      <w:r w:rsidR="003A5081" w:rsidRPr="003A5081">
        <w:rPr>
          <w:b/>
          <w:bCs/>
        </w:rPr>
        <w:t xml:space="preserve">l control de precios dispara la presión del alquiler en </w:t>
      </w:r>
      <w:r>
        <w:rPr>
          <w:b/>
          <w:bCs/>
        </w:rPr>
        <w:t>C</w:t>
      </w:r>
      <w:r w:rsidR="003A5081" w:rsidRPr="003A5081">
        <w:rPr>
          <w:b/>
          <w:bCs/>
        </w:rPr>
        <w:t>ataluña</w:t>
      </w:r>
      <w:r w:rsidR="00D05E35">
        <w:rPr>
          <w:b/>
          <w:bCs/>
        </w:rPr>
        <w:t>, según los datos del Barómetro del Alquiler del segundo trimestre de 2024.</w:t>
      </w:r>
    </w:p>
    <w:p w14:paraId="7749F651" w14:textId="40271F6A" w:rsidR="004F1B47" w:rsidRDefault="00384931" w:rsidP="00B678D0">
      <w:pPr>
        <w:pStyle w:val="Prrafodelista"/>
        <w:numPr>
          <w:ilvl w:val="0"/>
          <w:numId w:val="2"/>
        </w:numPr>
        <w:spacing w:after="0"/>
        <w:jc w:val="both"/>
        <w:rPr>
          <w:b/>
          <w:bCs/>
        </w:rPr>
      </w:pPr>
      <w:r>
        <w:rPr>
          <w:b/>
          <w:bCs/>
        </w:rPr>
        <w:t>Cada vivienda que sale al mercado del alquiler en Cataluña recibe 318 contactos en diez días</w:t>
      </w:r>
      <w:r w:rsidR="006649BC">
        <w:rPr>
          <w:b/>
          <w:bCs/>
        </w:rPr>
        <w:t>.</w:t>
      </w:r>
    </w:p>
    <w:p w14:paraId="510D1E49" w14:textId="09EADD3E" w:rsidR="00EA3548" w:rsidRDefault="00FC2FE5" w:rsidP="00B678D0">
      <w:pPr>
        <w:pStyle w:val="Prrafodelista"/>
        <w:numPr>
          <w:ilvl w:val="0"/>
          <w:numId w:val="2"/>
        </w:numPr>
        <w:spacing w:after="0"/>
        <w:jc w:val="both"/>
        <w:rPr>
          <w:b/>
          <w:bCs/>
        </w:rPr>
      </w:pPr>
      <w:r>
        <w:rPr>
          <w:b/>
          <w:bCs/>
        </w:rPr>
        <w:t xml:space="preserve">Barcelona rompe todos los récords, con 362 interesados por inmueble, pero </w:t>
      </w:r>
      <w:r w:rsidR="0062794D">
        <w:rPr>
          <w:b/>
          <w:bCs/>
        </w:rPr>
        <w:t>los</w:t>
      </w:r>
      <w:r>
        <w:rPr>
          <w:b/>
          <w:bCs/>
        </w:rPr>
        <w:t xml:space="preserve"> efectos se extienden al resto de provincias catalanas.</w:t>
      </w:r>
    </w:p>
    <w:p w14:paraId="7F282DE8" w14:textId="33E668F5" w:rsidR="00591970" w:rsidRDefault="00757A98" w:rsidP="00B678D0">
      <w:pPr>
        <w:pStyle w:val="Prrafodelista"/>
        <w:numPr>
          <w:ilvl w:val="0"/>
          <w:numId w:val="2"/>
        </w:numPr>
        <w:spacing w:after="0"/>
        <w:jc w:val="both"/>
        <w:rPr>
          <w:b/>
          <w:bCs/>
        </w:rPr>
      </w:pPr>
      <w:r>
        <w:rPr>
          <w:b/>
          <w:bCs/>
        </w:rPr>
        <w:t>El ligero aumento de la oferta es insuficiente para satisfacer la demanda en todo el país</w:t>
      </w:r>
      <w:r w:rsidR="00AC1087">
        <w:rPr>
          <w:b/>
          <w:bCs/>
        </w:rPr>
        <w:t xml:space="preserve">: </w:t>
      </w:r>
      <w:r w:rsidR="00F85C4B">
        <w:rPr>
          <w:b/>
          <w:bCs/>
        </w:rPr>
        <w:t>115 personas se interesan por la oferta de un inmueble en un plazo de diez días a nivel nacional.</w:t>
      </w:r>
    </w:p>
    <w:p w14:paraId="1CDF1815" w14:textId="1F640940" w:rsidR="00F85C4B" w:rsidRDefault="00614BA4" w:rsidP="00B678D0">
      <w:pPr>
        <w:pStyle w:val="Prrafodelista"/>
        <w:numPr>
          <w:ilvl w:val="0"/>
          <w:numId w:val="2"/>
        </w:numPr>
        <w:spacing w:after="0"/>
        <w:jc w:val="both"/>
        <w:rPr>
          <w:b/>
          <w:bCs/>
        </w:rPr>
      </w:pPr>
      <w:r>
        <w:rPr>
          <w:b/>
          <w:bCs/>
        </w:rPr>
        <w:t>Los precios siguen creciendo, con nueve provincias que superan ya los 1.000 euros de media, encabezadas por Baleares, Barcelona y Madrid.</w:t>
      </w:r>
    </w:p>
    <w:p w14:paraId="58B72461" w14:textId="77777777" w:rsidR="00B55530" w:rsidRPr="00B55530" w:rsidRDefault="00B55530" w:rsidP="00B55530">
      <w:pPr>
        <w:pStyle w:val="Prrafodelista"/>
        <w:jc w:val="both"/>
        <w:rPr>
          <w:b/>
          <w:bCs/>
        </w:rPr>
      </w:pPr>
    </w:p>
    <w:p w14:paraId="258D5D7D" w14:textId="0B659EAE" w:rsidR="00B2467A" w:rsidRDefault="008B27C4" w:rsidP="00B40D9E">
      <w:pPr>
        <w:jc w:val="both"/>
        <w:rPr>
          <w:sz w:val="24"/>
          <w:szCs w:val="24"/>
        </w:rPr>
      </w:pPr>
      <w:r w:rsidRPr="008B27C4">
        <w:rPr>
          <w:color w:val="ADADAD" w:themeColor="background2" w:themeShade="BF"/>
          <w:sz w:val="24"/>
          <w:szCs w:val="24"/>
        </w:rPr>
        <w:t xml:space="preserve">Madrid, </w:t>
      </w:r>
      <w:r w:rsidR="00DE545B">
        <w:rPr>
          <w:color w:val="ADADAD" w:themeColor="background2" w:themeShade="BF"/>
          <w:sz w:val="24"/>
          <w:szCs w:val="24"/>
        </w:rPr>
        <w:t>10</w:t>
      </w:r>
      <w:r w:rsidRPr="008B27C4">
        <w:rPr>
          <w:color w:val="ADADAD" w:themeColor="background2" w:themeShade="BF"/>
          <w:sz w:val="24"/>
          <w:szCs w:val="24"/>
        </w:rPr>
        <w:t xml:space="preserve"> de </w:t>
      </w:r>
      <w:r w:rsidR="00DE545B">
        <w:rPr>
          <w:color w:val="ADADAD" w:themeColor="background2" w:themeShade="BF"/>
          <w:sz w:val="24"/>
          <w:szCs w:val="24"/>
        </w:rPr>
        <w:t>septiembre</w:t>
      </w:r>
      <w:r w:rsidRPr="008B27C4">
        <w:rPr>
          <w:color w:val="ADADAD" w:themeColor="background2" w:themeShade="BF"/>
          <w:sz w:val="24"/>
          <w:szCs w:val="24"/>
        </w:rPr>
        <w:t xml:space="preserve"> de 2024. </w:t>
      </w:r>
      <w:r w:rsidR="00FC54E1">
        <w:rPr>
          <w:sz w:val="24"/>
          <w:szCs w:val="24"/>
        </w:rPr>
        <w:t xml:space="preserve">Pocos meses después </w:t>
      </w:r>
      <w:r w:rsidR="00584A48">
        <w:rPr>
          <w:sz w:val="24"/>
          <w:szCs w:val="24"/>
        </w:rPr>
        <w:t xml:space="preserve">de la entrada en vigor de las políticas de contención de precios en Cataluña, </w:t>
      </w:r>
      <w:r w:rsidR="009258B3">
        <w:rPr>
          <w:sz w:val="24"/>
          <w:szCs w:val="24"/>
        </w:rPr>
        <w:t xml:space="preserve">la presión de la demanda sobre la oferta de vivienda disponible en la región se dispara, según se </w:t>
      </w:r>
      <w:r w:rsidR="00FC54E1">
        <w:rPr>
          <w:sz w:val="24"/>
          <w:szCs w:val="24"/>
        </w:rPr>
        <w:t xml:space="preserve">desprende del </w:t>
      </w:r>
      <w:r w:rsidR="00FC54E1" w:rsidRPr="007A457C">
        <w:rPr>
          <w:b/>
          <w:bCs/>
          <w:sz w:val="24"/>
          <w:szCs w:val="24"/>
        </w:rPr>
        <w:t>Barómetro del Alquiler</w:t>
      </w:r>
      <w:r w:rsidR="00FC54E1">
        <w:rPr>
          <w:sz w:val="24"/>
          <w:szCs w:val="24"/>
        </w:rPr>
        <w:t xml:space="preserve"> del segundo trimestre de 2024, elaborado por el </w:t>
      </w:r>
      <w:r w:rsidR="00FC54E1" w:rsidRPr="007A457C">
        <w:rPr>
          <w:b/>
          <w:bCs/>
          <w:sz w:val="24"/>
          <w:szCs w:val="24"/>
        </w:rPr>
        <w:t>Observatorio del Alquiler de la Fundación Alquiler Seguro y la Universidad Rey Juan Carlos</w:t>
      </w:r>
      <w:r w:rsidR="00FC54E1">
        <w:rPr>
          <w:sz w:val="24"/>
          <w:szCs w:val="24"/>
        </w:rPr>
        <w:t>.</w:t>
      </w:r>
    </w:p>
    <w:p w14:paraId="5F8477F6" w14:textId="3C6D4546" w:rsidR="00000B7D" w:rsidRDefault="00F07112" w:rsidP="00B40D9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Cada vivienda que sale al mercado del alquiler en Cataluña recibe una </w:t>
      </w:r>
      <w:r w:rsidR="004203C7">
        <w:rPr>
          <w:sz w:val="24"/>
          <w:szCs w:val="24"/>
        </w:rPr>
        <w:t xml:space="preserve">media de </w:t>
      </w:r>
      <w:r w:rsidR="004203C7" w:rsidRPr="007A457C">
        <w:rPr>
          <w:b/>
          <w:bCs/>
          <w:sz w:val="24"/>
          <w:szCs w:val="24"/>
        </w:rPr>
        <w:t>318 contactos</w:t>
      </w:r>
      <w:r w:rsidR="004203C7">
        <w:rPr>
          <w:sz w:val="24"/>
          <w:szCs w:val="24"/>
        </w:rPr>
        <w:t xml:space="preserve"> en un plazo de diez días</w:t>
      </w:r>
      <w:r w:rsidR="00321EC0">
        <w:rPr>
          <w:sz w:val="24"/>
          <w:szCs w:val="24"/>
        </w:rPr>
        <w:t xml:space="preserve">, </w:t>
      </w:r>
      <w:r w:rsidR="0067446B">
        <w:rPr>
          <w:sz w:val="24"/>
          <w:szCs w:val="24"/>
        </w:rPr>
        <w:t xml:space="preserve">una cifra que en el trimestre anterior se situaba en 80 y que cerró 2023 en 65. </w:t>
      </w:r>
      <w:r w:rsidR="00365E92">
        <w:rPr>
          <w:sz w:val="24"/>
          <w:szCs w:val="24"/>
        </w:rPr>
        <w:t>La media nacional, que bate récord también, se queda en 115 interesados por inmueble.</w:t>
      </w:r>
    </w:p>
    <w:p w14:paraId="683E85FE" w14:textId="14026B54" w:rsidR="00C82FE2" w:rsidRDefault="00173044" w:rsidP="00B40D9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bien la demanda </w:t>
      </w:r>
      <w:r w:rsidR="0091138D">
        <w:rPr>
          <w:sz w:val="24"/>
          <w:szCs w:val="24"/>
        </w:rPr>
        <w:t xml:space="preserve">sube en las cuatro provincias catalanas, es </w:t>
      </w:r>
      <w:r w:rsidR="0091138D" w:rsidRPr="007A457C">
        <w:rPr>
          <w:b/>
          <w:bCs/>
          <w:sz w:val="24"/>
          <w:szCs w:val="24"/>
        </w:rPr>
        <w:t>Barcelona</w:t>
      </w:r>
      <w:r w:rsidR="0091138D">
        <w:rPr>
          <w:sz w:val="24"/>
          <w:szCs w:val="24"/>
        </w:rPr>
        <w:t xml:space="preserve"> la que </w:t>
      </w:r>
      <w:r w:rsidR="009C6486">
        <w:rPr>
          <w:sz w:val="24"/>
          <w:szCs w:val="24"/>
        </w:rPr>
        <w:t xml:space="preserve">presenta una situación más saturada. Aquí, </w:t>
      </w:r>
      <w:r w:rsidR="003304DC" w:rsidRPr="007A457C">
        <w:rPr>
          <w:b/>
          <w:bCs/>
          <w:sz w:val="24"/>
          <w:szCs w:val="24"/>
        </w:rPr>
        <w:t>362</w:t>
      </w:r>
      <w:r w:rsidR="003304DC">
        <w:rPr>
          <w:sz w:val="24"/>
          <w:szCs w:val="24"/>
        </w:rPr>
        <w:t xml:space="preserve"> personas se interesan por una </w:t>
      </w:r>
      <w:r w:rsidR="00C92F2F">
        <w:rPr>
          <w:sz w:val="24"/>
          <w:szCs w:val="24"/>
        </w:rPr>
        <w:t xml:space="preserve">misma </w:t>
      </w:r>
      <w:r w:rsidR="003304DC">
        <w:rPr>
          <w:sz w:val="24"/>
          <w:szCs w:val="24"/>
        </w:rPr>
        <w:t>oferta de una vivienda en alquiler en diez días</w:t>
      </w:r>
      <w:r w:rsidR="00584010">
        <w:rPr>
          <w:sz w:val="24"/>
          <w:szCs w:val="24"/>
        </w:rPr>
        <w:t xml:space="preserve">, lo que supone, con diferencia, </w:t>
      </w:r>
      <w:r w:rsidR="00D672DE">
        <w:rPr>
          <w:sz w:val="24"/>
          <w:szCs w:val="24"/>
        </w:rPr>
        <w:t>el dato más alto de todo el país.</w:t>
      </w:r>
    </w:p>
    <w:p w14:paraId="0B95A1FD" w14:textId="77777777" w:rsidR="00B678D0" w:rsidRDefault="00B678D0" w:rsidP="00B40D9E">
      <w:pPr>
        <w:jc w:val="both"/>
        <w:rPr>
          <w:sz w:val="24"/>
          <w:szCs w:val="24"/>
        </w:rPr>
      </w:pPr>
    </w:p>
    <w:p w14:paraId="31B38279" w14:textId="614C1764" w:rsidR="00007A34" w:rsidRPr="00C82FE2" w:rsidRDefault="00007A34" w:rsidP="00B40D9E">
      <w:pPr>
        <w:jc w:val="both"/>
        <w:rPr>
          <w:b/>
          <w:bCs/>
          <w:color w:val="FF5A00"/>
          <w:sz w:val="24"/>
          <w:szCs w:val="24"/>
        </w:rPr>
      </w:pPr>
      <w:r w:rsidRPr="00C82FE2">
        <w:rPr>
          <w:b/>
          <w:bCs/>
          <w:color w:val="FF5A00"/>
          <w:sz w:val="24"/>
          <w:szCs w:val="24"/>
        </w:rPr>
        <w:t>LAS LARGAS COLAS DEL ALQUILER EN BARCELONA: HASTA 2.700 INTERESADOS EN ALGUNOS INMUEBLES</w:t>
      </w:r>
    </w:p>
    <w:p w14:paraId="5251C96B" w14:textId="64086910" w:rsidR="00421C33" w:rsidRDefault="00862E2A" w:rsidP="00B40D9E">
      <w:pPr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 w:rsidR="00421C33">
        <w:rPr>
          <w:sz w:val="24"/>
          <w:szCs w:val="24"/>
        </w:rPr>
        <w:t>En Barcelona sucede incluso que existen viviendas que tienen m</w:t>
      </w:r>
      <w:r w:rsidR="00066622">
        <w:rPr>
          <w:sz w:val="24"/>
          <w:szCs w:val="24"/>
        </w:rPr>
        <w:t xml:space="preserve">ás de 1.000 contactos en solo diez días. </w:t>
      </w:r>
      <w:r w:rsidR="00116F2E">
        <w:rPr>
          <w:sz w:val="24"/>
          <w:szCs w:val="24"/>
        </w:rPr>
        <w:t xml:space="preserve">Algunos casos concretos sobrepasan incluso los 2.700. </w:t>
      </w:r>
      <w:r w:rsidR="00066622">
        <w:rPr>
          <w:sz w:val="24"/>
          <w:szCs w:val="24"/>
        </w:rPr>
        <w:t xml:space="preserve">Se trata de inmuebles que se alquilan </w:t>
      </w:r>
      <w:r w:rsidR="0023670D">
        <w:rPr>
          <w:sz w:val="24"/>
          <w:szCs w:val="24"/>
        </w:rPr>
        <w:t xml:space="preserve">con precios ajustados al índice, </w:t>
      </w:r>
      <w:r w:rsidR="0032084B">
        <w:rPr>
          <w:sz w:val="24"/>
          <w:szCs w:val="24"/>
        </w:rPr>
        <w:t>muy baratos en comparación con lo que hay en el mercado, l</w:t>
      </w:r>
      <w:r w:rsidR="0023670D">
        <w:rPr>
          <w:sz w:val="24"/>
          <w:szCs w:val="24"/>
        </w:rPr>
        <w:t xml:space="preserve">o que hace que las </w:t>
      </w:r>
      <w:r w:rsidR="0023670D">
        <w:rPr>
          <w:sz w:val="24"/>
          <w:szCs w:val="24"/>
        </w:rPr>
        <w:lastRenderedPageBreak/>
        <w:t>peticiones de información se disparen</w:t>
      </w:r>
      <w:r w:rsidR="0032084B">
        <w:rPr>
          <w:sz w:val="24"/>
          <w:szCs w:val="24"/>
        </w:rPr>
        <w:t xml:space="preserve">”, señala </w:t>
      </w:r>
      <w:r w:rsidR="0032084B" w:rsidRPr="005B2386">
        <w:rPr>
          <w:b/>
          <w:bCs/>
          <w:sz w:val="24"/>
          <w:szCs w:val="24"/>
        </w:rPr>
        <w:t>Sergio Cardona</w:t>
      </w:r>
      <w:r w:rsidR="0032084B">
        <w:rPr>
          <w:sz w:val="24"/>
          <w:szCs w:val="24"/>
        </w:rPr>
        <w:t>, analista del Observatorio del Alquiler.</w:t>
      </w:r>
    </w:p>
    <w:p w14:paraId="6A4DE34D" w14:textId="06741286" w:rsidR="009A64AB" w:rsidRDefault="00401091" w:rsidP="00B40D9E">
      <w:pPr>
        <w:jc w:val="both"/>
        <w:rPr>
          <w:sz w:val="24"/>
          <w:szCs w:val="24"/>
        </w:rPr>
      </w:pPr>
      <w:r>
        <w:rPr>
          <w:sz w:val="24"/>
          <w:szCs w:val="24"/>
        </w:rPr>
        <w:t>Barcelona es la provincia con mayor presión, pero este Barómetro demuestra que el problema del alquiler no se puede contener</w:t>
      </w:r>
      <w:r w:rsidR="00F637CF">
        <w:rPr>
          <w:sz w:val="24"/>
          <w:szCs w:val="24"/>
        </w:rPr>
        <w:t xml:space="preserve"> y </w:t>
      </w:r>
      <w:r w:rsidR="002C122E">
        <w:rPr>
          <w:sz w:val="24"/>
          <w:szCs w:val="24"/>
        </w:rPr>
        <w:t xml:space="preserve">termina extendiéndose a las provincias limítrofes, como sucede con </w:t>
      </w:r>
      <w:r w:rsidR="002C122E" w:rsidRPr="00794E91">
        <w:rPr>
          <w:b/>
          <w:bCs/>
          <w:sz w:val="24"/>
          <w:szCs w:val="24"/>
        </w:rPr>
        <w:t>Tarragona</w:t>
      </w:r>
      <w:r w:rsidR="002C122E">
        <w:rPr>
          <w:sz w:val="24"/>
          <w:szCs w:val="24"/>
        </w:rPr>
        <w:t xml:space="preserve">, que ha pasado </w:t>
      </w:r>
      <w:r w:rsidR="0094556C">
        <w:rPr>
          <w:sz w:val="24"/>
          <w:szCs w:val="24"/>
        </w:rPr>
        <w:t xml:space="preserve">en solo un trimestre de </w:t>
      </w:r>
      <w:r w:rsidR="00964584">
        <w:rPr>
          <w:sz w:val="24"/>
          <w:szCs w:val="24"/>
        </w:rPr>
        <w:t xml:space="preserve">una presión de 21 a una de </w:t>
      </w:r>
      <w:r w:rsidR="00964584" w:rsidRPr="00794E91">
        <w:rPr>
          <w:b/>
          <w:bCs/>
          <w:sz w:val="24"/>
          <w:szCs w:val="24"/>
        </w:rPr>
        <w:t>99</w:t>
      </w:r>
      <w:r w:rsidR="0032084B">
        <w:rPr>
          <w:sz w:val="24"/>
          <w:szCs w:val="24"/>
        </w:rPr>
        <w:t>.</w:t>
      </w:r>
    </w:p>
    <w:p w14:paraId="0273ED17" w14:textId="77777777" w:rsidR="00B678D0" w:rsidRDefault="00B678D0" w:rsidP="00B40D9E">
      <w:pPr>
        <w:jc w:val="both"/>
        <w:rPr>
          <w:sz w:val="24"/>
          <w:szCs w:val="24"/>
        </w:rPr>
      </w:pPr>
    </w:p>
    <w:p w14:paraId="43F8B3FE" w14:textId="33BC3335" w:rsidR="00B678D0" w:rsidRPr="00B678D0" w:rsidRDefault="0091309A" w:rsidP="00B678D0">
      <w:pPr>
        <w:jc w:val="center"/>
        <w:rPr>
          <w:b/>
          <w:bCs/>
          <w:sz w:val="24"/>
          <w:szCs w:val="24"/>
        </w:rPr>
      </w:pPr>
      <w:r w:rsidRPr="0091309A">
        <w:rPr>
          <w:b/>
          <w:bCs/>
          <w:sz w:val="24"/>
          <w:szCs w:val="24"/>
        </w:rPr>
        <w:t>Gráfico 1. Variación de la presión del alquiler en las provincias de Cataluña entre el primer y el segundo trimestre de 2024</w:t>
      </w:r>
    </w:p>
    <w:p w14:paraId="1090E14B" w14:textId="7A91BC7B" w:rsidR="00FD4915" w:rsidRDefault="00B678D0" w:rsidP="00B40D9E">
      <w:pPr>
        <w:jc w:val="both"/>
        <w:rPr>
          <w:sz w:val="24"/>
          <w:szCs w:val="24"/>
        </w:rPr>
      </w:pPr>
      <w:r w:rsidRPr="00B678D0">
        <w:rPr>
          <w:noProof/>
          <w:sz w:val="24"/>
          <w:szCs w:val="24"/>
        </w:rPr>
        <w:drawing>
          <wp:inline distT="0" distB="0" distL="0" distR="0" wp14:anchorId="421FF2AE" wp14:editId="169380AD">
            <wp:extent cx="5409539" cy="3286125"/>
            <wp:effectExtent l="0" t="0" r="1270" b="0"/>
            <wp:docPr id="806901533" name="Imagen 2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01533" name="Imagen 2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/>
                    <a:stretch/>
                  </pic:blipFill>
                  <pic:spPr bwMode="auto">
                    <a:xfrm>
                      <a:off x="0" y="0"/>
                      <a:ext cx="5412318" cy="328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91285" w14:textId="420CBDF8" w:rsidR="00781070" w:rsidRDefault="00BD6D9A" w:rsidP="00B40D9E">
      <w:pPr>
        <w:jc w:val="both"/>
        <w:rPr>
          <w:sz w:val="24"/>
          <w:szCs w:val="24"/>
        </w:rPr>
      </w:pPr>
      <w:r w:rsidRPr="00794E91">
        <w:rPr>
          <w:b/>
          <w:bCs/>
          <w:sz w:val="24"/>
          <w:szCs w:val="24"/>
        </w:rPr>
        <w:t>Girona</w:t>
      </w:r>
      <w:r>
        <w:rPr>
          <w:sz w:val="24"/>
          <w:szCs w:val="24"/>
        </w:rPr>
        <w:t xml:space="preserve"> y </w:t>
      </w:r>
      <w:r w:rsidRPr="00794E91">
        <w:rPr>
          <w:b/>
          <w:bCs/>
          <w:sz w:val="24"/>
          <w:szCs w:val="24"/>
        </w:rPr>
        <w:t>Lleida</w:t>
      </w:r>
      <w:r>
        <w:rPr>
          <w:sz w:val="24"/>
          <w:szCs w:val="24"/>
        </w:rPr>
        <w:t xml:space="preserve"> no se libran tampoco de los incrementos de presión, aunque en su caso, con menor intensidad. </w:t>
      </w:r>
      <w:r w:rsidR="00E5225C">
        <w:rPr>
          <w:sz w:val="24"/>
          <w:szCs w:val="24"/>
        </w:rPr>
        <w:t xml:space="preserve">La primera ha crecido desde una presión de 25 en el primer trimestre a una de </w:t>
      </w:r>
      <w:r w:rsidR="00E5225C" w:rsidRPr="00794E91">
        <w:rPr>
          <w:b/>
          <w:bCs/>
          <w:sz w:val="24"/>
          <w:szCs w:val="24"/>
        </w:rPr>
        <w:t>66</w:t>
      </w:r>
      <w:r w:rsidR="00E5225C">
        <w:rPr>
          <w:sz w:val="24"/>
          <w:szCs w:val="24"/>
        </w:rPr>
        <w:t xml:space="preserve">. En </w:t>
      </w:r>
      <w:r w:rsidR="006532D9">
        <w:rPr>
          <w:sz w:val="24"/>
          <w:szCs w:val="24"/>
        </w:rPr>
        <w:t xml:space="preserve">la segunda, el número de interesados por vivienda en diez días ha pasado de 20 a </w:t>
      </w:r>
      <w:r w:rsidR="006532D9" w:rsidRPr="00794E91">
        <w:rPr>
          <w:b/>
          <w:bCs/>
          <w:sz w:val="24"/>
          <w:szCs w:val="24"/>
        </w:rPr>
        <w:t>49</w:t>
      </w:r>
      <w:r w:rsidR="006532D9">
        <w:rPr>
          <w:sz w:val="24"/>
          <w:szCs w:val="24"/>
        </w:rPr>
        <w:t>.</w:t>
      </w:r>
    </w:p>
    <w:p w14:paraId="1241A93C" w14:textId="0A7FD851" w:rsidR="00D672DE" w:rsidRDefault="00EF202A" w:rsidP="00B40D9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declaración de </w:t>
      </w:r>
      <w:r w:rsidR="00C65C59">
        <w:rPr>
          <w:sz w:val="24"/>
          <w:szCs w:val="24"/>
        </w:rPr>
        <w:t xml:space="preserve">zona tensionada en </w:t>
      </w:r>
      <w:r w:rsidR="002433D1">
        <w:rPr>
          <w:sz w:val="24"/>
          <w:szCs w:val="24"/>
        </w:rPr>
        <w:t>Cataluña ha permitido</w:t>
      </w:r>
      <w:r w:rsidR="00C65C59">
        <w:rPr>
          <w:sz w:val="24"/>
          <w:szCs w:val="24"/>
        </w:rPr>
        <w:t>, según contempla la Ley de Vivienda,</w:t>
      </w:r>
      <w:r w:rsidR="002433D1">
        <w:rPr>
          <w:sz w:val="24"/>
          <w:szCs w:val="24"/>
        </w:rPr>
        <w:t xml:space="preserve"> limitar l</w:t>
      </w:r>
      <w:r w:rsidR="00556555">
        <w:rPr>
          <w:sz w:val="24"/>
          <w:szCs w:val="24"/>
        </w:rPr>
        <w:t xml:space="preserve">a renta de los nuevos contratos de alquiler, </w:t>
      </w:r>
      <w:r w:rsidR="007D39BD">
        <w:rPr>
          <w:sz w:val="24"/>
          <w:szCs w:val="24"/>
        </w:rPr>
        <w:t xml:space="preserve">lo que ha disparado </w:t>
      </w:r>
      <w:r w:rsidR="00622321">
        <w:rPr>
          <w:sz w:val="24"/>
          <w:szCs w:val="24"/>
        </w:rPr>
        <w:t xml:space="preserve">el número de interesados en cada inmueble. Sin embargo, </w:t>
      </w:r>
      <w:r w:rsidR="00307DF1">
        <w:rPr>
          <w:sz w:val="24"/>
          <w:szCs w:val="24"/>
        </w:rPr>
        <w:t xml:space="preserve">aunque la oferta ha crecido ligeramente, </w:t>
      </w:r>
      <w:r w:rsidR="008B279F">
        <w:rPr>
          <w:sz w:val="24"/>
          <w:szCs w:val="24"/>
        </w:rPr>
        <w:t xml:space="preserve">es claramente </w:t>
      </w:r>
      <w:r w:rsidR="008B279F" w:rsidRPr="00794E91">
        <w:rPr>
          <w:b/>
          <w:bCs/>
          <w:sz w:val="24"/>
          <w:szCs w:val="24"/>
        </w:rPr>
        <w:t>insuficiente para dar respuesta</w:t>
      </w:r>
      <w:r w:rsidR="00CB0779" w:rsidRPr="00794E91">
        <w:rPr>
          <w:b/>
          <w:bCs/>
          <w:sz w:val="24"/>
          <w:szCs w:val="24"/>
        </w:rPr>
        <w:t xml:space="preserve"> al</w:t>
      </w:r>
      <w:r w:rsidR="00C515D4" w:rsidRPr="00794E91">
        <w:rPr>
          <w:b/>
          <w:bCs/>
          <w:sz w:val="24"/>
          <w:szCs w:val="24"/>
        </w:rPr>
        <w:t xml:space="preserve"> </w:t>
      </w:r>
      <w:r w:rsidR="00074966" w:rsidRPr="00794E91">
        <w:rPr>
          <w:b/>
          <w:bCs/>
          <w:sz w:val="24"/>
          <w:szCs w:val="24"/>
        </w:rPr>
        <w:t>volumen de demanda</w:t>
      </w:r>
      <w:r w:rsidR="00074966">
        <w:rPr>
          <w:sz w:val="24"/>
          <w:szCs w:val="24"/>
        </w:rPr>
        <w:t xml:space="preserve"> actual.</w:t>
      </w:r>
    </w:p>
    <w:p w14:paraId="1EC93EAC" w14:textId="669900BC" w:rsidR="002B0839" w:rsidRDefault="00C10193" w:rsidP="00B40D9E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0552C3">
        <w:rPr>
          <w:sz w:val="24"/>
          <w:szCs w:val="24"/>
        </w:rPr>
        <w:t xml:space="preserve">a aplicación de la Ley de Vivienda en esta comunidad autónoma </w:t>
      </w:r>
      <w:r>
        <w:rPr>
          <w:sz w:val="24"/>
          <w:szCs w:val="24"/>
        </w:rPr>
        <w:t xml:space="preserve">no está consiguiendo </w:t>
      </w:r>
      <w:r w:rsidR="000552C3">
        <w:rPr>
          <w:sz w:val="24"/>
          <w:szCs w:val="24"/>
        </w:rPr>
        <w:t xml:space="preserve">su </w:t>
      </w:r>
      <w:r w:rsidR="008154B5">
        <w:rPr>
          <w:sz w:val="24"/>
          <w:szCs w:val="24"/>
        </w:rPr>
        <w:t>principal objetivo</w:t>
      </w:r>
      <w:r>
        <w:rPr>
          <w:sz w:val="24"/>
          <w:szCs w:val="24"/>
        </w:rPr>
        <w:t xml:space="preserve"> de bajar el precio del alquiler, y por el contrario </w:t>
      </w:r>
      <w:r w:rsidRPr="00794E91">
        <w:rPr>
          <w:b/>
          <w:bCs/>
          <w:sz w:val="24"/>
          <w:szCs w:val="24"/>
        </w:rPr>
        <w:lastRenderedPageBreak/>
        <w:t>los</w:t>
      </w:r>
      <w:r w:rsidR="00F25B95" w:rsidRPr="00794E91">
        <w:rPr>
          <w:b/>
          <w:bCs/>
          <w:sz w:val="24"/>
          <w:szCs w:val="24"/>
        </w:rPr>
        <w:t xml:space="preserve"> precios han seguido creciendo</w:t>
      </w:r>
      <w:r w:rsidR="00F25B95">
        <w:rPr>
          <w:sz w:val="24"/>
          <w:szCs w:val="24"/>
        </w:rPr>
        <w:t xml:space="preserve"> en el segundo trimestre del año hasta alcanzar </w:t>
      </w:r>
      <w:r w:rsidR="00CA38A8">
        <w:rPr>
          <w:sz w:val="24"/>
          <w:szCs w:val="24"/>
        </w:rPr>
        <w:t xml:space="preserve">los </w:t>
      </w:r>
      <w:r w:rsidR="00CA38A8" w:rsidRPr="00794E91">
        <w:rPr>
          <w:b/>
          <w:bCs/>
          <w:sz w:val="24"/>
          <w:szCs w:val="24"/>
        </w:rPr>
        <w:t>1.402€</w:t>
      </w:r>
      <w:r w:rsidR="00B34CF8">
        <w:rPr>
          <w:sz w:val="24"/>
          <w:szCs w:val="24"/>
        </w:rPr>
        <w:t xml:space="preserve">. Barcelona se sitúa como la segunda provincia con el alquiler más caro del país, con </w:t>
      </w:r>
      <w:r w:rsidR="009E6D80">
        <w:rPr>
          <w:sz w:val="24"/>
          <w:szCs w:val="24"/>
        </w:rPr>
        <w:t xml:space="preserve">1.598€, solo por detrás de las Islas Baleares. </w:t>
      </w:r>
      <w:r w:rsidR="00654F1D">
        <w:rPr>
          <w:sz w:val="24"/>
          <w:szCs w:val="24"/>
        </w:rPr>
        <w:t>A la capital catalana le sigue</w:t>
      </w:r>
      <w:r w:rsidR="005A3616">
        <w:rPr>
          <w:sz w:val="24"/>
          <w:szCs w:val="24"/>
        </w:rPr>
        <w:t xml:space="preserve">n las provincias de </w:t>
      </w:r>
      <w:r w:rsidR="00A432E6">
        <w:rPr>
          <w:sz w:val="24"/>
          <w:szCs w:val="24"/>
        </w:rPr>
        <w:t>Girona</w:t>
      </w:r>
      <w:r w:rsidR="005A3616">
        <w:rPr>
          <w:sz w:val="24"/>
          <w:szCs w:val="24"/>
        </w:rPr>
        <w:t xml:space="preserve"> (954€), </w:t>
      </w:r>
      <w:r w:rsidR="00292794">
        <w:rPr>
          <w:sz w:val="24"/>
          <w:szCs w:val="24"/>
        </w:rPr>
        <w:t xml:space="preserve">Tarragona (804€) y </w:t>
      </w:r>
      <w:r w:rsidR="00A432E6">
        <w:rPr>
          <w:sz w:val="24"/>
          <w:szCs w:val="24"/>
        </w:rPr>
        <w:t>Lleida</w:t>
      </w:r>
      <w:r w:rsidR="00292794">
        <w:rPr>
          <w:sz w:val="24"/>
          <w:szCs w:val="24"/>
        </w:rPr>
        <w:t xml:space="preserve"> (673€)</w:t>
      </w:r>
      <w:r w:rsidR="00DA3B56">
        <w:rPr>
          <w:sz w:val="24"/>
          <w:szCs w:val="24"/>
        </w:rPr>
        <w:t>, todas ellas con subidas también.</w:t>
      </w:r>
    </w:p>
    <w:p w14:paraId="6B8F00C6" w14:textId="77777777" w:rsidR="00F76BF8" w:rsidRDefault="00F76BF8" w:rsidP="00B40D9E">
      <w:pPr>
        <w:jc w:val="both"/>
        <w:rPr>
          <w:sz w:val="24"/>
          <w:szCs w:val="24"/>
        </w:rPr>
      </w:pPr>
    </w:p>
    <w:p w14:paraId="7D9CF73F" w14:textId="3790C27E" w:rsidR="00CE1946" w:rsidRPr="00F76BF8" w:rsidRDefault="00C82FE2" w:rsidP="00B40D9E">
      <w:pPr>
        <w:jc w:val="both"/>
        <w:rPr>
          <w:sz w:val="24"/>
          <w:szCs w:val="24"/>
        </w:rPr>
      </w:pPr>
      <w:r>
        <w:rPr>
          <w:b/>
          <w:bCs/>
          <w:color w:val="FF5A00"/>
          <w:sz w:val="24"/>
          <w:szCs w:val="24"/>
        </w:rPr>
        <w:t xml:space="preserve">A NIVEL NACIONAL </w:t>
      </w:r>
      <w:r w:rsidR="00C952E5">
        <w:rPr>
          <w:b/>
          <w:bCs/>
          <w:color w:val="FF5A00"/>
          <w:sz w:val="24"/>
          <w:szCs w:val="24"/>
        </w:rPr>
        <w:t>CRECE LA PRESIÓN DE LA DEMANDA</w:t>
      </w:r>
      <w:r w:rsidR="00454C23">
        <w:rPr>
          <w:b/>
          <w:bCs/>
          <w:color w:val="FF5A00"/>
          <w:sz w:val="24"/>
          <w:szCs w:val="24"/>
        </w:rPr>
        <w:t xml:space="preserve"> PESE AL </w:t>
      </w:r>
      <w:r w:rsidR="00C10193">
        <w:rPr>
          <w:b/>
          <w:bCs/>
          <w:color w:val="FF5A00"/>
          <w:sz w:val="24"/>
          <w:szCs w:val="24"/>
        </w:rPr>
        <w:t xml:space="preserve">LIGERO </w:t>
      </w:r>
      <w:r w:rsidR="00454C23">
        <w:rPr>
          <w:b/>
          <w:bCs/>
          <w:color w:val="FF5A00"/>
          <w:sz w:val="24"/>
          <w:szCs w:val="24"/>
        </w:rPr>
        <w:t>AUMENTO DE LA OFERTA</w:t>
      </w:r>
    </w:p>
    <w:p w14:paraId="3BFA2C9F" w14:textId="463032C3" w:rsidR="001024E3" w:rsidRDefault="007C3466" w:rsidP="00B40D9E">
      <w:pPr>
        <w:jc w:val="both"/>
        <w:rPr>
          <w:sz w:val="24"/>
          <w:szCs w:val="24"/>
        </w:rPr>
      </w:pPr>
      <w:r>
        <w:rPr>
          <w:sz w:val="24"/>
          <w:szCs w:val="24"/>
        </w:rPr>
        <w:t>La presión de la demanda crece en prácticamente todas las provincias del país.</w:t>
      </w:r>
      <w:r w:rsidR="00DC29F7">
        <w:rPr>
          <w:sz w:val="24"/>
          <w:szCs w:val="24"/>
        </w:rPr>
        <w:t xml:space="preserve"> Para calcular esta </w:t>
      </w:r>
      <w:r w:rsidR="00861F53">
        <w:rPr>
          <w:sz w:val="24"/>
          <w:szCs w:val="24"/>
        </w:rPr>
        <w:t>magnitud</w:t>
      </w:r>
      <w:r w:rsidR="00DC29F7">
        <w:rPr>
          <w:sz w:val="24"/>
          <w:szCs w:val="24"/>
        </w:rPr>
        <w:t>, el Observatorio del Alquiler rastrea la media de contactos que recibe una oferta de vivienda en alquiler en un plazo de diez días y los clasifica en zonas de presión normal (de 1 a 15 contactos), en riesgo (de 15 a 30), elevada (de 30 a 45), alta (de 45 a 60), muy alta (de 60 a 75) y fuera de rango (más de 75).</w:t>
      </w:r>
    </w:p>
    <w:p w14:paraId="057A36D1" w14:textId="36FFAD2B" w:rsidR="008A2CD3" w:rsidRDefault="00F50748" w:rsidP="00B40D9E">
      <w:pPr>
        <w:jc w:val="both"/>
        <w:rPr>
          <w:sz w:val="24"/>
          <w:szCs w:val="24"/>
        </w:rPr>
      </w:pPr>
      <w:r w:rsidRPr="007B474A">
        <w:rPr>
          <w:sz w:val="24"/>
          <w:szCs w:val="24"/>
        </w:rPr>
        <w:t>A nivel nacional,</w:t>
      </w:r>
      <w:r w:rsidRPr="00794E91">
        <w:rPr>
          <w:b/>
          <w:bCs/>
          <w:sz w:val="24"/>
          <w:szCs w:val="24"/>
        </w:rPr>
        <w:t xml:space="preserve"> </w:t>
      </w:r>
      <w:r w:rsidR="00C15F79" w:rsidRPr="00794E91">
        <w:rPr>
          <w:b/>
          <w:bCs/>
          <w:sz w:val="24"/>
          <w:szCs w:val="24"/>
        </w:rPr>
        <w:t>115 personas se interesan por cada vivienda</w:t>
      </w:r>
      <w:r w:rsidR="00C15F79">
        <w:rPr>
          <w:sz w:val="24"/>
          <w:szCs w:val="24"/>
        </w:rPr>
        <w:t xml:space="preserve"> que sale al mercado del alquiler en diez días. </w:t>
      </w:r>
      <w:r w:rsidR="00D649D5">
        <w:rPr>
          <w:sz w:val="24"/>
          <w:szCs w:val="24"/>
        </w:rPr>
        <w:t xml:space="preserve">La presión se ha disparado desde los 50 contactos que había en el primer trimestre del año, considerada presión </w:t>
      </w:r>
      <w:r w:rsidR="0006087E">
        <w:rPr>
          <w:sz w:val="24"/>
          <w:szCs w:val="24"/>
        </w:rPr>
        <w:t xml:space="preserve">alta, </w:t>
      </w:r>
      <w:r w:rsidR="00C20F5E">
        <w:rPr>
          <w:sz w:val="24"/>
          <w:szCs w:val="24"/>
        </w:rPr>
        <w:t>para salirse del rango establecido por el Observatorio</w:t>
      </w:r>
      <w:r w:rsidR="00965C30">
        <w:rPr>
          <w:sz w:val="24"/>
          <w:szCs w:val="24"/>
        </w:rPr>
        <w:t xml:space="preserve"> del Alquiler</w:t>
      </w:r>
      <w:r w:rsidR="00C20F5E">
        <w:rPr>
          <w:sz w:val="24"/>
          <w:szCs w:val="24"/>
        </w:rPr>
        <w:t xml:space="preserve">. Se consolida así una tendencia </w:t>
      </w:r>
      <w:r w:rsidR="00353BDD">
        <w:rPr>
          <w:sz w:val="24"/>
          <w:szCs w:val="24"/>
        </w:rPr>
        <w:t>continuada de crecimiento en los últimos cinco años. En 2019, la presión nacional era de 16.</w:t>
      </w:r>
    </w:p>
    <w:p w14:paraId="72C9B03B" w14:textId="4F2F7910" w:rsidR="00353BDD" w:rsidRDefault="00903FA5" w:rsidP="00B40D9E">
      <w:pPr>
        <w:jc w:val="both"/>
        <w:rPr>
          <w:sz w:val="24"/>
          <w:szCs w:val="24"/>
        </w:rPr>
      </w:pPr>
      <w:r>
        <w:rPr>
          <w:sz w:val="24"/>
          <w:szCs w:val="24"/>
        </w:rPr>
        <w:t>Este dato demuestra lo que ha sucedido también a nivel provincial</w:t>
      </w:r>
      <w:r w:rsidR="0078503A">
        <w:rPr>
          <w:sz w:val="24"/>
          <w:szCs w:val="24"/>
        </w:rPr>
        <w:t xml:space="preserve">. </w:t>
      </w:r>
      <w:r w:rsidR="00CD5131">
        <w:rPr>
          <w:sz w:val="24"/>
          <w:szCs w:val="24"/>
        </w:rPr>
        <w:t xml:space="preserve">La mayoría de </w:t>
      </w:r>
      <w:proofErr w:type="gramStart"/>
      <w:r w:rsidR="00CD5131">
        <w:rPr>
          <w:sz w:val="24"/>
          <w:szCs w:val="24"/>
        </w:rPr>
        <w:t>provincias</w:t>
      </w:r>
      <w:proofErr w:type="gramEnd"/>
      <w:r w:rsidR="00CD5131">
        <w:rPr>
          <w:sz w:val="24"/>
          <w:szCs w:val="24"/>
        </w:rPr>
        <w:t xml:space="preserve"> </w:t>
      </w:r>
      <w:r w:rsidR="006D358D">
        <w:rPr>
          <w:sz w:val="24"/>
          <w:szCs w:val="24"/>
        </w:rPr>
        <w:t xml:space="preserve">ha experimentado subidas de presión, en algunos casos, de gran fuerza. </w:t>
      </w:r>
      <w:r w:rsidR="00CD683C">
        <w:rPr>
          <w:sz w:val="24"/>
          <w:szCs w:val="24"/>
        </w:rPr>
        <w:t xml:space="preserve">Barcelona destaca muy por encima de todas. </w:t>
      </w:r>
      <w:r w:rsidR="005E4273">
        <w:rPr>
          <w:sz w:val="24"/>
          <w:szCs w:val="24"/>
        </w:rPr>
        <w:t xml:space="preserve">Le siguen Vizcaya (168), Valencia (138), Alicante (116), </w:t>
      </w:r>
      <w:r w:rsidR="006322DF">
        <w:rPr>
          <w:sz w:val="24"/>
          <w:szCs w:val="24"/>
        </w:rPr>
        <w:t>Santa Cruz de Tenerife (109), Baleares (102), Madrid (102), Tarragona (99)</w:t>
      </w:r>
      <w:r w:rsidR="00A57B4B">
        <w:rPr>
          <w:sz w:val="24"/>
          <w:szCs w:val="24"/>
        </w:rPr>
        <w:t>, Las Palmas (84)</w:t>
      </w:r>
      <w:r w:rsidR="00CD683C">
        <w:rPr>
          <w:sz w:val="24"/>
          <w:szCs w:val="24"/>
        </w:rPr>
        <w:t xml:space="preserve"> y</w:t>
      </w:r>
      <w:r w:rsidR="00A57B4B">
        <w:rPr>
          <w:sz w:val="24"/>
          <w:szCs w:val="24"/>
        </w:rPr>
        <w:t xml:space="preserve"> Guipúzcoa (84)</w:t>
      </w:r>
      <w:r w:rsidR="00CD683C">
        <w:rPr>
          <w:sz w:val="24"/>
          <w:szCs w:val="24"/>
        </w:rPr>
        <w:t>.</w:t>
      </w:r>
    </w:p>
    <w:p w14:paraId="0C2B1FB0" w14:textId="209C2D7B" w:rsidR="003D3F94" w:rsidRDefault="003D3F94" w:rsidP="00B40D9E">
      <w:pPr>
        <w:jc w:val="both"/>
        <w:rPr>
          <w:sz w:val="24"/>
          <w:szCs w:val="24"/>
        </w:rPr>
      </w:pPr>
      <w:r>
        <w:rPr>
          <w:sz w:val="24"/>
          <w:szCs w:val="24"/>
        </w:rPr>
        <w:t>Esto ha sucedido a pesar de que la oferta de vivienda disponible ha dado un respiro este</w:t>
      </w:r>
      <w:r w:rsidR="00470DDD">
        <w:rPr>
          <w:sz w:val="24"/>
          <w:szCs w:val="24"/>
        </w:rPr>
        <w:t xml:space="preserve"> trimestre,</w:t>
      </w:r>
      <w:r w:rsidR="003478F8">
        <w:rPr>
          <w:sz w:val="24"/>
          <w:szCs w:val="24"/>
        </w:rPr>
        <w:t xml:space="preserve"> gracias a un </w:t>
      </w:r>
      <w:r w:rsidR="003478F8" w:rsidRPr="00794E91">
        <w:rPr>
          <w:b/>
          <w:bCs/>
          <w:sz w:val="24"/>
          <w:szCs w:val="24"/>
        </w:rPr>
        <w:t xml:space="preserve">aumento </w:t>
      </w:r>
      <w:r w:rsidR="004805D2" w:rsidRPr="00794E91">
        <w:rPr>
          <w:b/>
          <w:bCs/>
          <w:sz w:val="24"/>
          <w:szCs w:val="24"/>
        </w:rPr>
        <w:t>en</w:t>
      </w:r>
      <w:r w:rsidR="00262ADF" w:rsidRPr="00794E91">
        <w:rPr>
          <w:b/>
          <w:bCs/>
          <w:sz w:val="24"/>
          <w:szCs w:val="24"/>
        </w:rPr>
        <w:t xml:space="preserve"> unos 8.000 inmuebles</w:t>
      </w:r>
      <w:r w:rsidR="00262ADF">
        <w:rPr>
          <w:sz w:val="24"/>
          <w:szCs w:val="24"/>
        </w:rPr>
        <w:t xml:space="preserve">. </w:t>
      </w:r>
      <w:r w:rsidR="004A46DC">
        <w:rPr>
          <w:sz w:val="24"/>
          <w:szCs w:val="24"/>
        </w:rPr>
        <w:t xml:space="preserve">La oferta </w:t>
      </w:r>
      <w:r w:rsidR="00FE77C7">
        <w:rPr>
          <w:sz w:val="24"/>
          <w:szCs w:val="24"/>
        </w:rPr>
        <w:t>total en el segundo trimestre de 2024 asciende a 762.354 viviendas</w:t>
      </w:r>
      <w:r w:rsidR="00A572AA">
        <w:rPr>
          <w:sz w:val="24"/>
          <w:szCs w:val="24"/>
        </w:rPr>
        <w:t>, una cifra que, pese a la ligera recuperación, s</w:t>
      </w:r>
      <w:r w:rsidR="00366032">
        <w:rPr>
          <w:sz w:val="24"/>
          <w:szCs w:val="24"/>
        </w:rPr>
        <w:t xml:space="preserve">upone </w:t>
      </w:r>
      <w:r w:rsidR="00366032" w:rsidRPr="007B474A">
        <w:rPr>
          <w:b/>
          <w:bCs/>
          <w:sz w:val="24"/>
          <w:szCs w:val="24"/>
        </w:rPr>
        <w:t xml:space="preserve">una merma de </w:t>
      </w:r>
      <w:r w:rsidR="004805D2" w:rsidRPr="007B474A">
        <w:rPr>
          <w:b/>
          <w:bCs/>
          <w:sz w:val="24"/>
          <w:szCs w:val="24"/>
        </w:rPr>
        <w:t xml:space="preserve">más de 50.000 con respecto a </w:t>
      </w:r>
      <w:r w:rsidR="006F4936" w:rsidRPr="007B474A">
        <w:rPr>
          <w:b/>
          <w:bCs/>
          <w:sz w:val="24"/>
          <w:szCs w:val="24"/>
        </w:rPr>
        <w:t>2023</w:t>
      </w:r>
      <w:r w:rsidR="006F4936">
        <w:rPr>
          <w:sz w:val="24"/>
          <w:szCs w:val="24"/>
        </w:rPr>
        <w:t>, que ya marcó un mínimo frente a los años anteriores.</w:t>
      </w:r>
    </w:p>
    <w:p w14:paraId="549CE8B2" w14:textId="22C621D5" w:rsidR="00143687" w:rsidRDefault="0006745E" w:rsidP="008B27C4">
      <w:pPr>
        <w:jc w:val="both"/>
        <w:rPr>
          <w:sz w:val="24"/>
          <w:szCs w:val="24"/>
        </w:rPr>
      </w:pPr>
      <w:r>
        <w:rPr>
          <w:sz w:val="24"/>
          <w:szCs w:val="24"/>
        </w:rPr>
        <w:t>“Pese a que la oferta ha subido con respecto al primer trimestre, los datos demuestran que es insuficiente</w:t>
      </w:r>
      <w:r w:rsidR="00EA14C7">
        <w:rPr>
          <w:sz w:val="24"/>
          <w:szCs w:val="24"/>
        </w:rPr>
        <w:t xml:space="preserve">. </w:t>
      </w:r>
      <w:r w:rsidR="00486615">
        <w:rPr>
          <w:sz w:val="24"/>
          <w:szCs w:val="24"/>
        </w:rPr>
        <w:t xml:space="preserve">La población sigue creciendo en las grandes ciudades, especialmente Madrid y Barcelona, </w:t>
      </w:r>
      <w:r w:rsidR="00FF28E7">
        <w:rPr>
          <w:sz w:val="24"/>
          <w:szCs w:val="24"/>
        </w:rPr>
        <w:t xml:space="preserve">lo que hace que la demanda no deje de crecer”, </w:t>
      </w:r>
      <w:r w:rsidR="00D072BE">
        <w:rPr>
          <w:sz w:val="24"/>
          <w:szCs w:val="24"/>
        </w:rPr>
        <w:t>indica</w:t>
      </w:r>
      <w:r w:rsidR="00FF28E7">
        <w:rPr>
          <w:sz w:val="24"/>
          <w:szCs w:val="24"/>
        </w:rPr>
        <w:t xml:space="preserve"> Sergio Cardona</w:t>
      </w:r>
      <w:r w:rsidR="004D7D08">
        <w:rPr>
          <w:sz w:val="24"/>
          <w:szCs w:val="24"/>
        </w:rPr>
        <w:t>.</w:t>
      </w:r>
    </w:p>
    <w:p w14:paraId="75851BAF" w14:textId="77777777" w:rsidR="00BA1135" w:rsidRDefault="00BA1135" w:rsidP="008B27C4">
      <w:pPr>
        <w:jc w:val="both"/>
        <w:rPr>
          <w:sz w:val="24"/>
          <w:szCs w:val="24"/>
        </w:rPr>
      </w:pPr>
    </w:p>
    <w:p w14:paraId="351379F3" w14:textId="3BBE8D3C" w:rsidR="00143687" w:rsidRPr="00AB3660" w:rsidRDefault="009D3913" w:rsidP="008B27C4">
      <w:pPr>
        <w:jc w:val="both"/>
        <w:rPr>
          <w:b/>
          <w:bCs/>
          <w:color w:val="FF5A00"/>
          <w:sz w:val="24"/>
          <w:szCs w:val="24"/>
        </w:rPr>
      </w:pPr>
      <w:r>
        <w:rPr>
          <w:b/>
          <w:bCs/>
          <w:color w:val="FF5A00"/>
          <w:sz w:val="24"/>
          <w:szCs w:val="24"/>
        </w:rPr>
        <w:lastRenderedPageBreak/>
        <w:t>PRECIOS POR ENCIMA DE LOS 1.000 EUROS</w:t>
      </w:r>
    </w:p>
    <w:p w14:paraId="7331F505" w14:textId="13243D8E" w:rsidR="0066082E" w:rsidRDefault="00142D20" w:rsidP="008B27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precio de los alquileres </w:t>
      </w:r>
      <w:r w:rsidR="000C55D4">
        <w:rPr>
          <w:sz w:val="24"/>
          <w:szCs w:val="24"/>
        </w:rPr>
        <w:t xml:space="preserve">sigue con la tendencia al alza y marca su </w:t>
      </w:r>
      <w:r w:rsidR="000C55D4" w:rsidRPr="007B474A">
        <w:rPr>
          <w:b/>
          <w:bCs/>
          <w:sz w:val="24"/>
          <w:szCs w:val="24"/>
        </w:rPr>
        <w:t>máximo</w:t>
      </w:r>
      <w:r w:rsidR="000C55D4">
        <w:rPr>
          <w:sz w:val="24"/>
          <w:szCs w:val="24"/>
        </w:rPr>
        <w:t xml:space="preserve"> en</w:t>
      </w:r>
      <w:r w:rsidR="00064D17">
        <w:rPr>
          <w:sz w:val="24"/>
          <w:szCs w:val="24"/>
        </w:rPr>
        <w:t xml:space="preserve"> el segundo trimestre de 2024. Como sucede desde </w:t>
      </w:r>
      <w:r w:rsidR="00D2659E">
        <w:rPr>
          <w:sz w:val="24"/>
          <w:szCs w:val="24"/>
        </w:rPr>
        <w:t xml:space="preserve">2023, el precio a nivel nacional se sitúa por encima de los mil euros, y alcanza en el periodo analizado los </w:t>
      </w:r>
      <w:r w:rsidR="00D2659E" w:rsidRPr="007B474A">
        <w:rPr>
          <w:b/>
          <w:bCs/>
          <w:sz w:val="24"/>
          <w:szCs w:val="24"/>
        </w:rPr>
        <w:t>1.106</w:t>
      </w:r>
      <w:r w:rsidR="00D02FAD" w:rsidRPr="007B474A">
        <w:rPr>
          <w:b/>
          <w:bCs/>
          <w:sz w:val="24"/>
          <w:szCs w:val="24"/>
        </w:rPr>
        <w:t>€</w:t>
      </w:r>
      <w:r w:rsidR="00D02FAD">
        <w:rPr>
          <w:sz w:val="24"/>
          <w:szCs w:val="24"/>
        </w:rPr>
        <w:t xml:space="preserve">. Las diferencias entre los distintos territorios son muy marcadas. Así, mientras que </w:t>
      </w:r>
      <w:r w:rsidR="00FC2EF4">
        <w:rPr>
          <w:sz w:val="24"/>
          <w:szCs w:val="24"/>
        </w:rPr>
        <w:t>comunidades autónomas como Islas Baleares superan los 1.600 euros, otras</w:t>
      </w:r>
      <w:r w:rsidR="00697240">
        <w:rPr>
          <w:sz w:val="24"/>
          <w:szCs w:val="24"/>
        </w:rPr>
        <w:t>, como Extremadura no llegan a los 560€.</w:t>
      </w:r>
    </w:p>
    <w:p w14:paraId="4F3733B0" w14:textId="48AE5DF9" w:rsidR="00697240" w:rsidRDefault="00651368" w:rsidP="008B27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total de </w:t>
      </w:r>
      <w:r w:rsidRPr="007B474A">
        <w:rPr>
          <w:b/>
          <w:bCs/>
          <w:sz w:val="24"/>
          <w:szCs w:val="24"/>
        </w:rPr>
        <w:t>9 provincias superan ya la barrera de los 1.000 euros</w:t>
      </w:r>
      <w:r w:rsidR="00BE556D">
        <w:rPr>
          <w:sz w:val="24"/>
          <w:szCs w:val="24"/>
        </w:rPr>
        <w:t>, encabezadas por Baleares (1.602€), Barcelona (</w:t>
      </w:r>
      <w:r w:rsidR="002F27B5">
        <w:rPr>
          <w:sz w:val="24"/>
          <w:szCs w:val="24"/>
        </w:rPr>
        <w:t xml:space="preserve">1.598€), Madrid (1.497€) y </w:t>
      </w:r>
      <w:r w:rsidR="002A041C">
        <w:rPr>
          <w:sz w:val="24"/>
          <w:szCs w:val="24"/>
        </w:rPr>
        <w:t xml:space="preserve">Vizcaya (1.421€). </w:t>
      </w:r>
      <w:r w:rsidR="004E5908">
        <w:rPr>
          <w:sz w:val="24"/>
          <w:szCs w:val="24"/>
        </w:rPr>
        <w:t>Les siguen Guipúzcoa (1.224€), Málaga (1.189€), Las Palmas (</w:t>
      </w:r>
      <w:r w:rsidR="00056DCC">
        <w:rPr>
          <w:sz w:val="24"/>
          <w:szCs w:val="24"/>
        </w:rPr>
        <w:t xml:space="preserve">1.075€), Valencia (1.039€) y </w:t>
      </w:r>
      <w:r w:rsidR="00AB3660">
        <w:rPr>
          <w:sz w:val="24"/>
          <w:szCs w:val="24"/>
        </w:rPr>
        <w:t>Santa Cruz de Tenerife (1.037€).</w:t>
      </w:r>
    </w:p>
    <w:p w14:paraId="693B4F6B" w14:textId="77777777" w:rsidR="009A64AB" w:rsidRDefault="009A64AB" w:rsidP="008B27C4">
      <w:pPr>
        <w:jc w:val="both"/>
        <w:rPr>
          <w:sz w:val="24"/>
          <w:szCs w:val="24"/>
        </w:rPr>
      </w:pPr>
    </w:p>
    <w:p w14:paraId="171305EF" w14:textId="1EB85D64" w:rsidR="00143687" w:rsidRPr="00D73F16" w:rsidRDefault="002E7A37" w:rsidP="00D73F16">
      <w:pPr>
        <w:jc w:val="center"/>
        <w:rPr>
          <w:b/>
          <w:bCs/>
          <w:sz w:val="24"/>
          <w:szCs w:val="24"/>
        </w:rPr>
      </w:pPr>
      <w:r w:rsidRPr="005A6259">
        <w:rPr>
          <w:b/>
          <w:bCs/>
          <w:sz w:val="24"/>
          <w:szCs w:val="24"/>
        </w:rPr>
        <w:t xml:space="preserve">Gráfico 2. </w:t>
      </w:r>
      <w:r w:rsidR="005A6259" w:rsidRPr="005A6259">
        <w:rPr>
          <w:b/>
          <w:bCs/>
          <w:sz w:val="24"/>
          <w:szCs w:val="24"/>
        </w:rPr>
        <w:t>Precio medio del alquiler por provincias.</w:t>
      </w:r>
    </w:p>
    <w:p w14:paraId="612D9CE7" w14:textId="62E14AB9" w:rsidR="007E67E8" w:rsidRDefault="007E67E8" w:rsidP="008B27C4">
      <w:pPr>
        <w:jc w:val="both"/>
        <w:rPr>
          <w:sz w:val="24"/>
          <w:szCs w:val="24"/>
        </w:rPr>
      </w:pPr>
      <w:r w:rsidRPr="007E67E8">
        <w:rPr>
          <w:noProof/>
          <w:sz w:val="24"/>
          <w:szCs w:val="24"/>
        </w:rPr>
        <w:drawing>
          <wp:inline distT="0" distB="0" distL="0" distR="0" wp14:anchorId="25708756" wp14:editId="15495898">
            <wp:extent cx="5400040" cy="4617085"/>
            <wp:effectExtent l="0" t="0" r="0" b="0"/>
            <wp:docPr id="904121323" name="Imagen 4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21323" name="Imagen 4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8896B" w14:textId="77777777" w:rsidR="00143687" w:rsidRPr="004403D0" w:rsidRDefault="00143687" w:rsidP="008B27C4">
      <w:pPr>
        <w:jc w:val="both"/>
        <w:rPr>
          <w:sz w:val="24"/>
          <w:szCs w:val="24"/>
        </w:rPr>
      </w:pPr>
    </w:p>
    <w:p w14:paraId="790F807C" w14:textId="77777777" w:rsidR="00EB64F5" w:rsidRPr="00AC1A9D" w:rsidRDefault="00EB64F5" w:rsidP="00EB64F5">
      <w:pPr>
        <w:pBdr>
          <w:top w:val="single" w:sz="4" w:space="1" w:color="FF5A00"/>
        </w:pBdr>
        <w:jc w:val="both"/>
        <w:rPr>
          <w:rFonts w:ascii="Gill Sans Nova Light" w:hAnsi="Gill Sans Nova Light" w:cs="Arial"/>
          <w:color w:val="FF5A00"/>
          <w:sz w:val="20"/>
        </w:rPr>
      </w:pPr>
      <w:bookmarkStart w:id="0" w:name="_Hlk113896170"/>
      <w:r w:rsidRPr="00AC1A9D">
        <w:rPr>
          <w:rFonts w:ascii="Gill Sans Nova Light" w:hAnsi="Gill Sans Nova Light" w:cs="Arial"/>
          <w:sz w:val="20"/>
          <w:lang w:val="pt-PT"/>
        </w:rPr>
        <w:lastRenderedPageBreak/>
        <w:t>Acerca de la</w:t>
      </w:r>
      <w:r w:rsidRPr="00AC1A9D">
        <w:rPr>
          <w:rFonts w:ascii="Gill Sans Nova Light" w:hAnsi="Gill Sans Nova Light" w:cs="Arial"/>
          <w:b/>
          <w:color w:val="1E6BAF"/>
          <w:sz w:val="20"/>
          <w:lang w:val="pt-PT"/>
        </w:rPr>
        <w:t xml:space="preserve"> </w:t>
      </w:r>
      <w:r w:rsidRPr="00AC1A9D">
        <w:rPr>
          <w:rFonts w:ascii="Gill Sans Nova Light" w:hAnsi="Gill Sans Nova Light" w:cs="Arial"/>
          <w:b/>
          <w:color w:val="FF5A00"/>
          <w:sz w:val="20"/>
          <w:lang w:val="pt-PT"/>
        </w:rPr>
        <w:t>Fundación Alquiler Seguro</w:t>
      </w:r>
      <w:r w:rsidRPr="00AC1A9D">
        <w:rPr>
          <w:rFonts w:ascii="Gill Sans Nova Light" w:hAnsi="Gill Sans Nova Light" w:cs="Arial"/>
          <w:sz w:val="20"/>
          <w:lang w:val="pt-PT"/>
        </w:rPr>
        <w:t xml:space="preserve"> | </w:t>
      </w:r>
      <w:hyperlink r:id="rId13" w:history="1">
        <w:r w:rsidRPr="00AC1A9D">
          <w:rPr>
            <w:rStyle w:val="Hipervnculo"/>
            <w:rFonts w:ascii="Gill Sans Nova Light" w:hAnsi="Gill Sans Nova Light" w:cs="Arial"/>
            <w:color w:val="FF5A00"/>
            <w:sz w:val="20"/>
          </w:rPr>
          <w:t>fundacionalquilerseguro.org</w:t>
        </w:r>
      </w:hyperlink>
    </w:p>
    <w:p w14:paraId="62C10A75" w14:textId="77777777" w:rsidR="00EB64F5" w:rsidRPr="00AC1A9D" w:rsidRDefault="00EB64F5" w:rsidP="00EB64F5">
      <w:pPr>
        <w:pBdr>
          <w:top w:val="single" w:sz="4" w:space="1" w:color="FF5A00"/>
        </w:pBdr>
        <w:jc w:val="both"/>
        <w:rPr>
          <w:rFonts w:ascii="Gilroy-Regular" w:hAnsi="Gilroy-Regular" w:cs="Arial"/>
          <w:color w:val="000000"/>
          <w:sz w:val="18"/>
          <w:szCs w:val="18"/>
        </w:rPr>
      </w:pPr>
      <w:bookmarkStart w:id="1" w:name="_Hlk114649558"/>
      <w:bookmarkEnd w:id="0"/>
      <w:r w:rsidRPr="00AC1A9D">
        <w:rPr>
          <w:rFonts w:ascii="Gilroy-Regular" w:hAnsi="Gilroy-Regular" w:cs="Arial"/>
          <w:color w:val="000000"/>
          <w:sz w:val="18"/>
          <w:szCs w:val="18"/>
        </w:rPr>
        <w:t xml:space="preserve">El </w:t>
      </w:r>
      <w:r w:rsidRPr="00AC1A9D">
        <w:rPr>
          <w:rFonts w:ascii="Gilroy-Regular" w:hAnsi="Gilroy-Regular" w:cs="Arial"/>
          <w:color w:val="FF5A00"/>
          <w:sz w:val="18"/>
          <w:szCs w:val="18"/>
        </w:rPr>
        <w:t xml:space="preserve">Departamento de Estudios de la Fundación Alquiler Seguro </w:t>
      </w:r>
      <w:r w:rsidRPr="00AC1A9D">
        <w:rPr>
          <w:rFonts w:ascii="Gilroy-Regular" w:hAnsi="Gilroy-Regular" w:cs="Arial"/>
          <w:color w:val="000000"/>
          <w:sz w:val="18"/>
          <w:szCs w:val="18"/>
        </w:rPr>
        <w:t xml:space="preserve">cuenta con un profundo conocimiento </w:t>
      </w:r>
      <w:r>
        <w:rPr>
          <w:rFonts w:ascii="Gilroy-Regular" w:hAnsi="Gilroy-Regular" w:cs="Arial"/>
          <w:color w:val="000000"/>
          <w:sz w:val="18"/>
          <w:szCs w:val="18"/>
        </w:rPr>
        <w:t>en</w:t>
      </w:r>
      <w:r w:rsidRPr="00AC1A9D">
        <w:rPr>
          <w:rFonts w:ascii="Gilroy-Regular" w:hAnsi="Gilroy-Regular" w:cs="Arial"/>
          <w:color w:val="000000"/>
          <w:sz w:val="18"/>
          <w:szCs w:val="18"/>
        </w:rPr>
        <w:t xml:space="preserve"> el sector de los arrendamientos. Su principal objetivo es facilitar información y dotar de transparencia a un mercado tradicionalmente opaco para promover su desarrollo y profesionalización. La dilatada experiencia de Alquiler Seguro en el sector</w:t>
      </w:r>
      <w:r>
        <w:rPr>
          <w:rFonts w:ascii="Gilroy-Regular" w:hAnsi="Gilroy-Regular" w:cs="Arial"/>
          <w:color w:val="000000"/>
          <w:sz w:val="18"/>
          <w:szCs w:val="18"/>
        </w:rPr>
        <w:t>,</w:t>
      </w:r>
      <w:r w:rsidRPr="00AC1A9D">
        <w:rPr>
          <w:rFonts w:ascii="Gilroy-Regular" w:hAnsi="Gilroy-Regular" w:cs="Arial"/>
          <w:color w:val="000000"/>
          <w:sz w:val="18"/>
          <w:szCs w:val="18"/>
        </w:rPr>
        <w:t xml:space="preserve"> sumado a la consulta y análisis de datos propios y de fuentes externas, son las bases de los estudios del Departamento </w:t>
      </w:r>
      <w:proofErr w:type="gramStart"/>
      <w:r w:rsidRPr="00AC1A9D">
        <w:rPr>
          <w:rFonts w:ascii="Gilroy-Regular" w:hAnsi="Gilroy-Regular" w:cs="Arial"/>
          <w:color w:val="000000"/>
          <w:sz w:val="18"/>
          <w:szCs w:val="18"/>
        </w:rPr>
        <w:t>que</w:t>
      </w:r>
      <w:proofErr w:type="gramEnd"/>
      <w:r w:rsidRPr="00AC1A9D">
        <w:rPr>
          <w:rFonts w:ascii="Gilroy-Regular" w:hAnsi="Gilroy-Regular" w:cs="Arial"/>
          <w:color w:val="000000"/>
          <w:sz w:val="18"/>
          <w:szCs w:val="18"/>
        </w:rPr>
        <w:t xml:space="preserve"> de forma periódica</w:t>
      </w:r>
      <w:r>
        <w:rPr>
          <w:rFonts w:ascii="Gilroy-Regular" w:hAnsi="Gilroy-Regular" w:cs="Arial"/>
          <w:color w:val="000000"/>
          <w:sz w:val="18"/>
          <w:szCs w:val="18"/>
        </w:rPr>
        <w:t>,</w:t>
      </w:r>
      <w:r w:rsidRPr="00AC1A9D">
        <w:rPr>
          <w:rFonts w:ascii="Gilroy-Regular" w:hAnsi="Gilroy-Regular" w:cs="Arial"/>
          <w:color w:val="000000"/>
          <w:sz w:val="18"/>
          <w:szCs w:val="18"/>
        </w:rPr>
        <w:t xml:space="preserve"> publica documentos de interés para su consulta.</w:t>
      </w:r>
    </w:p>
    <w:bookmarkEnd w:id="1"/>
    <w:p w14:paraId="773CF853" w14:textId="31FAC066" w:rsidR="00EB64F5" w:rsidRDefault="00EB64F5" w:rsidP="004F1B47">
      <w:pPr>
        <w:pBdr>
          <w:top w:val="single" w:sz="4" w:space="1" w:color="FF5A00"/>
        </w:pBdr>
        <w:jc w:val="both"/>
        <w:rPr>
          <w:rFonts w:ascii="Gilroy-Regular" w:hAnsi="Gilroy-Regular" w:cs="Arial"/>
          <w:color w:val="000000"/>
          <w:sz w:val="18"/>
          <w:szCs w:val="18"/>
        </w:rPr>
      </w:pPr>
      <w:r w:rsidRPr="00AC1A9D">
        <w:rPr>
          <w:rFonts w:ascii="Gilroy-Regular" w:hAnsi="Gilroy-Regular" w:cs="Arial"/>
          <w:color w:val="FF5A00"/>
          <w:sz w:val="18"/>
          <w:szCs w:val="18"/>
        </w:rPr>
        <w:t xml:space="preserve">Fundación Alquiler Seguro </w:t>
      </w:r>
      <w:r w:rsidRPr="00AC1A9D">
        <w:rPr>
          <w:rFonts w:ascii="Gilroy-Regular" w:hAnsi="Gilroy-Regular" w:cs="Arial"/>
          <w:color w:val="000000"/>
          <w:sz w:val="18"/>
          <w:szCs w:val="18"/>
        </w:rPr>
        <w:t>tiene como objetivo integrar y gestionar todos los esfuerzos solidarios que Alquiler Seguro Grupo lleva realizando desde sus comienzos con especial sensibilidad en las soluciones habitacionales para personas en riesgo de exclusión social.</w:t>
      </w:r>
    </w:p>
    <w:p w14:paraId="4A454446" w14:textId="22CAF5C8" w:rsidR="00342807" w:rsidRDefault="00342807" w:rsidP="00342807">
      <w:pPr>
        <w:shd w:val="clear" w:color="auto" w:fill="FFFFFF"/>
        <w:spacing w:after="225" w:line="240" w:lineRule="auto"/>
        <w:jc w:val="right"/>
        <w:rPr>
          <w:rFonts w:ascii="Gilroy" w:eastAsia="Times New Roman" w:hAnsi="Gilroy" w:cs="Arial"/>
          <w:b/>
          <w:bCs/>
          <w:color w:val="A4A3A3"/>
          <w:sz w:val="28"/>
          <w:szCs w:val="32"/>
          <w:lang w:eastAsia="es-ES"/>
        </w:rPr>
      </w:pPr>
      <w:r>
        <w:rPr>
          <w:rFonts w:ascii="Gilroy" w:eastAsia="Times New Roman" w:hAnsi="Gilroy" w:cs="Arial"/>
          <w:b/>
          <w:bCs/>
          <w:color w:val="A4A3A3"/>
          <w:sz w:val="28"/>
          <w:szCs w:val="32"/>
          <w:lang w:eastAsia="es-ES"/>
        </w:rPr>
        <w:t>DEPARTAMENTO DE COMUNICACIÓN</w:t>
      </w:r>
    </w:p>
    <w:p w14:paraId="5E59166E" w14:textId="77777777" w:rsidR="00342807" w:rsidRDefault="00342807" w:rsidP="00342807">
      <w:pPr>
        <w:shd w:val="clear" w:color="auto" w:fill="FFFFFF"/>
        <w:spacing w:after="0" w:line="240" w:lineRule="auto"/>
        <w:jc w:val="right"/>
        <w:rPr>
          <w:rFonts w:ascii="Gilroy" w:eastAsia="Times New Roman" w:hAnsi="Gilroy" w:cs="Arial"/>
          <w:color w:val="A4A3A3"/>
          <w:sz w:val="28"/>
          <w:szCs w:val="32"/>
          <w:lang w:eastAsia="es-ES"/>
        </w:rPr>
      </w:pPr>
      <w:r>
        <w:rPr>
          <w:rFonts w:ascii="Gilroy" w:eastAsia="Times New Roman" w:hAnsi="Gilroy" w:cs="Arial"/>
          <w:color w:val="A4A3A3"/>
          <w:sz w:val="28"/>
          <w:szCs w:val="32"/>
          <w:lang w:eastAsia="es-ES"/>
        </w:rPr>
        <w:t>Gerardo Neistat 650 954 488</w:t>
      </w:r>
    </w:p>
    <w:p w14:paraId="1ABE7479" w14:textId="77777777" w:rsidR="00342807" w:rsidRDefault="00342807" w:rsidP="00342807">
      <w:pPr>
        <w:shd w:val="clear" w:color="auto" w:fill="FFFFFF"/>
        <w:spacing w:after="0" w:line="240" w:lineRule="auto"/>
        <w:jc w:val="right"/>
        <w:rPr>
          <w:rFonts w:ascii="Gilroy" w:eastAsia="Times New Roman" w:hAnsi="Gilroy" w:cs="Arial"/>
          <w:color w:val="A4A3A3"/>
          <w:sz w:val="28"/>
          <w:szCs w:val="32"/>
          <w:lang w:eastAsia="es-ES"/>
        </w:rPr>
      </w:pPr>
      <w:r>
        <w:rPr>
          <w:rFonts w:ascii="Gilroy" w:eastAsia="Times New Roman" w:hAnsi="Gilroy" w:cs="Arial"/>
          <w:color w:val="A4A3A3"/>
          <w:sz w:val="28"/>
          <w:szCs w:val="32"/>
          <w:lang w:eastAsia="es-ES"/>
        </w:rPr>
        <w:t>Jorge Matute 606 358 732</w:t>
      </w:r>
    </w:p>
    <w:p w14:paraId="594C9F02" w14:textId="60851D50" w:rsidR="00342807" w:rsidRDefault="00342807" w:rsidP="004F1B47">
      <w:pPr>
        <w:shd w:val="clear" w:color="auto" w:fill="FFFFFF"/>
        <w:spacing w:after="0" w:line="240" w:lineRule="auto"/>
        <w:jc w:val="right"/>
        <w:rPr>
          <w:rFonts w:ascii="Gilroy" w:eastAsia="Times New Roman" w:hAnsi="Gilroy" w:cs="Arial"/>
          <w:color w:val="A4A3A3"/>
          <w:sz w:val="28"/>
          <w:szCs w:val="32"/>
          <w:lang w:eastAsia="es-ES"/>
        </w:rPr>
      </w:pPr>
      <w:r>
        <w:rPr>
          <w:rFonts w:ascii="Gilroy" w:eastAsia="Times New Roman" w:hAnsi="Gilroy" w:cs="Arial"/>
          <w:color w:val="A4A3A3"/>
          <w:sz w:val="28"/>
          <w:szCs w:val="32"/>
          <w:lang w:eastAsia="es-ES"/>
        </w:rPr>
        <w:t xml:space="preserve">Lucas Tarancón </w:t>
      </w:r>
      <w:r w:rsidR="00CF4D7F">
        <w:rPr>
          <w:rFonts w:ascii="Gilroy" w:eastAsia="Times New Roman" w:hAnsi="Gilroy" w:cs="Arial"/>
          <w:color w:val="A4A3A3"/>
          <w:sz w:val="28"/>
          <w:szCs w:val="32"/>
          <w:lang w:eastAsia="es-ES"/>
        </w:rPr>
        <w:t xml:space="preserve">658 </w:t>
      </w:r>
      <w:r w:rsidR="00143687">
        <w:rPr>
          <w:rFonts w:ascii="Gilroy" w:eastAsia="Times New Roman" w:hAnsi="Gilroy" w:cs="Arial"/>
          <w:color w:val="A4A3A3"/>
          <w:sz w:val="28"/>
          <w:szCs w:val="32"/>
          <w:lang w:eastAsia="es-ES"/>
        </w:rPr>
        <w:t>157 488</w:t>
      </w:r>
    </w:p>
    <w:p w14:paraId="05C772DF" w14:textId="77777777" w:rsidR="004F1B47" w:rsidRDefault="004F1B47" w:rsidP="004F1B47">
      <w:pPr>
        <w:shd w:val="clear" w:color="auto" w:fill="FFFFFF"/>
        <w:spacing w:after="0" w:line="240" w:lineRule="auto"/>
        <w:jc w:val="right"/>
        <w:rPr>
          <w:rFonts w:ascii="Gilroy" w:eastAsia="Times New Roman" w:hAnsi="Gilroy" w:cs="Arial"/>
          <w:color w:val="A4A3A3"/>
          <w:sz w:val="28"/>
          <w:szCs w:val="32"/>
          <w:lang w:eastAsia="es-ES"/>
        </w:rPr>
      </w:pPr>
    </w:p>
    <w:p w14:paraId="5DB38013" w14:textId="338E0500" w:rsidR="00AA5C00" w:rsidRPr="004F1B47" w:rsidRDefault="002E0516" w:rsidP="004F1B47">
      <w:pPr>
        <w:shd w:val="clear" w:color="auto" w:fill="FFFFFF"/>
        <w:spacing w:after="225" w:line="240" w:lineRule="auto"/>
        <w:jc w:val="right"/>
        <w:rPr>
          <w:rFonts w:ascii="Gilroy Bold" w:hAnsi="Gilroy Bold"/>
          <w:color w:val="FF5100"/>
          <w:sz w:val="36"/>
          <w:szCs w:val="36"/>
        </w:rPr>
      </w:pPr>
      <w:r>
        <w:rPr>
          <w:rFonts w:ascii="Gilroy" w:eastAsia="Times New Roman" w:hAnsi="Gilroy" w:cs="Arial"/>
          <w:color w:val="A4A3A3"/>
          <w:sz w:val="28"/>
          <w:szCs w:val="32"/>
          <w:lang w:eastAsia="es-ES"/>
        </w:rPr>
        <w:t>noticias</w:t>
      </w:r>
      <w:r w:rsidR="00342807" w:rsidRPr="004F1B47">
        <w:rPr>
          <w:rFonts w:ascii="Gilroy" w:eastAsia="Times New Roman" w:hAnsi="Gilroy" w:cs="Arial"/>
          <w:color w:val="A4A3A3"/>
          <w:sz w:val="28"/>
          <w:szCs w:val="32"/>
          <w:lang w:eastAsia="es-ES"/>
        </w:rPr>
        <w:t>@</w:t>
      </w:r>
      <w:r>
        <w:rPr>
          <w:rFonts w:ascii="Gilroy" w:eastAsia="Times New Roman" w:hAnsi="Gilroy" w:cs="Arial"/>
          <w:color w:val="A4A3A3"/>
          <w:sz w:val="28"/>
          <w:szCs w:val="32"/>
          <w:lang w:eastAsia="es-ES"/>
        </w:rPr>
        <w:t>fundacion</w:t>
      </w:r>
      <w:r w:rsidR="00342807" w:rsidRPr="004F1B47">
        <w:rPr>
          <w:rFonts w:ascii="Gilroy" w:eastAsia="Times New Roman" w:hAnsi="Gilroy" w:cs="Arial"/>
          <w:color w:val="A4A3A3"/>
          <w:sz w:val="28"/>
          <w:szCs w:val="32"/>
          <w:lang w:eastAsia="es-ES"/>
        </w:rPr>
        <w:t>alquilerseguro.es</w:t>
      </w:r>
    </w:p>
    <w:sectPr w:rsidR="00AA5C00" w:rsidRPr="004F1B47" w:rsidSect="006607C9">
      <w:headerReference w:type="default" r:id="rId14"/>
      <w:footerReference w:type="default" r:id="rId15"/>
      <w:pgSz w:w="11906" w:h="16838"/>
      <w:pgMar w:top="2694" w:right="1701" w:bottom="1417" w:left="1701" w:header="708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A84CC0" w14:textId="77777777" w:rsidR="00E777EA" w:rsidRDefault="00E777EA" w:rsidP="0027186E">
      <w:pPr>
        <w:spacing w:after="0" w:line="240" w:lineRule="auto"/>
      </w:pPr>
      <w:r>
        <w:separator/>
      </w:r>
    </w:p>
  </w:endnote>
  <w:endnote w:type="continuationSeparator" w:id="0">
    <w:p w14:paraId="5E4E9A36" w14:textId="77777777" w:rsidR="00E777EA" w:rsidRDefault="00E777EA" w:rsidP="0027186E">
      <w:pPr>
        <w:spacing w:after="0" w:line="240" w:lineRule="auto"/>
      </w:pPr>
      <w:r>
        <w:continuationSeparator/>
      </w:r>
    </w:p>
  </w:endnote>
  <w:endnote w:type="continuationNotice" w:id="1">
    <w:p w14:paraId="0BEDB75F" w14:textId="77777777" w:rsidR="00E777EA" w:rsidRDefault="00E777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roy-Regular">
    <w:altName w:val="Calibri"/>
    <w:charset w:val="00"/>
    <w:family w:val="auto"/>
    <w:pitch w:val="variable"/>
    <w:sig w:usb0="00000207" w:usb1="00000000" w:usb2="00000000" w:usb3="00000000" w:csb0="00000097" w:csb1="00000000"/>
  </w:font>
  <w:font w:name="Gilroy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ilroy 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978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53"/>
      <w:gridCol w:w="222"/>
      <w:gridCol w:w="1566"/>
      <w:gridCol w:w="1461"/>
      <w:gridCol w:w="1608"/>
      <w:gridCol w:w="1417"/>
      <w:gridCol w:w="1355"/>
    </w:tblGrid>
    <w:tr w:rsidR="006607C9" w14:paraId="2418BA68" w14:textId="77777777" w:rsidTr="00F95C54">
      <w:trPr>
        <w:jc w:val="center"/>
      </w:trPr>
      <w:tc>
        <w:tcPr>
          <w:tcW w:w="2153" w:type="dxa"/>
        </w:tcPr>
        <w:p w14:paraId="3277FB1D" w14:textId="77777777" w:rsidR="006607C9" w:rsidRDefault="006607C9" w:rsidP="006607C9">
          <w:pPr>
            <w:pStyle w:val="Piedepgina"/>
            <w:tabs>
              <w:tab w:val="clear" w:pos="4252"/>
              <w:tab w:val="clear" w:pos="8504"/>
              <w:tab w:val="right" w:pos="3579"/>
            </w:tabs>
            <w:rPr>
              <w:noProof/>
            </w:rPr>
          </w:pPr>
          <w:r>
            <w:rPr>
              <w:noProof/>
            </w:rPr>
            <w:drawing>
              <wp:inline distT="0" distB="0" distL="0" distR="0" wp14:anchorId="63B3DD5A" wp14:editId="063FC108">
                <wp:extent cx="956347" cy="420370"/>
                <wp:effectExtent l="0" t="0" r="0" b="0"/>
                <wp:docPr id="999781710" name="Imagen 7" descr="Form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245542" name="Imagen 7" descr="Forma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126" cy="422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</w:tcPr>
        <w:p w14:paraId="3FE95982" w14:textId="77777777" w:rsidR="006607C9" w:rsidRDefault="006607C9" w:rsidP="006607C9">
          <w:pPr>
            <w:pStyle w:val="Piedepgina"/>
            <w:tabs>
              <w:tab w:val="clear" w:pos="4252"/>
              <w:tab w:val="clear" w:pos="8504"/>
              <w:tab w:val="right" w:pos="3579"/>
            </w:tabs>
            <w:jc w:val="center"/>
            <w:rPr>
              <w:noProof/>
            </w:rPr>
          </w:pPr>
        </w:p>
      </w:tc>
      <w:tc>
        <w:tcPr>
          <w:tcW w:w="1566" w:type="dxa"/>
          <w:vAlign w:val="center"/>
        </w:tcPr>
        <w:p w14:paraId="761B9F20" w14:textId="4AC53775" w:rsidR="006607C9" w:rsidRDefault="006607C9" w:rsidP="006607C9">
          <w:pPr>
            <w:pStyle w:val="Piedepgina"/>
            <w:tabs>
              <w:tab w:val="clear" w:pos="4252"/>
              <w:tab w:val="clear" w:pos="8504"/>
              <w:tab w:val="right" w:pos="3579"/>
            </w:tabs>
            <w:jc w:val="center"/>
          </w:pPr>
        </w:p>
      </w:tc>
      <w:tc>
        <w:tcPr>
          <w:tcW w:w="1461" w:type="dxa"/>
          <w:vAlign w:val="center"/>
        </w:tcPr>
        <w:p w14:paraId="1CB472BB" w14:textId="77777777" w:rsidR="006607C9" w:rsidRDefault="006607C9" w:rsidP="006607C9">
          <w:pPr>
            <w:pStyle w:val="Piedepgina"/>
            <w:tabs>
              <w:tab w:val="clear" w:pos="4252"/>
              <w:tab w:val="clear" w:pos="8504"/>
              <w:tab w:val="right" w:pos="3579"/>
            </w:tabs>
            <w:jc w:val="center"/>
          </w:pPr>
          <w:r>
            <w:rPr>
              <w:noProof/>
            </w:rPr>
            <w:drawing>
              <wp:inline distT="0" distB="0" distL="0" distR="0" wp14:anchorId="56396BE9" wp14:editId="73EDBA8F">
                <wp:extent cx="623059" cy="151795"/>
                <wp:effectExtent l="0" t="0" r="5715" b="635"/>
                <wp:docPr id="702516501" name="Imagen 702516501" descr="ST Sociedad de Tasación - SIMAEX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T Sociedad de Tasación - SIMAEX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4984" cy="1595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8" w:type="dxa"/>
          <w:vAlign w:val="center"/>
        </w:tcPr>
        <w:p w14:paraId="51A23D2F" w14:textId="77777777" w:rsidR="006607C9" w:rsidRDefault="006607C9" w:rsidP="006607C9">
          <w:pPr>
            <w:pStyle w:val="Piedepgina"/>
            <w:tabs>
              <w:tab w:val="clear" w:pos="4252"/>
              <w:tab w:val="clear" w:pos="8504"/>
              <w:tab w:val="right" w:pos="3579"/>
            </w:tabs>
            <w:jc w:val="center"/>
          </w:pPr>
          <w:r>
            <w:rPr>
              <w:noProof/>
            </w:rPr>
            <w:drawing>
              <wp:inline distT="0" distB="0" distL="0" distR="0" wp14:anchorId="021AF5E4" wp14:editId="5F57DBB5">
                <wp:extent cx="702945" cy="150487"/>
                <wp:effectExtent l="0" t="0" r="0" b="2540"/>
                <wp:docPr id="565121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2158" cy="154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vAlign w:val="center"/>
        </w:tcPr>
        <w:p w14:paraId="58121854" w14:textId="77777777" w:rsidR="006607C9" w:rsidRDefault="006607C9" w:rsidP="006607C9">
          <w:pPr>
            <w:pStyle w:val="Piedepgina"/>
            <w:tabs>
              <w:tab w:val="clear" w:pos="4252"/>
              <w:tab w:val="clear" w:pos="8504"/>
              <w:tab w:val="right" w:pos="3579"/>
            </w:tabs>
            <w:jc w:val="center"/>
          </w:pPr>
          <w:r>
            <w:rPr>
              <w:noProof/>
            </w:rPr>
            <w:drawing>
              <wp:inline distT="0" distB="0" distL="0" distR="0" wp14:anchorId="48948B38" wp14:editId="09616B89">
                <wp:extent cx="581028" cy="221274"/>
                <wp:effectExtent l="0" t="0" r="0" b="7620"/>
                <wp:docPr id="834090694" name="Imagen 5" descr="Form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516753" name="Imagen 5" descr="Form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2311" cy="236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5" w:type="dxa"/>
          <w:vAlign w:val="center"/>
        </w:tcPr>
        <w:p w14:paraId="493C29B4" w14:textId="77777777" w:rsidR="006607C9" w:rsidRDefault="006607C9" w:rsidP="006607C9">
          <w:pPr>
            <w:pStyle w:val="Piedepgina"/>
            <w:tabs>
              <w:tab w:val="clear" w:pos="4252"/>
              <w:tab w:val="clear" w:pos="8504"/>
              <w:tab w:val="right" w:pos="3579"/>
            </w:tabs>
            <w:jc w:val="center"/>
          </w:pPr>
          <w:r>
            <w:rPr>
              <w:noProof/>
            </w:rPr>
            <w:drawing>
              <wp:inline distT="0" distB="0" distL="0" distR="0" wp14:anchorId="73C6F6AF" wp14:editId="32F29A1A">
                <wp:extent cx="466670" cy="205623"/>
                <wp:effectExtent l="0" t="0" r="0" b="4445"/>
                <wp:docPr id="1013950254" name="Imagen 6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195002" name="Imagen 6" descr="Texto&#10;&#10;Descripción generada automáticamente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845" cy="21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B4057B" w14:textId="35C4678C" w:rsidR="003C5A23" w:rsidRDefault="003C5A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555D35" w14:textId="77777777" w:rsidR="00E777EA" w:rsidRDefault="00E777EA" w:rsidP="0027186E">
      <w:pPr>
        <w:spacing w:after="0" w:line="240" w:lineRule="auto"/>
      </w:pPr>
      <w:r>
        <w:separator/>
      </w:r>
    </w:p>
  </w:footnote>
  <w:footnote w:type="continuationSeparator" w:id="0">
    <w:p w14:paraId="099203DD" w14:textId="77777777" w:rsidR="00E777EA" w:rsidRDefault="00E777EA" w:rsidP="0027186E">
      <w:pPr>
        <w:spacing w:after="0" w:line="240" w:lineRule="auto"/>
      </w:pPr>
      <w:r>
        <w:continuationSeparator/>
      </w:r>
    </w:p>
  </w:footnote>
  <w:footnote w:type="continuationNotice" w:id="1">
    <w:p w14:paraId="53A7DE69" w14:textId="77777777" w:rsidR="00E777EA" w:rsidRDefault="00E777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949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11"/>
      <w:gridCol w:w="2701"/>
      <w:gridCol w:w="3386"/>
    </w:tblGrid>
    <w:tr w:rsidR="006607C9" w14:paraId="696226A8" w14:textId="77777777" w:rsidTr="006607C9">
      <w:trPr>
        <w:jc w:val="center"/>
      </w:trPr>
      <w:tc>
        <w:tcPr>
          <w:tcW w:w="3411" w:type="dxa"/>
          <w:vAlign w:val="center"/>
        </w:tcPr>
        <w:p w14:paraId="43BFDAC8" w14:textId="76D69F20" w:rsidR="006607C9" w:rsidRDefault="006607C9" w:rsidP="006607C9">
          <w:pPr>
            <w:pStyle w:val="Encabezado"/>
          </w:pPr>
          <w:r>
            <w:rPr>
              <w:noProof/>
            </w:rPr>
            <w:drawing>
              <wp:inline distT="0" distB="0" distL="0" distR="0" wp14:anchorId="7571F84F" wp14:editId="304FE384">
                <wp:extent cx="1755232" cy="771525"/>
                <wp:effectExtent l="0" t="0" r="0" b="0"/>
                <wp:docPr id="716422868" name="Imagen 3" descr="Form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422868" name="Imagen 3" descr="Forma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9073" cy="777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1" w:type="dxa"/>
          <w:vAlign w:val="center"/>
        </w:tcPr>
        <w:p w14:paraId="32391595" w14:textId="77777777" w:rsidR="006607C9" w:rsidRDefault="006607C9" w:rsidP="006607C9">
          <w:pPr>
            <w:pStyle w:val="Encabezado"/>
          </w:pPr>
        </w:p>
      </w:tc>
      <w:tc>
        <w:tcPr>
          <w:tcW w:w="3386" w:type="dxa"/>
          <w:vAlign w:val="center"/>
        </w:tcPr>
        <w:p w14:paraId="52FDB052" w14:textId="17FD3EED" w:rsidR="006607C9" w:rsidRDefault="006607C9" w:rsidP="006607C9">
          <w:pPr>
            <w:pStyle w:val="Encabezado"/>
            <w:jc w:val="both"/>
          </w:pPr>
        </w:p>
      </w:tc>
    </w:tr>
  </w:tbl>
  <w:p w14:paraId="5D2F10A0" w14:textId="391CB732" w:rsidR="00E924DC" w:rsidRDefault="00E924DC">
    <w:pPr>
      <w:pStyle w:val="Encabezado"/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2D11AD"/>
    <w:multiLevelType w:val="hybridMultilevel"/>
    <w:tmpl w:val="1C3691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9723A"/>
    <w:multiLevelType w:val="hybridMultilevel"/>
    <w:tmpl w:val="B8B8F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F2FF2"/>
    <w:multiLevelType w:val="multilevel"/>
    <w:tmpl w:val="08BC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784DCE"/>
    <w:multiLevelType w:val="hybridMultilevel"/>
    <w:tmpl w:val="2EA002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7517D"/>
    <w:multiLevelType w:val="multilevel"/>
    <w:tmpl w:val="CBB09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2D4A57"/>
    <w:multiLevelType w:val="hybridMultilevel"/>
    <w:tmpl w:val="7944C4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6C280B"/>
    <w:multiLevelType w:val="multilevel"/>
    <w:tmpl w:val="D0562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7664A0"/>
    <w:multiLevelType w:val="multilevel"/>
    <w:tmpl w:val="1C38E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1965470">
    <w:abstractNumId w:val="5"/>
  </w:num>
  <w:num w:numId="2" w16cid:durableId="1134101751">
    <w:abstractNumId w:val="1"/>
  </w:num>
  <w:num w:numId="3" w16cid:durableId="1027607397">
    <w:abstractNumId w:val="3"/>
  </w:num>
  <w:num w:numId="4" w16cid:durableId="117383681">
    <w:abstractNumId w:val="0"/>
  </w:num>
  <w:num w:numId="5" w16cid:durableId="714112894">
    <w:abstractNumId w:val="2"/>
  </w:num>
  <w:num w:numId="6" w16cid:durableId="101999418">
    <w:abstractNumId w:val="4"/>
  </w:num>
  <w:num w:numId="7" w16cid:durableId="291593585">
    <w:abstractNumId w:val="6"/>
  </w:num>
  <w:num w:numId="8" w16cid:durableId="451817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EF1"/>
    <w:rsid w:val="00000337"/>
    <w:rsid w:val="00000B7D"/>
    <w:rsid w:val="00002619"/>
    <w:rsid w:val="000033C3"/>
    <w:rsid w:val="00004ACC"/>
    <w:rsid w:val="00005272"/>
    <w:rsid w:val="00005BA7"/>
    <w:rsid w:val="000079D1"/>
    <w:rsid w:val="00007A34"/>
    <w:rsid w:val="0001223E"/>
    <w:rsid w:val="00013D58"/>
    <w:rsid w:val="000154B3"/>
    <w:rsid w:val="00015A71"/>
    <w:rsid w:val="000169EA"/>
    <w:rsid w:val="00016A73"/>
    <w:rsid w:val="00021885"/>
    <w:rsid w:val="00023791"/>
    <w:rsid w:val="00024F0C"/>
    <w:rsid w:val="00024F77"/>
    <w:rsid w:val="00025FC4"/>
    <w:rsid w:val="00026B07"/>
    <w:rsid w:val="000270BE"/>
    <w:rsid w:val="0002766D"/>
    <w:rsid w:val="00032F1F"/>
    <w:rsid w:val="000347E6"/>
    <w:rsid w:val="00034F65"/>
    <w:rsid w:val="000535F9"/>
    <w:rsid w:val="000552C3"/>
    <w:rsid w:val="000560A9"/>
    <w:rsid w:val="00056DCC"/>
    <w:rsid w:val="0006087E"/>
    <w:rsid w:val="0006178E"/>
    <w:rsid w:val="000618AF"/>
    <w:rsid w:val="000631E0"/>
    <w:rsid w:val="0006433F"/>
    <w:rsid w:val="00064D17"/>
    <w:rsid w:val="00065530"/>
    <w:rsid w:val="000662EE"/>
    <w:rsid w:val="00066622"/>
    <w:rsid w:val="0006745E"/>
    <w:rsid w:val="00070DC8"/>
    <w:rsid w:val="00072068"/>
    <w:rsid w:val="0007304A"/>
    <w:rsid w:val="000744C1"/>
    <w:rsid w:val="00074966"/>
    <w:rsid w:val="000754FA"/>
    <w:rsid w:val="00080848"/>
    <w:rsid w:val="000820D5"/>
    <w:rsid w:val="000849CA"/>
    <w:rsid w:val="00085605"/>
    <w:rsid w:val="000858AC"/>
    <w:rsid w:val="00085B1F"/>
    <w:rsid w:val="00086FF3"/>
    <w:rsid w:val="000877C1"/>
    <w:rsid w:val="00090659"/>
    <w:rsid w:val="000907F4"/>
    <w:rsid w:val="0009119B"/>
    <w:rsid w:val="00093BC5"/>
    <w:rsid w:val="00093E3D"/>
    <w:rsid w:val="000959B2"/>
    <w:rsid w:val="00095A4A"/>
    <w:rsid w:val="00096D3F"/>
    <w:rsid w:val="000A7023"/>
    <w:rsid w:val="000A7F3E"/>
    <w:rsid w:val="000B0E19"/>
    <w:rsid w:val="000B1138"/>
    <w:rsid w:val="000B11D8"/>
    <w:rsid w:val="000B2615"/>
    <w:rsid w:val="000B60C6"/>
    <w:rsid w:val="000B68C2"/>
    <w:rsid w:val="000C2BA7"/>
    <w:rsid w:val="000C2D0D"/>
    <w:rsid w:val="000C55D4"/>
    <w:rsid w:val="000C6C18"/>
    <w:rsid w:val="000C73EB"/>
    <w:rsid w:val="000D05CC"/>
    <w:rsid w:val="000D21A3"/>
    <w:rsid w:val="000D34B3"/>
    <w:rsid w:val="000D42FF"/>
    <w:rsid w:val="000D560A"/>
    <w:rsid w:val="000E011F"/>
    <w:rsid w:val="000E2EF2"/>
    <w:rsid w:val="000E7587"/>
    <w:rsid w:val="000E78CF"/>
    <w:rsid w:val="001024E3"/>
    <w:rsid w:val="0010771E"/>
    <w:rsid w:val="00112050"/>
    <w:rsid w:val="00113273"/>
    <w:rsid w:val="00115A8D"/>
    <w:rsid w:val="00116F2E"/>
    <w:rsid w:val="00121349"/>
    <w:rsid w:val="00121D85"/>
    <w:rsid w:val="00122440"/>
    <w:rsid w:val="00124AA8"/>
    <w:rsid w:val="001253A2"/>
    <w:rsid w:val="0012607E"/>
    <w:rsid w:val="0013438A"/>
    <w:rsid w:val="001369DB"/>
    <w:rsid w:val="001370B5"/>
    <w:rsid w:val="00142D20"/>
    <w:rsid w:val="00143041"/>
    <w:rsid w:val="00143687"/>
    <w:rsid w:val="00147B98"/>
    <w:rsid w:val="00153434"/>
    <w:rsid w:val="0015395B"/>
    <w:rsid w:val="00153FC0"/>
    <w:rsid w:val="00154CB8"/>
    <w:rsid w:val="00160B72"/>
    <w:rsid w:val="00161BD6"/>
    <w:rsid w:val="00163566"/>
    <w:rsid w:val="001707B2"/>
    <w:rsid w:val="00170857"/>
    <w:rsid w:val="00171BE3"/>
    <w:rsid w:val="00173044"/>
    <w:rsid w:val="00173BA4"/>
    <w:rsid w:val="001769CD"/>
    <w:rsid w:val="00176B89"/>
    <w:rsid w:val="00176D6B"/>
    <w:rsid w:val="00176EFA"/>
    <w:rsid w:val="00181762"/>
    <w:rsid w:val="00182C7E"/>
    <w:rsid w:val="00183A22"/>
    <w:rsid w:val="00183E4C"/>
    <w:rsid w:val="00184B88"/>
    <w:rsid w:val="00184DE0"/>
    <w:rsid w:val="00185A52"/>
    <w:rsid w:val="0019004D"/>
    <w:rsid w:val="0019292F"/>
    <w:rsid w:val="001947E2"/>
    <w:rsid w:val="00195F4D"/>
    <w:rsid w:val="00196CDE"/>
    <w:rsid w:val="001A39B3"/>
    <w:rsid w:val="001A4A53"/>
    <w:rsid w:val="001A6E01"/>
    <w:rsid w:val="001B18D1"/>
    <w:rsid w:val="001B1EE3"/>
    <w:rsid w:val="001B22DE"/>
    <w:rsid w:val="001B6F2C"/>
    <w:rsid w:val="001B7422"/>
    <w:rsid w:val="001C0753"/>
    <w:rsid w:val="001C6E82"/>
    <w:rsid w:val="001D2C2E"/>
    <w:rsid w:val="001D3B43"/>
    <w:rsid w:val="001D5D35"/>
    <w:rsid w:val="001D6AE4"/>
    <w:rsid w:val="001D6E40"/>
    <w:rsid w:val="001D71F4"/>
    <w:rsid w:val="001D7453"/>
    <w:rsid w:val="001E10B0"/>
    <w:rsid w:val="001E29ED"/>
    <w:rsid w:val="001E472F"/>
    <w:rsid w:val="001E68A2"/>
    <w:rsid w:val="001E68EE"/>
    <w:rsid w:val="001E78C6"/>
    <w:rsid w:val="00200C9D"/>
    <w:rsid w:val="00201CE1"/>
    <w:rsid w:val="002068CE"/>
    <w:rsid w:val="0020772D"/>
    <w:rsid w:val="00207A73"/>
    <w:rsid w:val="0021402B"/>
    <w:rsid w:val="002148D2"/>
    <w:rsid w:val="00214FFA"/>
    <w:rsid w:val="002156EB"/>
    <w:rsid w:val="00215874"/>
    <w:rsid w:val="00215FCD"/>
    <w:rsid w:val="002173A4"/>
    <w:rsid w:val="00222282"/>
    <w:rsid w:val="002242C4"/>
    <w:rsid w:val="00226CD8"/>
    <w:rsid w:val="002329FC"/>
    <w:rsid w:val="00233BC6"/>
    <w:rsid w:val="00234087"/>
    <w:rsid w:val="0023602E"/>
    <w:rsid w:val="002360CB"/>
    <w:rsid w:val="0023670D"/>
    <w:rsid w:val="00236798"/>
    <w:rsid w:val="002415CB"/>
    <w:rsid w:val="002431B1"/>
    <w:rsid w:val="002433D1"/>
    <w:rsid w:val="0024379A"/>
    <w:rsid w:val="00245823"/>
    <w:rsid w:val="002462A2"/>
    <w:rsid w:val="0025118D"/>
    <w:rsid w:val="00252BBE"/>
    <w:rsid w:val="00262ADF"/>
    <w:rsid w:val="00267AE3"/>
    <w:rsid w:val="0027186E"/>
    <w:rsid w:val="00271FBC"/>
    <w:rsid w:val="0027272A"/>
    <w:rsid w:val="00272ABC"/>
    <w:rsid w:val="00272D00"/>
    <w:rsid w:val="00280273"/>
    <w:rsid w:val="00282B92"/>
    <w:rsid w:val="00291D81"/>
    <w:rsid w:val="00292794"/>
    <w:rsid w:val="00295D78"/>
    <w:rsid w:val="00297854"/>
    <w:rsid w:val="002A041C"/>
    <w:rsid w:val="002A0D76"/>
    <w:rsid w:val="002A2E07"/>
    <w:rsid w:val="002A630A"/>
    <w:rsid w:val="002A6494"/>
    <w:rsid w:val="002B0839"/>
    <w:rsid w:val="002B2A58"/>
    <w:rsid w:val="002B2AE9"/>
    <w:rsid w:val="002B2C83"/>
    <w:rsid w:val="002B407F"/>
    <w:rsid w:val="002B6B03"/>
    <w:rsid w:val="002C122E"/>
    <w:rsid w:val="002C1B98"/>
    <w:rsid w:val="002C3FE5"/>
    <w:rsid w:val="002C4EAD"/>
    <w:rsid w:val="002D0255"/>
    <w:rsid w:val="002D0C51"/>
    <w:rsid w:val="002D3436"/>
    <w:rsid w:val="002D57C0"/>
    <w:rsid w:val="002E0516"/>
    <w:rsid w:val="002E0C72"/>
    <w:rsid w:val="002E1304"/>
    <w:rsid w:val="002E7A37"/>
    <w:rsid w:val="002F1D22"/>
    <w:rsid w:val="002F27B5"/>
    <w:rsid w:val="002F2BAC"/>
    <w:rsid w:val="002F36DC"/>
    <w:rsid w:val="002F4B08"/>
    <w:rsid w:val="002F729B"/>
    <w:rsid w:val="002F7B22"/>
    <w:rsid w:val="003023B3"/>
    <w:rsid w:val="00304D18"/>
    <w:rsid w:val="00307DF1"/>
    <w:rsid w:val="00316C2C"/>
    <w:rsid w:val="00317B22"/>
    <w:rsid w:val="0032084B"/>
    <w:rsid w:val="00321EC0"/>
    <w:rsid w:val="00327B81"/>
    <w:rsid w:val="003304DC"/>
    <w:rsid w:val="003305B5"/>
    <w:rsid w:val="00333802"/>
    <w:rsid w:val="0033618E"/>
    <w:rsid w:val="0033645F"/>
    <w:rsid w:val="00336FD4"/>
    <w:rsid w:val="00342807"/>
    <w:rsid w:val="00345B12"/>
    <w:rsid w:val="00345CD7"/>
    <w:rsid w:val="00345DA5"/>
    <w:rsid w:val="00346086"/>
    <w:rsid w:val="00346292"/>
    <w:rsid w:val="003478F8"/>
    <w:rsid w:val="00351A51"/>
    <w:rsid w:val="00352776"/>
    <w:rsid w:val="00352EA2"/>
    <w:rsid w:val="00353067"/>
    <w:rsid w:val="003537C5"/>
    <w:rsid w:val="00353BDD"/>
    <w:rsid w:val="00354E24"/>
    <w:rsid w:val="00355DA5"/>
    <w:rsid w:val="003615FA"/>
    <w:rsid w:val="00361E43"/>
    <w:rsid w:val="003625AD"/>
    <w:rsid w:val="00362FAE"/>
    <w:rsid w:val="00365E92"/>
    <w:rsid w:val="00366032"/>
    <w:rsid w:val="00367638"/>
    <w:rsid w:val="00367F6D"/>
    <w:rsid w:val="00371617"/>
    <w:rsid w:val="00372B9E"/>
    <w:rsid w:val="00373709"/>
    <w:rsid w:val="00373A28"/>
    <w:rsid w:val="00375ACD"/>
    <w:rsid w:val="00375EBC"/>
    <w:rsid w:val="0037729B"/>
    <w:rsid w:val="00377E3B"/>
    <w:rsid w:val="00381013"/>
    <w:rsid w:val="003846E3"/>
    <w:rsid w:val="00384931"/>
    <w:rsid w:val="00386D84"/>
    <w:rsid w:val="0039043E"/>
    <w:rsid w:val="00390656"/>
    <w:rsid w:val="00391419"/>
    <w:rsid w:val="00392792"/>
    <w:rsid w:val="00395641"/>
    <w:rsid w:val="003A0D41"/>
    <w:rsid w:val="003A2F7D"/>
    <w:rsid w:val="003A3BDC"/>
    <w:rsid w:val="003A5081"/>
    <w:rsid w:val="003A557C"/>
    <w:rsid w:val="003A56DB"/>
    <w:rsid w:val="003A65F3"/>
    <w:rsid w:val="003B4453"/>
    <w:rsid w:val="003B45C9"/>
    <w:rsid w:val="003C04B6"/>
    <w:rsid w:val="003C0F27"/>
    <w:rsid w:val="003C45E1"/>
    <w:rsid w:val="003C5A23"/>
    <w:rsid w:val="003C6170"/>
    <w:rsid w:val="003D0FA8"/>
    <w:rsid w:val="003D12CD"/>
    <w:rsid w:val="003D3F94"/>
    <w:rsid w:val="003D629E"/>
    <w:rsid w:val="003E3164"/>
    <w:rsid w:val="003E5889"/>
    <w:rsid w:val="003E5923"/>
    <w:rsid w:val="003E5F5F"/>
    <w:rsid w:val="003F01FB"/>
    <w:rsid w:val="003F1BAC"/>
    <w:rsid w:val="003F304F"/>
    <w:rsid w:val="003F542C"/>
    <w:rsid w:val="003F5A47"/>
    <w:rsid w:val="003F69AC"/>
    <w:rsid w:val="003F6DC5"/>
    <w:rsid w:val="003F7327"/>
    <w:rsid w:val="003F7E2E"/>
    <w:rsid w:val="00401091"/>
    <w:rsid w:val="00403636"/>
    <w:rsid w:val="004042F2"/>
    <w:rsid w:val="00404AF3"/>
    <w:rsid w:val="004078D5"/>
    <w:rsid w:val="00412575"/>
    <w:rsid w:val="00412DB4"/>
    <w:rsid w:val="00413F32"/>
    <w:rsid w:val="0041542A"/>
    <w:rsid w:val="00416797"/>
    <w:rsid w:val="00420268"/>
    <w:rsid w:val="004203C7"/>
    <w:rsid w:val="00421C33"/>
    <w:rsid w:val="00430708"/>
    <w:rsid w:val="004319D4"/>
    <w:rsid w:val="00432061"/>
    <w:rsid w:val="00432BB4"/>
    <w:rsid w:val="0043512A"/>
    <w:rsid w:val="004403D0"/>
    <w:rsid w:val="0044082F"/>
    <w:rsid w:val="00442326"/>
    <w:rsid w:val="00443975"/>
    <w:rsid w:val="00446165"/>
    <w:rsid w:val="00447E4B"/>
    <w:rsid w:val="00454C23"/>
    <w:rsid w:val="00455AEE"/>
    <w:rsid w:val="00465954"/>
    <w:rsid w:val="004677B2"/>
    <w:rsid w:val="004702E6"/>
    <w:rsid w:val="00470DDD"/>
    <w:rsid w:val="00472726"/>
    <w:rsid w:val="004769C5"/>
    <w:rsid w:val="0047712F"/>
    <w:rsid w:val="00477667"/>
    <w:rsid w:val="004805D2"/>
    <w:rsid w:val="004820BD"/>
    <w:rsid w:val="004822FD"/>
    <w:rsid w:val="004825D8"/>
    <w:rsid w:val="00482BC7"/>
    <w:rsid w:val="00482CB7"/>
    <w:rsid w:val="004851CC"/>
    <w:rsid w:val="00486615"/>
    <w:rsid w:val="00486725"/>
    <w:rsid w:val="004919ED"/>
    <w:rsid w:val="004968BE"/>
    <w:rsid w:val="004A19AF"/>
    <w:rsid w:val="004A3CC5"/>
    <w:rsid w:val="004A435E"/>
    <w:rsid w:val="004A46DC"/>
    <w:rsid w:val="004A5088"/>
    <w:rsid w:val="004A6324"/>
    <w:rsid w:val="004B2864"/>
    <w:rsid w:val="004B33C7"/>
    <w:rsid w:val="004B49CF"/>
    <w:rsid w:val="004B7C34"/>
    <w:rsid w:val="004C01B4"/>
    <w:rsid w:val="004C11E4"/>
    <w:rsid w:val="004C2138"/>
    <w:rsid w:val="004C224D"/>
    <w:rsid w:val="004D1B01"/>
    <w:rsid w:val="004D3F1B"/>
    <w:rsid w:val="004D7D08"/>
    <w:rsid w:val="004E02C8"/>
    <w:rsid w:val="004E1739"/>
    <w:rsid w:val="004E5328"/>
    <w:rsid w:val="004E5908"/>
    <w:rsid w:val="004E65BF"/>
    <w:rsid w:val="004E6733"/>
    <w:rsid w:val="004E7C3A"/>
    <w:rsid w:val="004F123B"/>
    <w:rsid w:val="004F1B47"/>
    <w:rsid w:val="004F2DF1"/>
    <w:rsid w:val="004F2FF1"/>
    <w:rsid w:val="004F6CA1"/>
    <w:rsid w:val="00500D3E"/>
    <w:rsid w:val="00502258"/>
    <w:rsid w:val="0050468D"/>
    <w:rsid w:val="0050478A"/>
    <w:rsid w:val="0050772E"/>
    <w:rsid w:val="00507C39"/>
    <w:rsid w:val="005166DE"/>
    <w:rsid w:val="00517348"/>
    <w:rsid w:val="00517507"/>
    <w:rsid w:val="00521BA3"/>
    <w:rsid w:val="00527C6C"/>
    <w:rsid w:val="00533D0F"/>
    <w:rsid w:val="00534AA1"/>
    <w:rsid w:val="0053780A"/>
    <w:rsid w:val="00545527"/>
    <w:rsid w:val="00550245"/>
    <w:rsid w:val="0055101F"/>
    <w:rsid w:val="00553F3A"/>
    <w:rsid w:val="005544FA"/>
    <w:rsid w:val="00554DAB"/>
    <w:rsid w:val="00556555"/>
    <w:rsid w:val="00561B59"/>
    <w:rsid w:val="0057291D"/>
    <w:rsid w:val="00573F6D"/>
    <w:rsid w:val="0057492B"/>
    <w:rsid w:val="00574C0E"/>
    <w:rsid w:val="0058230C"/>
    <w:rsid w:val="00583CC9"/>
    <w:rsid w:val="00583DB8"/>
    <w:rsid w:val="00584010"/>
    <w:rsid w:val="00584A48"/>
    <w:rsid w:val="005860DA"/>
    <w:rsid w:val="005913EB"/>
    <w:rsid w:val="00591970"/>
    <w:rsid w:val="005939B7"/>
    <w:rsid w:val="005A1264"/>
    <w:rsid w:val="005A1F68"/>
    <w:rsid w:val="005A3616"/>
    <w:rsid w:val="005A6259"/>
    <w:rsid w:val="005B175F"/>
    <w:rsid w:val="005B2386"/>
    <w:rsid w:val="005B4DEE"/>
    <w:rsid w:val="005C069A"/>
    <w:rsid w:val="005C1FAB"/>
    <w:rsid w:val="005C2A03"/>
    <w:rsid w:val="005C3DB6"/>
    <w:rsid w:val="005C7192"/>
    <w:rsid w:val="005D0781"/>
    <w:rsid w:val="005D3F49"/>
    <w:rsid w:val="005D49A8"/>
    <w:rsid w:val="005E0A06"/>
    <w:rsid w:val="005E0E65"/>
    <w:rsid w:val="005E39FB"/>
    <w:rsid w:val="005E4273"/>
    <w:rsid w:val="005E6F4D"/>
    <w:rsid w:val="005F104C"/>
    <w:rsid w:val="005F6ED0"/>
    <w:rsid w:val="00602B17"/>
    <w:rsid w:val="0060322E"/>
    <w:rsid w:val="006048A9"/>
    <w:rsid w:val="00611C06"/>
    <w:rsid w:val="00614BA4"/>
    <w:rsid w:val="00614BC9"/>
    <w:rsid w:val="00616D9C"/>
    <w:rsid w:val="006201A7"/>
    <w:rsid w:val="006212E9"/>
    <w:rsid w:val="00622321"/>
    <w:rsid w:val="00625A9B"/>
    <w:rsid w:val="006275BF"/>
    <w:rsid w:val="0062794D"/>
    <w:rsid w:val="006322DF"/>
    <w:rsid w:val="0063249B"/>
    <w:rsid w:val="00632865"/>
    <w:rsid w:val="006329D2"/>
    <w:rsid w:val="006347CA"/>
    <w:rsid w:val="006408CA"/>
    <w:rsid w:val="00640AF3"/>
    <w:rsid w:val="00647A3F"/>
    <w:rsid w:val="00650C71"/>
    <w:rsid w:val="00651161"/>
    <w:rsid w:val="00651368"/>
    <w:rsid w:val="006532D9"/>
    <w:rsid w:val="00654F1D"/>
    <w:rsid w:val="00655AED"/>
    <w:rsid w:val="00657089"/>
    <w:rsid w:val="00657E14"/>
    <w:rsid w:val="006607C9"/>
    <w:rsid w:val="0066082E"/>
    <w:rsid w:val="00661F13"/>
    <w:rsid w:val="00662627"/>
    <w:rsid w:val="0066468C"/>
    <w:rsid w:val="006649BC"/>
    <w:rsid w:val="006662B9"/>
    <w:rsid w:val="006716DE"/>
    <w:rsid w:val="00672A20"/>
    <w:rsid w:val="006737C8"/>
    <w:rsid w:val="006738D2"/>
    <w:rsid w:val="0067446B"/>
    <w:rsid w:val="006744C3"/>
    <w:rsid w:val="00677ECA"/>
    <w:rsid w:val="00677F9D"/>
    <w:rsid w:val="00690E14"/>
    <w:rsid w:val="0069112B"/>
    <w:rsid w:val="00697240"/>
    <w:rsid w:val="006A11B7"/>
    <w:rsid w:val="006A1B47"/>
    <w:rsid w:val="006A2318"/>
    <w:rsid w:val="006A69A0"/>
    <w:rsid w:val="006B1F52"/>
    <w:rsid w:val="006B432D"/>
    <w:rsid w:val="006B729A"/>
    <w:rsid w:val="006C1440"/>
    <w:rsid w:val="006C23A0"/>
    <w:rsid w:val="006C3E46"/>
    <w:rsid w:val="006C5E57"/>
    <w:rsid w:val="006C7C53"/>
    <w:rsid w:val="006D2B34"/>
    <w:rsid w:val="006D358D"/>
    <w:rsid w:val="006D3A86"/>
    <w:rsid w:val="006D3C40"/>
    <w:rsid w:val="006D4289"/>
    <w:rsid w:val="006D4F4E"/>
    <w:rsid w:val="006D6AA3"/>
    <w:rsid w:val="006D78EB"/>
    <w:rsid w:val="006E51FA"/>
    <w:rsid w:val="006E5AA9"/>
    <w:rsid w:val="006E5C07"/>
    <w:rsid w:val="006E799F"/>
    <w:rsid w:val="006E7B1B"/>
    <w:rsid w:val="006F0BB9"/>
    <w:rsid w:val="006F39CC"/>
    <w:rsid w:val="006F4936"/>
    <w:rsid w:val="006F672F"/>
    <w:rsid w:val="006F730C"/>
    <w:rsid w:val="00701210"/>
    <w:rsid w:val="007045FF"/>
    <w:rsid w:val="007141D1"/>
    <w:rsid w:val="007159D9"/>
    <w:rsid w:val="00720C09"/>
    <w:rsid w:val="00722DD6"/>
    <w:rsid w:val="0072302F"/>
    <w:rsid w:val="00725961"/>
    <w:rsid w:val="0073158F"/>
    <w:rsid w:val="00731EF4"/>
    <w:rsid w:val="0073226A"/>
    <w:rsid w:val="0073685D"/>
    <w:rsid w:val="00740FE2"/>
    <w:rsid w:val="00743816"/>
    <w:rsid w:val="0074468D"/>
    <w:rsid w:val="00744847"/>
    <w:rsid w:val="00745D6A"/>
    <w:rsid w:val="007467C0"/>
    <w:rsid w:val="00747733"/>
    <w:rsid w:val="00757A98"/>
    <w:rsid w:val="0076148B"/>
    <w:rsid w:val="00762ABB"/>
    <w:rsid w:val="007644E6"/>
    <w:rsid w:val="00764C95"/>
    <w:rsid w:val="0077066D"/>
    <w:rsid w:val="007720EC"/>
    <w:rsid w:val="0077471F"/>
    <w:rsid w:val="00775801"/>
    <w:rsid w:val="0077588A"/>
    <w:rsid w:val="00781070"/>
    <w:rsid w:val="00783297"/>
    <w:rsid w:val="0078503A"/>
    <w:rsid w:val="0078591E"/>
    <w:rsid w:val="007868DA"/>
    <w:rsid w:val="00787D1C"/>
    <w:rsid w:val="007914CE"/>
    <w:rsid w:val="00792A9E"/>
    <w:rsid w:val="007930A2"/>
    <w:rsid w:val="00794E91"/>
    <w:rsid w:val="00796E39"/>
    <w:rsid w:val="00797F17"/>
    <w:rsid w:val="007A0749"/>
    <w:rsid w:val="007A4337"/>
    <w:rsid w:val="007A457C"/>
    <w:rsid w:val="007A4812"/>
    <w:rsid w:val="007A5872"/>
    <w:rsid w:val="007B11B9"/>
    <w:rsid w:val="007B1575"/>
    <w:rsid w:val="007B15F7"/>
    <w:rsid w:val="007B3D41"/>
    <w:rsid w:val="007B474A"/>
    <w:rsid w:val="007C14A1"/>
    <w:rsid w:val="007C3466"/>
    <w:rsid w:val="007C459D"/>
    <w:rsid w:val="007C6F3D"/>
    <w:rsid w:val="007D39BD"/>
    <w:rsid w:val="007D692C"/>
    <w:rsid w:val="007D72B5"/>
    <w:rsid w:val="007D7545"/>
    <w:rsid w:val="007E09D6"/>
    <w:rsid w:val="007E3C04"/>
    <w:rsid w:val="007E67E8"/>
    <w:rsid w:val="007F3613"/>
    <w:rsid w:val="007F5214"/>
    <w:rsid w:val="00801FE8"/>
    <w:rsid w:val="00802D9F"/>
    <w:rsid w:val="00805186"/>
    <w:rsid w:val="00807B50"/>
    <w:rsid w:val="0081378C"/>
    <w:rsid w:val="008140B4"/>
    <w:rsid w:val="008154B5"/>
    <w:rsid w:val="00817377"/>
    <w:rsid w:val="00817643"/>
    <w:rsid w:val="00822944"/>
    <w:rsid w:val="00822AB7"/>
    <w:rsid w:val="008336C3"/>
    <w:rsid w:val="00835978"/>
    <w:rsid w:val="00836971"/>
    <w:rsid w:val="00846480"/>
    <w:rsid w:val="0085709C"/>
    <w:rsid w:val="00857551"/>
    <w:rsid w:val="00861F53"/>
    <w:rsid w:val="00862381"/>
    <w:rsid w:val="00862E2A"/>
    <w:rsid w:val="00865186"/>
    <w:rsid w:val="00875E4B"/>
    <w:rsid w:val="00877DFC"/>
    <w:rsid w:val="00880591"/>
    <w:rsid w:val="008813C8"/>
    <w:rsid w:val="008819BD"/>
    <w:rsid w:val="00881C75"/>
    <w:rsid w:val="00893915"/>
    <w:rsid w:val="0089615D"/>
    <w:rsid w:val="00896221"/>
    <w:rsid w:val="008A0C55"/>
    <w:rsid w:val="008A2CD3"/>
    <w:rsid w:val="008A3654"/>
    <w:rsid w:val="008A443F"/>
    <w:rsid w:val="008A721A"/>
    <w:rsid w:val="008B045E"/>
    <w:rsid w:val="008B1893"/>
    <w:rsid w:val="008B279F"/>
    <w:rsid w:val="008B27C4"/>
    <w:rsid w:val="008B37FD"/>
    <w:rsid w:val="008B5456"/>
    <w:rsid w:val="008B75D5"/>
    <w:rsid w:val="008C0167"/>
    <w:rsid w:val="008C2DEA"/>
    <w:rsid w:val="008C5124"/>
    <w:rsid w:val="008C6480"/>
    <w:rsid w:val="008C6FF5"/>
    <w:rsid w:val="008D042F"/>
    <w:rsid w:val="008D188C"/>
    <w:rsid w:val="008D2431"/>
    <w:rsid w:val="008D31F3"/>
    <w:rsid w:val="008E1D7B"/>
    <w:rsid w:val="008E2364"/>
    <w:rsid w:val="008F15C0"/>
    <w:rsid w:val="008F3157"/>
    <w:rsid w:val="009027E6"/>
    <w:rsid w:val="00903A3A"/>
    <w:rsid w:val="00903FA5"/>
    <w:rsid w:val="00904264"/>
    <w:rsid w:val="00906429"/>
    <w:rsid w:val="00906920"/>
    <w:rsid w:val="0091138D"/>
    <w:rsid w:val="009125E4"/>
    <w:rsid w:val="0091309A"/>
    <w:rsid w:val="0091388A"/>
    <w:rsid w:val="00915900"/>
    <w:rsid w:val="00916745"/>
    <w:rsid w:val="00924A05"/>
    <w:rsid w:val="009258B3"/>
    <w:rsid w:val="00926EEA"/>
    <w:rsid w:val="00930607"/>
    <w:rsid w:val="009314A6"/>
    <w:rsid w:val="009316F7"/>
    <w:rsid w:val="00937FCD"/>
    <w:rsid w:val="00942525"/>
    <w:rsid w:val="00943439"/>
    <w:rsid w:val="009436AD"/>
    <w:rsid w:val="00945248"/>
    <w:rsid w:val="00945561"/>
    <w:rsid w:val="0094556C"/>
    <w:rsid w:val="00952801"/>
    <w:rsid w:val="00954C71"/>
    <w:rsid w:val="00956544"/>
    <w:rsid w:val="00960EA5"/>
    <w:rsid w:val="0096165D"/>
    <w:rsid w:val="009622E0"/>
    <w:rsid w:val="00964584"/>
    <w:rsid w:val="009647B6"/>
    <w:rsid w:val="00965C30"/>
    <w:rsid w:val="00970A43"/>
    <w:rsid w:val="009719E3"/>
    <w:rsid w:val="00973891"/>
    <w:rsid w:val="00973FB5"/>
    <w:rsid w:val="00974204"/>
    <w:rsid w:val="00974720"/>
    <w:rsid w:val="009757DF"/>
    <w:rsid w:val="00977CF8"/>
    <w:rsid w:val="009814E8"/>
    <w:rsid w:val="00981FD3"/>
    <w:rsid w:val="00991D20"/>
    <w:rsid w:val="0099459F"/>
    <w:rsid w:val="009949CE"/>
    <w:rsid w:val="009A006B"/>
    <w:rsid w:val="009A1082"/>
    <w:rsid w:val="009A3A47"/>
    <w:rsid w:val="009A3D90"/>
    <w:rsid w:val="009A4634"/>
    <w:rsid w:val="009A46AE"/>
    <w:rsid w:val="009A5E17"/>
    <w:rsid w:val="009A614A"/>
    <w:rsid w:val="009A618F"/>
    <w:rsid w:val="009A64AB"/>
    <w:rsid w:val="009B1307"/>
    <w:rsid w:val="009C2066"/>
    <w:rsid w:val="009C2941"/>
    <w:rsid w:val="009C32AA"/>
    <w:rsid w:val="009C370A"/>
    <w:rsid w:val="009C4C99"/>
    <w:rsid w:val="009C6486"/>
    <w:rsid w:val="009D21BC"/>
    <w:rsid w:val="009D3913"/>
    <w:rsid w:val="009D62D3"/>
    <w:rsid w:val="009D73B9"/>
    <w:rsid w:val="009E0746"/>
    <w:rsid w:val="009E0B89"/>
    <w:rsid w:val="009E272C"/>
    <w:rsid w:val="009E46DE"/>
    <w:rsid w:val="009E5191"/>
    <w:rsid w:val="009E6600"/>
    <w:rsid w:val="009E6D80"/>
    <w:rsid w:val="009F3F82"/>
    <w:rsid w:val="009F62DB"/>
    <w:rsid w:val="009F680F"/>
    <w:rsid w:val="00A01596"/>
    <w:rsid w:val="00A02097"/>
    <w:rsid w:val="00A02743"/>
    <w:rsid w:val="00A06304"/>
    <w:rsid w:val="00A1486D"/>
    <w:rsid w:val="00A14DD1"/>
    <w:rsid w:val="00A163A6"/>
    <w:rsid w:val="00A16559"/>
    <w:rsid w:val="00A2012E"/>
    <w:rsid w:val="00A21DC2"/>
    <w:rsid w:val="00A2269C"/>
    <w:rsid w:val="00A229E3"/>
    <w:rsid w:val="00A2302B"/>
    <w:rsid w:val="00A2698C"/>
    <w:rsid w:val="00A31318"/>
    <w:rsid w:val="00A32FBD"/>
    <w:rsid w:val="00A33B00"/>
    <w:rsid w:val="00A36660"/>
    <w:rsid w:val="00A36671"/>
    <w:rsid w:val="00A400C1"/>
    <w:rsid w:val="00A42AA6"/>
    <w:rsid w:val="00A432E6"/>
    <w:rsid w:val="00A476A3"/>
    <w:rsid w:val="00A51C79"/>
    <w:rsid w:val="00A52B42"/>
    <w:rsid w:val="00A54CDE"/>
    <w:rsid w:val="00A55D6B"/>
    <w:rsid w:val="00A572AA"/>
    <w:rsid w:val="00A57B4B"/>
    <w:rsid w:val="00A60230"/>
    <w:rsid w:val="00A618A1"/>
    <w:rsid w:val="00A64FBF"/>
    <w:rsid w:val="00A65218"/>
    <w:rsid w:val="00A6562F"/>
    <w:rsid w:val="00A67F62"/>
    <w:rsid w:val="00A71B80"/>
    <w:rsid w:val="00A768A8"/>
    <w:rsid w:val="00A86E89"/>
    <w:rsid w:val="00A87953"/>
    <w:rsid w:val="00A96213"/>
    <w:rsid w:val="00A96AF1"/>
    <w:rsid w:val="00AA20B2"/>
    <w:rsid w:val="00AA3714"/>
    <w:rsid w:val="00AA5C00"/>
    <w:rsid w:val="00AB3660"/>
    <w:rsid w:val="00AB7D1C"/>
    <w:rsid w:val="00AC0A2F"/>
    <w:rsid w:val="00AC1087"/>
    <w:rsid w:val="00AC1FB5"/>
    <w:rsid w:val="00AC2422"/>
    <w:rsid w:val="00AC3F12"/>
    <w:rsid w:val="00AC4B1B"/>
    <w:rsid w:val="00AC65C7"/>
    <w:rsid w:val="00AC7098"/>
    <w:rsid w:val="00AC7EF1"/>
    <w:rsid w:val="00AD0B34"/>
    <w:rsid w:val="00AD3E88"/>
    <w:rsid w:val="00AD5DCC"/>
    <w:rsid w:val="00AD71D8"/>
    <w:rsid w:val="00AE03C5"/>
    <w:rsid w:val="00AE09B9"/>
    <w:rsid w:val="00AE36CA"/>
    <w:rsid w:val="00AE48EA"/>
    <w:rsid w:val="00AE49B4"/>
    <w:rsid w:val="00AE6346"/>
    <w:rsid w:val="00AF2386"/>
    <w:rsid w:val="00AF37CE"/>
    <w:rsid w:val="00AF3C7B"/>
    <w:rsid w:val="00AF3EC1"/>
    <w:rsid w:val="00AF67D9"/>
    <w:rsid w:val="00AF6B94"/>
    <w:rsid w:val="00B018F7"/>
    <w:rsid w:val="00B02238"/>
    <w:rsid w:val="00B23299"/>
    <w:rsid w:val="00B234C8"/>
    <w:rsid w:val="00B23C90"/>
    <w:rsid w:val="00B2467A"/>
    <w:rsid w:val="00B253E7"/>
    <w:rsid w:val="00B26198"/>
    <w:rsid w:val="00B301C7"/>
    <w:rsid w:val="00B31971"/>
    <w:rsid w:val="00B339AD"/>
    <w:rsid w:val="00B34047"/>
    <w:rsid w:val="00B34CF8"/>
    <w:rsid w:val="00B3733A"/>
    <w:rsid w:val="00B40D9E"/>
    <w:rsid w:val="00B41979"/>
    <w:rsid w:val="00B439C9"/>
    <w:rsid w:val="00B46EC6"/>
    <w:rsid w:val="00B4725F"/>
    <w:rsid w:val="00B53C48"/>
    <w:rsid w:val="00B55530"/>
    <w:rsid w:val="00B55FF1"/>
    <w:rsid w:val="00B57C78"/>
    <w:rsid w:val="00B611C5"/>
    <w:rsid w:val="00B613A2"/>
    <w:rsid w:val="00B678D0"/>
    <w:rsid w:val="00B71FB7"/>
    <w:rsid w:val="00B73B9C"/>
    <w:rsid w:val="00B75228"/>
    <w:rsid w:val="00B819B8"/>
    <w:rsid w:val="00B8418F"/>
    <w:rsid w:val="00B86040"/>
    <w:rsid w:val="00B8712F"/>
    <w:rsid w:val="00B914A4"/>
    <w:rsid w:val="00B91F26"/>
    <w:rsid w:val="00BA0A7E"/>
    <w:rsid w:val="00BA1135"/>
    <w:rsid w:val="00BA142D"/>
    <w:rsid w:val="00BA355D"/>
    <w:rsid w:val="00BA45F2"/>
    <w:rsid w:val="00BB05EA"/>
    <w:rsid w:val="00BB3F75"/>
    <w:rsid w:val="00BB4472"/>
    <w:rsid w:val="00BB5E8D"/>
    <w:rsid w:val="00BC1841"/>
    <w:rsid w:val="00BC2A2D"/>
    <w:rsid w:val="00BC3304"/>
    <w:rsid w:val="00BC5BC2"/>
    <w:rsid w:val="00BC6DFC"/>
    <w:rsid w:val="00BD0C92"/>
    <w:rsid w:val="00BD1166"/>
    <w:rsid w:val="00BD2227"/>
    <w:rsid w:val="00BD243B"/>
    <w:rsid w:val="00BD4773"/>
    <w:rsid w:val="00BD6D9A"/>
    <w:rsid w:val="00BD7B4D"/>
    <w:rsid w:val="00BE0DE8"/>
    <w:rsid w:val="00BE1030"/>
    <w:rsid w:val="00BE3A50"/>
    <w:rsid w:val="00BE556D"/>
    <w:rsid w:val="00BF1A19"/>
    <w:rsid w:val="00BF5E98"/>
    <w:rsid w:val="00C0143B"/>
    <w:rsid w:val="00C014A4"/>
    <w:rsid w:val="00C023B5"/>
    <w:rsid w:val="00C02F23"/>
    <w:rsid w:val="00C04CA1"/>
    <w:rsid w:val="00C056A8"/>
    <w:rsid w:val="00C06A38"/>
    <w:rsid w:val="00C10193"/>
    <w:rsid w:val="00C10841"/>
    <w:rsid w:val="00C12508"/>
    <w:rsid w:val="00C13309"/>
    <w:rsid w:val="00C13391"/>
    <w:rsid w:val="00C1401C"/>
    <w:rsid w:val="00C14047"/>
    <w:rsid w:val="00C142B1"/>
    <w:rsid w:val="00C156C9"/>
    <w:rsid w:val="00C15F79"/>
    <w:rsid w:val="00C1753B"/>
    <w:rsid w:val="00C20F5E"/>
    <w:rsid w:val="00C22F33"/>
    <w:rsid w:val="00C240AF"/>
    <w:rsid w:val="00C2588E"/>
    <w:rsid w:val="00C26F11"/>
    <w:rsid w:val="00C27F9D"/>
    <w:rsid w:val="00C357C6"/>
    <w:rsid w:val="00C37FC4"/>
    <w:rsid w:val="00C420D2"/>
    <w:rsid w:val="00C424E8"/>
    <w:rsid w:val="00C453B7"/>
    <w:rsid w:val="00C515D4"/>
    <w:rsid w:val="00C5253B"/>
    <w:rsid w:val="00C5384F"/>
    <w:rsid w:val="00C53A3D"/>
    <w:rsid w:val="00C61432"/>
    <w:rsid w:val="00C61B81"/>
    <w:rsid w:val="00C64854"/>
    <w:rsid w:val="00C64960"/>
    <w:rsid w:val="00C65C59"/>
    <w:rsid w:val="00C674B0"/>
    <w:rsid w:val="00C70B3D"/>
    <w:rsid w:val="00C71B12"/>
    <w:rsid w:val="00C77E57"/>
    <w:rsid w:val="00C82FE2"/>
    <w:rsid w:val="00C83246"/>
    <w:rsid w:val="00C85C48"/>
    <w:rsid w:val="00C87063"/>
    <w:rsid w:val="00C92F2F"/>
    <w:rsid w:val="00C952E5"/>
    <w:rsid w:val="00CA185B"/>
    <w:rsid w:val="00CA188C"/>
    <w:rsid w:val="00CA293F"/>
    <w:rsid w:val="00CA2C06"/>
    <w:rsid w:val="00CA38A8"/>
    <w:rsid w:val="00CA63D3"/>
    <w:rsid w:val="00CA75E3"/>
    <w:rsid w:val="00CB025C"/>
    <w:rsid w:val="00CB0779"/>
    <w:rsid w:val="00CB0B97"/>
    <w:rsid w:val="00CB141F"/>
    <w:rsid w:val="00CB5545"/>
    <w:rsid w:val="00CB5A57"/>
    <w:rsid w:val="00CB70EC"/>
    <w:rsid w:val="00CC3855"/>
    <w:rsid w:val="00CC42A2"/>
    <w:rsid w:val="00CC7F21"/>
    <w:rsid w:val="00CD084F"/>
    <w:rsid w:val="00CD18F2"/>
    <w:rsid w:val="00CD1923"/>
    <w:rsid w:val="00CD49F8"/>
    <w:rsid w:val="00CD5131"/>
    <w:rsid w:val="00CD683C"/>
    <w:rsid w:val="00CD6F65"/>
    <w:rsid w:val="00CE18CD"/>
    <w:rsid w:val="00CE1946"/>
    <w:rsid w:val="00CE2795"/>
    <w:rsid w:val="00CE32B1"/>
    <w:rsid w:val="00CE3819"/>
    <w:rsid w:val="00CE41BE"/>
    <w:rsid w:val="00CE4AB8"/>
    <w:rsid w:val="00CF1E81"/>
    <w:rsid w:val="00CF4D7F"/>
    <w:rsid w:val="00CF7BE2"/>
    <w:rsid w:val="00D008A2"/>
    <w:rsid w:val="00D02FAD"/>
    <w:rsid w:val="00D04E7B"/>
    <w:rsid w:val="00D05E35"/>
    <w:rsid w:val="00D05E99"/>
    <w:rsid w:val="00D072BE"/>
    <w:rsid w:val="00D11758"/>
    <w:rsid w:val="00D14F05"/>
    <w:rsid w:val="00D22B1C"/>
    <w:rsid w:val="00D2313A"/>
    <w:rsid w:val="00D24523"/>
    <w:rsid w:val="00D2659E"/>
    <w:rsid w:val="00D309FB"/>
    <w:rsid w:val="00D3386E"/>
    <w:rsid w:val="00D33D39"/>
    <w:rsid w:val="00D341A0"/>
    <w:rsid w:val="00D35EE8"/>
    <w:rsid w:val="00D36560"/>
    <w:rsid w:val="00D41CF8"/>
    <w:rsid w:val="00D44221"/>
    <w:rsid w:val="00D455FB"/>
    <w:rsid w:val="00D507FA"/>
    <w:rsid w:val="00D509ED"/>
    <w:rsid w:val="00D509FA"/>
    <w:rsid w:val="00D50A7A"/>
    <w:rsid w:val="00D51406"/>
    <w:rsid w:val="00D52DCE"/>
    <w:rsid w:val="00D535E2"/>
    <w:rsid w:val="00D55F89"/>
    <w:rsid w:val="00D5607D"/>
    <w:rsid w:val="00D57F55"/>
    <w:rsid w:val="00D6233D"/>
    <w:rsid w:val="00D645A3"/>
    <w:rsid w:val="00D649D5"/>
    <w:rsid w:val="00D65712"/>
    <w:rsid w:val="00D672DE"/>
    <w:rsid w:val="00D7144E"/>
    <w:rsid w:val="00D73F16"/>
    <w:rsid w:val="00D77478"/>
    <w:rsid w:val="00D7772A"/>
    <w:rsid w:val="00D81B9E"/>
    <w:rsid w:val="00D836DC"/>
    <w:rsid w:val="00D83F5A"/>
    <w:rsid w:val="00D9469B"/>
    <w:rsid w:val="00D97E7A"/>
    <w:rsid w:val="00DA010B"/>
    <w:rsid w:val="00DA12A1"/>
    <w:rsid w:val="00DA2C8B"/>
    <w:rsid w:val="00DA3547"/>
    <w:rsid w:val="00DA3B56"/>
    <w:rsid w:val="00DB0D7C"/>
    <w:rsid w:val="00DB25D0"/>
    <w:rsid w:val="00DB4879"/>
    <w:rsid w:val="00DC0F23"/>
    <w:rsid w:val="00DC1E73"/>
    <w:rsid w:val="00DC21CA"/>
    <w:rsid w:val="00DC29F7"/>
    <w:rsid w:val="00DC4344"/>
    <w:rsid w:val="00DC4B78"/>
    <w:rsid w:val="00DC5965"/>
    <w:rsid w:val="00DC675C"/>
    <w:rsid w:val="00DC725E"/>
    <w:rsid w:val="00DC7CC0"/>
    <w:rsid w:val="00DD02C7"/>
    <w:rsid w:val="00DD2A4A"/>
    <w:rsid w:val="00DD2ECC"/>
    <w:rsid w:val="00DD5546"/>
    <w:rsid w:val="00DE29D6"/>
    <w:rsid w:val="00DE545B"/>
    <w:rsid w:val="00DE77D1"/>
    <w:rsid w:val="00DE7E43"/>
    <w:rsid w:val="00DF1BA1"/>
    <w:rsid w:val="00DF3536"/>
    <w:rsid w:val="00DF464C"/>
    <w:rsid w:val="00E007A6"/>
    <w:rsid w:val="00E057D7"/>
    <w:rsid w:val="00E079C6"/>
    <w:rsid w:val="00E11131"/>
    <w:rsid w:val="00E123E5"/>
    <w:rsid w:val="00E14B20"/>
    <w:rsid w:val="00E14F8C"/>
    <w:rsid w:val="00E159AE"/>
    <w:rsid w:val="00E17F5A"/>
    <w:rsid w:val="00E210D4"/>
    <w:rsid w:val="00E22076"/>
    <w:rsid w:val="00E225AA"/>
    <w:rsid w:val="00E26E5F"/>
    <w:rsid w:val="00E26F52"/>
    <w:rsid w:val="00E30670"/>
    <w:rsid w:val="00E33C3A"/>
    <w:rsid w:val="00E3440F"/>
    <w:rsid w:val="00E4035D"/>
    <w:rsid w:val="00E436B5"/>
    <w:rsid w:val="00E43F71"/>
    <w:rsid w:val="00E44043"/>
    <w:rsid w:val="00E44EA0"/>
    <w:rsid w:val="00E45D60"/>
    <w:rsid w:val="00E46CE8"/>
    <w:rsid w:val="00E46E25"/>
    <w:rsid w:val="00E47144"/>
    <w:rsid w:val="00E47F19"/>
    <w:rsid w:val="00E518B4"/>
    <w:rsid w:val="00E5225C"/>
    <w:rsid w:val="00E53344"/>
    <w:rsid w:val="00E54A79"/>
    <w:rsid w:val="00E55B79"/>
    <w:rsid w:val="00E607F0"/>
    <w:rsid w:val="00E63175"/>
    <w:rsid w:val="00E63905"/>
    <w:rsid w:val="00E6782B"/>
    <w:rsid w:val="00E70E98"/>
    <w:rsid w:val="00E714A0"/>
    <w:rsid w:val="00E72510"/>
    <w:rsid w:val="00E7318B"/>
    <w:rsid w:val="00E7378D"/>
    <w:rsid w:val="00E739B9"/>
    <w:rsid w:val="00E777EA"/>
    <w:rsid w:val="00E82EE6"/>
    <w:rsid w:val="00E858F0"/>
    <w:rsid w:val="00E924DC"/>
    <w:rsid w:val="00E92D31"/>
    <w:rsid w:val="00E9628E"/>
    <w:rsid w:val="00E97BAE"/>
    <w:rsid w:val="00EA14C7"/>
    <w:rsid w:val="00EA3548"/>
    <w:rsid w:val="00EA42AA"/>
    <w:rsid w:val="00EA5D1C"/>
    <w:rsid w:val="00EA6944"/>
    <w:rsid w:val="00EB64F5"/>
    <w:rsid w:val="00EB6F27"/>
    <w:rsid w:val="00EC0A68"/>
    <w:rsid w:val="00EC113B"/>
    <w:rsid w:val="00EC18C2"/>
    <w:rsid w:val="00EC1BFD"/>
    <w:rsid w:val="00EC1C07"/>
    <w:rsid w:val="00EC6CA0"/>
    <w:rsid w:val="00ED046E"/>
    <w:rsid w:val="00ED0AAE"/>
    <w:rsid w:val="00ED0BE2"/>
    <w:rsid w:val="00ED1BC3"/>
    <w:rsid w:val="00ED217F"/>
    <w:rsid w:val="00ED2A0C"/>
    <w:rsid w:val="00ED328E"/>
    <w:rsid w:val="00ED3392"/>
    <w:rsid w:val="00ED3462"/>
    <w:rsid w:val="00ED6D59"/>
    <w:rsid w:val="00EE5884"/>
    <w:rsid w:val="00EE6CF0"/>
    <w:rsid w:val="00EE7C4A"/>
    <w:rsid w:val="00EE7C7E"/>
    <w:rsid w:val="00EF0D11"/>
    <w:rsid w:val="00EF202A"/>
    <w:rsid w:val="00EF2EAB"/>
    <w:rsid w:val="00EF6010"/>
    <w:rsid w:val="00EF7295"/>
    <w:rsid w:val="00EF7A8F"/>
    <w:rsid w:val="00EF7CE8"/>
    <w:rsid w:val="00F0424F"/>
    <w:rsid w:val="00F07112"/>
    <w:rsid w:val="00F10EC4"/>
    <w:rsid w:val="00F13DF3"/>
    <w:rsid w:val="00F1401D"/>
    <w:rsid w:val="00F15D28"/>
    <w:rsid w:val="00F2412D"/>
    <w:rsid w:val="00F25B95"/>
    <w:rsid w:val="00F2687B"/>
    <w:rsid w:val="00F34AAD"/>
    <w:rsid w:val="00F352C1"/>
    <w:rsid w:val="00F3792A"/>
    <w:rsid w:val="00F4005A"/>
    <w:rsid w:val="00F4427A"/>
    <w:rsid w:val="00F448F0"/>
    <w:rsid w:val="00F467B7"/>
    <w:rsid w:val="00F50748"/>
    <w:rsid w:val="00F5193B"/>
    <w:rsid w:val="00F53880"/>
    <w:rsid w:val="00F5425C"/>
    <w:rsid w:val="00F552AE"/>
    <w:rsid w:val="00F55D39"/>
    <w:rsid w:val="00F612F7"/>
    <w:rsid w:val="00F613E9"/>
    <w:rsid w:val="00F614C6"/>
    <w:rsid w:val="00F61ABE"/>
    <w:rsid w:val="00F62B57"/>
    <w:rsid w:val="00F637CF"/>
    <w:rsid w:val="00F653AB"/>
    <w:rsid w:val="00F673CF"/>
    <w:rsid w:val="00F6780B"/>
    <w:rsid w:val="00F70240"/>
    <w:rsid w:val="00F7196D"/>
    <w:rsid w:val="00F720EC"/>
    <w:rsid w:val="00F72875"/>
    <w:rsid w:val="00F72B3A"/>
    <w:rsid w:val="00F741A1"/>
    <w:rsid w:val="00F75FAA"/>
    <w:rsid w:val="00F76BF8"/>
    <w:rsid w:val="00F80AF4"/>
    <w:rsid w:val="00F82F06"/>
    <w:rsid w:val="00F838D9"/>
    <w:rsid w:val="00F85C4B"/>
    <w:rsid w:val="00F868FC"/>
    <w:rsid w:val="00F91E90"/>
    <w:rsid w:val="00F928A3"/>
    <w:rsid w:val="00F92A51"/>
    <w:rsid w:val="00F949A1"/>
    <w:rsid w:val="00F9568A"/>
    <w:rsid w:val="00F965AF"/>
    <w:rsid w:val="00FA019A"/>
    <w:rsid w:val="00FA2756"/>
    <w:rsid w:val="00FA2FB2"/>
    <w:rsid w:val="00FA7E19"/>
    <w:rsid w:val="00FC2EF4"/>
    <w:rsid w:val="00FC2FE5"/>
    <w:rsid w:val="00FC31E3"/>
    <w:rsid w:val="00FC34E8"/>
    <w:rsid w:val="00FC54E1"/>
    <w:rsid w:val="00FC5886"/>
    <w:rsid w:val="00FD1F03"/>
    <w:rsid w:val="00FD319E"/>
    <w:rsid w:val="00FD4915"/>
    <w:rsid w:val="00FD7BEC"/>
    <w:rsid w:val="00FE1FFB"/>
    <w:rsid w:val="00FE2B23"/>
    <w:rsid w:val="00FE2E26"/>
    <w:rsid w:val="00FE6103"/>
    <w:rsid w:val="00FE74D3"/>
    <w:rsid w:val="00FE77C7"/>
    <w:rsid w:val="00FF00DE"/>
    <w:rsid w:val="00FF28E7"/>
    <w:rsid w:val="00FF4BB6"/>
    <w:rsid w:val="00FF60BB"/>
    <w:rsid w:val="00FF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E0D8C"/>
  <w15:chartTrackingRefBased/>
  <w15:docId w15:val="{CCFEAFC4-BCFB-44C2-96FD-93F2580E7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7E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7E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7E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7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7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7E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7E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7E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7E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C7E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7E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7E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7E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C7EF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7E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C7EF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C7E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C7EF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C7E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C7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C7E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C7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C7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C7EF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C7EF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C7EF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7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C7EF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C7EF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718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86E"/>
  </w:style>
  <w:style w:type="paragraph" w:styleId="Piedepgina">
    <w:name w:val="footer"/>
    <w:basedOn w:val="Normal"/>
    <w:link w:val="PiedepginaCar"/>
    <w:uiPriority w:val="99"/>
    <w:unhideWhenUsed/>
    <w:rsid w:val="002718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86E"/>
  </w:style>
  <w:style w:type="character" w:styleId="Hipervnculo">
    <w:name w:val="Hyperlink"/>
    <w:uiPriority w:val="99"/>
    <w:unhideWhenUsed/>
    <w:rsid w:val="005D078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3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0B68C2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862381"/>
    <w:rPr>
      <w:b/>
      <w:bCs/>
    </w:rPr>
  </w:style>
  <w:style w:type="character" w:customStyle="1" w:styleId="ui-provider">
    <w:name w:val="ui-provider"/>
    <w:basedOn w:val="Fuentedeprrafopredeter"/>
    <w:rsid w:val="00B57C78"/>
  </w:style>
  <w:style w:type="character" w:styleId="Refdecomentario">
    <w:name w:val="annotation reference"/>
    <w:basedOn w:val="Fuentedeprrafopredeter"/>
    <w:uiPriority w:val="99"/>
    <w:semiHidden/>
    <w:unhideWhenUsed/>
    <w:rsid w:val="00D836D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836D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836D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36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36DC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660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undacionalquilerseguro.or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dfe94c-0cad-405c-9c1d-c4b8836841c9">
      <Terms xmlns="http://schemas.microsoft.com/office/infopath/2007/PartnerControls"/>
    </lcf76f155ced4ddcb4097134ff3c332f>
    <TaxCatchAll xmlns="4bdc35ca-d498-4be8-8ca3-0de12fcdb3f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30D4C2C3FA2C46A5823140B444E860" ma:contentTypeVersion="15" ma:contentTypeDescription="Crear nuevo documento." ma:contentTypeScope="" ma:versionID="ace3a986a3e95b06696c9bec3b7247bc">
  <xsd:schema xmlns:xsd="http://www.w3.org/2001/XMLSchema" xmlns:xs="http://www.w3.org/2001/XMLSchema" xmlns:p="http://schemas.microsoft.com/office/2006/metadata/properties" xmlns:ns2="99dfe94c-0cad-405c-9c1d-c4b8836841c9" xmlns:ns3="4bdc35ca-d498-4be8-8ca3-0de12fcdb3f1" targetNamespace="http://schemas.microsoft.com/office/2006/metadata/properties" ma:root="true" ma:fieldsID="3b331e3576cbf7e98bdc73ebacf7eb34" ns2:_="" ns3:_="">
    <xsd:import namespace="99dfe94c-0cad-405c-9c1d-c4b8836841c9"/>
    <xsd:import namespace="4bdc35ca-d498-4be8-8ca3-0de12fcdb3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fe94c-0cad-405c-9c1d-c4b8836841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c7a22f14-e6bf-42fb-8733-2126455cba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c35ca-d498-4be8-8ca3-0de12fcdb3f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71dbcf6-b935-443d-8293-2932bcb94f36}" ma:internalName="TaxCatchAll" ma:showField="CatchAllData" ma:web="4bdc35ca-d498-4be8-8ca3-0de12fcdb3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3C34E-5050-4B75-94A9-1BE4AF85F0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CA03AE-FFBF-4873-98F1-E9C3245E2865}">
  <ds:schemaRefs>
    <ds:schemaRef ds:uri="http://schemas.microsoft.com/office/2006/metadata/properties"/>
    <ds:schemaRef ds:uri="http://schemas.microsoft.com/office/infopath/2007/PartnerControls"/>
    <ds:schemaRef ds:uri="99dfe94c-0cad-405c-9c1d-c4b8836841c9"/>
    <ds:schemaRef ds:uri="4bdc35ca-d498-4be8-8ca3-0de12fcdb3f1"/>
  </ds:schemaRefs>
</ds:datastoreItem>
</file>

<file path=customXml/itemProps3.xml><?xml version="1.0" encoding="utf-8"?>
<ds:datastoreItem xmlns:ds="http://schemas.openxmlformats.org/officeDocument/2006/customXml" ds:itemID="{A7FE21E2-4C61-48EF-99AC-954F68C3F4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dfe94c-0cad-405c-9c1d-c4b8836841c9"/>
    <ds:schemaRef ds:uri="4bdc35ca-d498-4be8-8ca3-0de12fcdb3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6B0435-8FF0-42D9-A24A-8D7A9EB2F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1172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7609</CharactersWithSpaces>
  <SharedDoc>false</SharedDoc>
  <HLinks>
    <vt:vector size="6" baseType="variant">
      <vt:variant>
        <vt:i4>327774</vt:i4>
      </vt:variant>
      <vt:variant>
        <vt:i4>0</vt:i4>
      </vt:variant>
      <vt:variant>
        <vt:i4>0</vt:i4>
      </vt:variant>
      <vt:variant>
        <vt:i4>5</vt:i4>
      </vt:variant>
      <vt:variant>
        <vt:lpwstr>https://fundacionalquilerseguro.org/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Negrete | Alquiler Seguro</dc:creator>
  <cp:keywords/>
  <dc:description/>
  <cp:lastModifiedBy>Virginia Carrasco |  Alquiler Seguro</cp:lastModifiedBy>
  <cp:revision>4</cp:revision>
  <cp:lastPrinted>2024-09-09T14:45:00Z</cp:lastPrinted>
  <dcterms:created xsi:type="dcterms:W3CDTF">2024-09-09T15:11:00Z</dcterms:created>
  <dcterms:modified xsi:type="dcterms:W3CDTF">2024-10-03T14:43:00Z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0x010100C630D4C2C3FA2C46A5823140B444E860</vt:lpwstr>
  </property>
  <property fmtid="{D5CDD505-2E9C-101B-9397-08002B2CF9AE}" pid="3" name="MediaServiceImageTags">
    <vt:lpwstr/>
  </property>
</Properties>
</file>