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5A220" w14:textId="7859AF7C" w:rsidR="00626CA9" w:rsidRPr="00A06B8C" w:rsidRDefault="001741C8" w:rsidP="005C4DBD">
      <w:pPr>
        <w:jc w:val="center"/>
        <w:rPr>
          <w:b/>
          <w:color w:val="FF5A00"/>
          <w:sz w:val="32"/>
          <w:szCs w:val="32"/>
        </w:rPr>
      </w:pPr>
      <w:r>
        <w:rPr>
          <w:b/>
          <w:color w:val="FF5A00"/>
          <w:sz w:val="32"/>
          <w:szCs w:val="32"/>
        </w:rPr>
        <w:t xml:space="preserve">BARCELONA PIERDE CASI 10.000 VIVIENDAS EN ALQUILER </w:t>
      </w:r>
      <w:r w:rsidR="00661877">
        <w:rPr>
          <w:b/>
          <w:color w:val="FF5A00"/>
          <w:sz w:val="32"/>
          <w:szCs w:val="32"/>
        </w:rPr>
        <w:t xml:space="preserve">EN TRES MESES </w:t>
      </w:r>
      <w:r>
        <w:rPr>
          <w:b/>
          <w:color w:val="FF5A00"/>
          <w:sz w:val="32"/>
          <w:szCs w:val="32"/>
        </w:rPr>
        <w:t>Y LASTRA LA OFERTA EN TODO EL PAÍS</w:t>
      </w:r>
    </w:p>
    <w:p w14:paraId="6AE3047D" w14:textId="29518A4E" w:rsidR="005C4DBD" w:rsidRDefault="005C4DBD" w:rsidP="00626CA9">
      <w:pPr>
        <w:jc w:val="center"/>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4A68415A" wp14:editId="7F1588CE">
                <wp:simplePos x="0" y="0"/>
                <wp:positionH relativeFrom="margin">
                  <wp:align>right</wp:align>
                </wp:positionH>
                <wp:positionV relativeFrom="paragraph">
                  <wp:posOffset>62230</wp:posOffset>
                </wp:positionV>
                <wp:extent cx="5372100" cy="9525"/>
                <wp:effectExtent l="0" t="0" r="19050" b="28575"/>
                <wp:wrapNone/>
                <wp:docPr id="1668325546" name="Conector recto 1"/>
                <wp:cNvGraphicFramePr/>
                <a:graphic xmlns:a="http://schemas.openxmlformats.org/drawingml/2006/main">
                  <a:graphicData uri="http://schemas.microsoft.com/office/word/2010/wordprocessingShape">
                    <wps:wsp>
                      <wps:cNvCnPr/>
                      <wps:spPr>
                        <a:xfrm flipV="1">
                          <a:off x="0" y="0"/>
                          <a:ext cx="5372100" cy="9525"/>
                        </a:xfrm>
                        <a:prstGeom prst="line">
                          <a:avLst/>
                        </a:prstGeom>
                        <a:ln w="19050">
                          <a:solidFill>
                            <a:srgbClr val="FF5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3ECAC"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8pt,4.9pt" to="794.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" strokecolor="#ff5a00" strokeweight="1.5pt">
                <v:stroke joinstyle="miter"/>
                <w10:wrap anchorx="margin"/>
              </v:line>
            </w:pict>
          </mc:Fallback>
        </mc:AlternateContent>
      </w:r>
    </w:p>
    <w:p w14:paraId="169898B6" w14:textId="516AD216" w:rsidR="004B1A04" w:rsidRDefault="00AA2B7D" w:rsidP="00626CA9">
      <w:pPr>
        <w:jc w:val="center"/>
        <w:rPr>
          <w:b/>
          <w:bCs/>
          <w:sz w:val="24"/>
          <w:szCs w:val="24"/>
        </w:rPr>
      </w:pPr>
      <w:r>
        <w:rPr>
          <w:b/>
          <w:bCs/>
          <w:sz w:val="24"/>
          <w:szCs w:val="24"/>
        </w:rPr>
        <w:t>La oferta de viviendas en alquiler en Barcelona mantiene una fuerte</w:t>
      </w:r>
      <w:r w:rsidR="00473CF3">
        <w:rPr>
          <w:b/>
          <w:bCs/>
          <w:sz w:val="24"/>
          <w:szCs w:val="24"/>
        </w:rPr>
        <w:t xml:space="preserve"> caída </w:t>
      </w:r>
      <w:r>
        <w:rPr>
          <w:b/>
          <w:bCs/>
          <w:sz w:val="24"/>
          <w:szCs w:val="24"/>
        </w:rPr>
        <w:t>desde hace meses, empujada por</w:t>
      </w:r>
      <w:r w:rsidR="005B375C">
        <w:rPr>
          <w:b/>
          <w:bCs/>
          <w:sz w:val="24"/>
          <w:szCs w:val="24"/>
        </w:rPr>
        <w:t xml:space="preserve"> medidas como el control de precios.</w:t>
      </w:r>
    </w:p>
    <w:p w14:paraId="482EE9DD" w14:textId="40B03832" w:rsidR="0022421F" w:rsidRPr="00626CA9" w:rsidRDefault="0022421F" w:rsidP="00626CA9">
      <w:pPr>
        <w:jc w:val="center"/>
        <w:rPr>
          <w:b/>
          <w:bCs/>
          <w:sz w:val="24"/>
          <w:szCs w:val="24"/>
        </w:rPr>
      </w:pPr>
      <w:r>
        <w:rPr>
          <w:b/>
          <w:bCs/>
          <w:sz w:val="24"/>
          <w:szCs w:val="24"/>
        </w:rPr>
        <w:t xml:space="preserve">400 personas </w:t>
      </w:r>
      <w:r w:rsidR="004D5E71">
        <w:rPr>
          <w:b/>
          <w:bCs/>
          <w:sz w:val="24"/>
          <w:szCs w:val="24"/>
        </w:rPr>
        <w:t xml:space="preserve">contactan con </w:t>
      </w:r>
      <w:r w:rsidR="00703242">
        <w:rPr>
          <w:b/>
          <w:bCs/>
          <w:sz w:val="24"/>
          <w:szCs w:val="24"/>
        </w:rPr>
        <w:t>cada oferta de</w:t>
      </w:r>
      <w:r w:rsidR="00656FA7">
        <w:rPr>
          <w:b/>
          <w:bCs/>
          <w:sz w:val="24"/>
          <w:szCs w:val="24"/>
        </w:rPr>
        <w:t xml:space="preserve"> </w:t>
      </w:r>
      <w:r>
        <w:rPr>
          <w:b/>
          <w:bCs/>
          <w:sz w:val="24"/>
          <w:szCs w:val="24"/>
        </w:rPr>
        <w:t>vivienda</w:t>
      </w:r>
      <w:r w:rsidR="004D5E71">
        <w:rPr>
          <w:b/>
          <w:bCs/>
          <w:sz w:val="24"/>
          <w:szCs w:val="24"/>
        </w:rPr>
        <w:t xml:space="preserve"> </w:t>
      </w:r>
      <w:r w:rsidR="00703242">
        <w:rPr>
          <w:b/>
          <w:bCs/>
          <w:sz w:val="24"/>
          <w:szCs w:val="24"/>
        </w:rPr>
        <w:t>en</w:t>
      </w:r>
      <w:r w:rsidR="004D5E71">
        <w:rPr>
          <w:b/>
          <w:bCs/>
          <w:sz w:val="24"/>
          <w:szCs w:val="24"/>
        </w:rPr>
        <w:t xml:space="preserve"> alquiler</w:t>
      </w:r>
      <w:r>
        <w:rPr>
          <w:b/>
          <w:bCs/>
          <w:sz w:val="24"/>
          <w:szCs w:val="24"/>
        </w:rPr>
        <w:t xml:space="preserve"> en Barcelona</w:t>
      </w:r>
      <w:r w:rsidR="00703242">
        <w:rPr>
          <w:b/>
          <w:bCs/>
          <w:sz w:val="24"/>
          <w:szCs w:val="24"/>
        </w:rPr>
        <w:t>.</w:t>
      </w:r>
    </w:p>
    <w:p w14:paraId="47BDE79E" w14:textId="479E9A74" w:rsidR="00D85790" w:rsidRPr="00626CA9" w:rsidRDefault="0069788E" w:rsidP="00626CA9">
      <w:pPr>
        <w:jc w:val="center"/>
        <w:rPr>
          <w:b/>
          <w:bCs/>
          <w:sz w:val="24"/>
          <w:szCs w:val="24"/>
        </w:rPr>
      </w:pPr>
      <w:r>
        <w:rPr>
          <w:b/>
          <w:bCs/>
          <w:sz w:val="24"/>
          <w:szCs w:val="24"/>
        </w:rPr>
        <w:t>La oferta cae también en otros lugares como</w:t>
      </w:r>
      <w:r w:rsidR="003A69A2">
        <w:rPr>
          <w:b/>
          <w:bCs/>
          <w:sz w:val="24"/>
          <w:szCs w:val="24"/>
        </w:rPr>
        <w:t xml:space="preserve"> </w:t>
      </w:r>
      <w:r w:rsidR="0092117F">
        <w:rPr>
          <w:b/>
          <w:bCs/>
          <w:sz w:val="24"/>
          <w:szCs w:val="24"/>
        </w:rPr>
        <w:t xml:space="preserve">el País Vasco, </w:t>
      </w:r>
      <w:r w:rsidR="002A65DD">
        <w:rPr>
          <w:b/>
          <w:bCs/>
          <w:sz w:val="24"/>
          <w:szCs w:val="24"/>
        </w:rPr>
        <w:t>donde las administraciones llevan meses anunciando su intención de declarar zonas tensionadas.</w:t>
      </w:r>
    </w:p>
    <w:p w14:paraId="628E07E4" w14:textId="2FBA0CE7" w:rsidR="00FB4CB7" w:rsidRDefault="00D01EA6" w:rsidP="00626CA9">
      <w:pPr>
        <w:jc w:val="center"/>
        <w:rPr>
          <w:b/>
          <w:bCs/>
          <w:sz w:val="24"/>
          <w:szCs w:val="24"/>
        </w:rPr>
      </w:pPr>
      <w:r>
        <w:rPr>
          <w:b/>
          <w:bCs/>
          <w:sz w:val="24"/>
          <w:szCs w:val="24"/>
        </w:rPr>
        <w:t>La presión de la demanda de alquiler sigue creciendo</w:t>
      </w:r>
      <w:r w:rsidR="00850C03">
        <w:rPr>
          <w:b/>
          <w:bCs/>
          <w:sz w:val="24"/>
          <w:szCs w:val="24"/>
        </w:rPr>
        <w:t>, con Barcelona, Vizcaya y Álava a la cabeza en el número de interesados por vivienda.</w:t>
      </w:r>
    </w:p>
    <w:p w14:paraId="05ED5E76" w14:textId="6D7F1FF0" w:rsidR="00496C03" w:rsidRDefault="00850C03" w:rsidP="00626CA9">
      <w:pPr>
        <w:jc w:val="center"/>
        <w:rPr>
          <w:b/>
          <w:bCs/>
          <w:sz w:val="24"/>
          <w:szCs w:val="24"/>
        </w:rPr>
      </w:pPr>
      <w:r>
        <w:rPr>
          <w:b/>
          <w:bCs/>
          <w:sz w:val="24"/>
          <w:szCs w:val="24"/>
        </w:rPr>
        <w:t xml:space="preserve">Los precios </w:t>
      </w:r>
      <w:r w:rsidR="00661877">
        <w:rPr>
          <w:b/>
          <w:bCs/>
          <w:sz w:val="24"/>
          <w:szCs w:val="24"/>
        </w:rPr>
        <w:t xml:space="preserve">se estabilizan, </w:t>
      </w:r>
      <w:r w:rsidR="008353EC">
        <w:rPr>
          <w:b/>
          <w:bCs/>
          <w:sz w:val="24"/>
          <w:szCs w:val="24"/>
        </w:rPr>
        <w:t>aunque mantienen una tendencia creciente que los sitúa por encima de los 1.000€ en nueve provincias.</w:t>
      </w:r>
    </w:p>
    <w:p w14:paraId="254D2468" w14:textId="07405BB2" w:rsidR="00F96D52" w:rsidRPr="00B93553" w:rsidRDefault="00B93553" w:rsidP="00B93553">
      <w:pPr>
        <w:rPr>
          <w:b/>
          <w:bCs/>
          <w:sz w:val="24"/>
          <w:szCs w:val="24"/>
        </w:rPr>
      </w:pPr>
      <w:r>
        <w:rPr>
          <w:noProof/>
        </w:rPr>
        <mc:AlternateContent>
          <mc:Choice Requires="wps">
            <w:drawing>
              <wp:anchor distT="0" distB="0" distL="114300" distR="114300" simplePos="0" relativeHeight="251661312" behindDoc="0" locked="0" layoutInCell="1" allowOverlap="1" wp14:anchorId="5893B6E4" wp14:editId="7027AA38">
                <wp:simplePos x="0" y="0"/>
                <wp:positionH relativeFrom="margin">
                  <wp:posOffset>5714</wp:posOffset>
                </wp:positionH>
                <wp:positionV relativeFrom="paragraph">
                  <wp:posOffset>80644</wp:posOffset>
                </wp:positionV>
                <wp:extent cx="5381625" cy="19050"/>
                <wp:effectExtent l="0" t="0" r="28575" b="19050"/>
                <wp:wrapNone/>
                <wp:docPr id="1624443959" name="Conector recto 1"/>
                <wp:cNvGraphicFramePr/>
                <a:graphic xmlns:a="http://schemas.openxmlformats.org/drawingml/2006/main">
                  <a:graphicData uri="http://schemas.microsoft.com/office/word/2010/wordprocessingShape">
                    <wps:wsp>
                      <wps:cNvCnPr/>
                      <wps:spPr>
                        <a:xfrm flipV="1">
                          <a:off x="0" y="0"/>
                          <a:ext cx="5381625" cy="19050"/>
                        </a:xfrm>
                        <a:prstGeom prst="line">
                          <a:avLst/>
                        </a:prstGeom>
                        <a:ln w="19050">
                          <a:solidFill>
                            <a:srgbClr val="FF5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64524"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6.35pt" to="42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" strokecolor="#ff5a00" strokeweight="1.5pt">
                <v:stroke joinstyle="miter"/>
                <w10:wrap anchorx="margin"/>
              </v:line>
            </w:pict>
          </mc:Fallback>
        </mc:AlternateContent>
      </w:r>
    </w:p>
    <w:p w14:paraId="50C005B7" w14:textId="564F4818" w:rsidR="00170815" w:rsidRDefault="007421CF" w:rsidP="00676D16">
      <w:pPr>
        <w:jc w:val="both"/>
      </w:pPr>
      <w:r w:rsidRPr="002C6722">
        <w:rPr>
          <w:color w:val="ADADAD" w:themeColor="background2" w:themeShade="BF"/>
        </w:rPr>
        <w:t xml:space="preserve">Madrid, </w:t>
      </w:r>
      <w:r w:rsidR="008353EC">
        <w:rPr>
          <w:color w:val="ADADAD" w:themeColor="background2" w:themeShade="BF"/>
        </w:rPr>
        <w:t>11</w:t>
      </w:r>
      <w:r w:rsidRPr="002C6722">
        <w:rPr>
          <w:color w:val="ADADAD" w:themeColor="background2" w:themeShade="BF"/>
        </w:rPr>
        <w:t xml:space="preserve"> de </w:t>
      </w:r>
      <w:r w:rsidR="008353EC">
        <w:rPr>
          <w:color w:val="ADADAD" w:themeColor="background2" w:themeShade="BF"/>
        </w:rPr>
        <w:t>diciembre</w:t>
      </w:r>
      <w:r w:rsidRPr="002C6722">
        <w:rPr>
          <w:color w:val="ADADAD" w:themeColor="background2" w:themeShade="BF"/>
        </w:rPr>
        <w:t xml:space="preserve"> de 2024. </w:t>
      </w:r>
      <w:r w:rsidR="001D44FC" w:rsidRPr="002C6722">
        <w:t>L</w:t>
      </w:r>
      <w:r w:rsidR="008353EC">
        <w:t>a oferta de vivienda en</w:t>
      </w:r>
      <w:r w:rsidR="000230C7">
        <w:t xml:space="preserve"> alquiler siguió cayendo en el tercer trimestre del año</w:t>
      </w:r>
      <w:r w:rsidR="00971731">
        <w:t xml:space="preserve"> en unas </w:t>
      </w:r>
      <w:r w:rsidR="00971731" w:rsidRPr="00DB6545">
        <w:rPr>
          <w:b/>
          <w:bCs/>
        </w:rPr>
        <w:t>27.732 viviendas</w:t>
      </w:r>
      <w:r w:rsidR="00971731">
        <w:t xml:space="preserve"> con respecto al periodo anterior</w:t>
      </w:r>
      <w:r w:rsidR="000C4540">
        <w:t xml:space="preserve">, una cifra muy marcada por </w:t>
      </w:r>
      <w:r w:rsidR="000C4540" w:rsidRPr="00DB6545">
        <w:rPr>
          <w:b/>
          <w:bCs/>
        </w:rPr>
        <w:t>la pérdida de oferta en la provincia de Barcelona</w:t>
      </w:r>
      <w:r w:rsidR="000C4540">
        <w:t xml:space="preserve">, que se redujo en unos </w:t>
      </w:r>
      <w:r w:rsidR="003D6A1B" w:rsidRPr="00DB6545">
        <w:rPr>
          <w:b/>
          <w:bCs/>
        </w:rPr>
        <w:t>9.284 inmueble</w:t>
      </w:r>
      <w:r w:rsidR="00720AD3" w:rsidRPr="00DB6545">
        <w:rPr>
          <w:b/>
          <w:bCs/>
        </w:rPr>
        <w:t>s</w:t>
      </w:r>
      <w:r w:rsidR="003D6A1B">
        <w:t>.</w:t>
      </w:r>
      <w:r w:rsidR="003E3CD8">
        <w:t xml:space="preserve"> Así lo recoge</w:t>
      </w:r>
      <w:r w:rsidR="00720AD3">
        <w:t>n</w:t>
      </w:r>
      <w:r w:rsidR="003E3CD8">
        <w:t xml:space="preserve"> los datos del tercer trimestre de 2024 del </w:t>
      </w:r>
      <w:r w:rsidR="003E3CD8" w:rsidRPr="00DB6545">
        <w:rPr>
          <w:b/>
          <w:bCs/>
        </w:rPr>
        <w:t>Barómetro del Alquiler</w:t>
      </w:r>
      <w:r w:rsidR="003E3CD8">
        <w:t xml:space="preserve">, un estudio elaborado por el </w:t>
      </w:r>
      <w:r w:rsidR="003E3CD8" w:rsidRPr="00DB6545">
        <w:rPr>
          <w:b/>
          <w:bCs/>
        </w:rPr>
        <w:t>Observatorio del Alquiler</w:t>
      </w:r>
      <w:r w:rsidR="003E3CD8">
        <w:t xml:space="preserve"> de la </w:t>
      </w:r>
      <w:r w:rsidR="003E3CD8" w:rsidRPr="00DB6545">
        <w:rPr>
          <w:b/>
          <w:bCs/>
        </w:rPr>
        <w:t>Fundación Alquiler Seguro</w:t>
      </w:r>
      <w:r w:rsidR="003E3CD8">
        <w:t xml:space="preserve"> y la </w:t>
      </w:r>
      <w:r w:rsidR="003E3CD8" w:rsidRPr="00DB6545">
        <w:rPr>
          <w:b/>
          <w:bCs/>
        </w:rPr>
        <w:t>Universidad Rey Juan Carlos</w:t>
      </w:r>
      <w:r w:rsidR="003E3CD8">
        <w:t>.</w:t>
      </w:r>
    </w:p>
    <w:p w14:paraId="035F94BA" w14:textId="15DCC769" w:rsidR="00C2396A" w:rsidRDefault="003D6A1B" w:rsidP="007421CF">
      <w:pPr>
        <w:jc w:val="both"/>
      </w:pPr>
      <w:r>
        <w:t xml:space="preserve">La declaración de la zona tensionada en Cataluña </w:t>
      </w:r>
      <w:r w:rsidR="00285C44">
        <w:t xml:space="preserve">mantiene a Barcelona con unos niveles de presión sin precedentes, con </w:t>
      </w:r>
      <w:r w:rsidR="00035321" w:rsidRPr="00DB6545">
        <w:rPr>
          <w:b/>
          <w:bCs/>
        </w:rPr>
        <w:t>3</w:t>
      </w:r>
      <w:r w:rsidR="00075FDD" w:rsidRPr="00DB6545">
        <w:rPr>
          <w:b/>
          <w:bCs/>
        </w:rPr>
        <w:t>97 interesados por vivienda en un plazo de diez días</w:t>
      </w:r>
      <w:r w:rsidR="00075FDD">
        <w:t>, una realidad que está lejos de solucionarse mientras la oferta siga cayendo en la provincia.</w:t>
      </w:r>
      <w:r w:rsidR="0067746F">
        <w:t xml:space="preserve"> Las políticas de </w:t>
      </w:r>
      <w:r w:rsidR="0067746F" w:rsidRPr="00DB6545">
        <w:rPr>
          <w:b/>
          <w:bCs/>
        </w:rPr>
        <w:t>control de precios</w:t>
      </w:r>
      <w:r w:rsidR="0067746F">
        <w:t xml:space="preserve"> han animado a muchos propietarios a optar por otras alternativas al alquiler residencial, lo que ha desestabilizado aún más el mercado.</w:t>
      </w:r>
    </w:p>
    <w:p w14:paraId="2E59D0F3" w14:textId="4F7E65CE" w:rsidR="00676D16" w:rsidRPr="00676D16" w:rsidRDefault="00676D16" w:rsidP="00676D16">
      <w:pPr>
        <w:jc w:val="both"/>
      </w:pPr>
      <w:r w:rsidRPr="00676D16">
        <w:lastRenderedPageBreak/>
        <w:drawing>
          <wp:inline distT="0" distB="0" distL="0" distR="0" wp14:anchorId="5D52036A" wp14:editId="34BD1094">
            <wp:extent cx="5400040" cy="3707765"/>
            <wp:effectExtent l="0" t="0" r="0" b="6985"/>
            <wp:docPr id="2054270766" name="Imagen 4" descr="Diagram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70766" name="Imagen 4" descr="Diagrama, Tabl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707765"/>
                    </a:xfrm>
                    <a:prstGeom prst="rect">
                      <a:avLst/>
                    </a:prstGeom>
                    <a:noFill/>
                    <a:ln>
                      <a:noFill/>
                    </a:ln>
                  </pic:spPr>
                </pic:pic>
              </a:graphicData>
            </a:graphic>
          </wp:inline>
        </w:drawing>
      </w:r>
    </w:p>
    <w:p w14:paraId="4E32D863" w14:textId="77777777" w:rsidR="00676D16" w:rsidRDefault="00676D16" w:rsidP="007421CF">
      <w:pPr>
        <w:jc w:val="both"/>
      </w:pPr>
    </w:p>
    <w:p w14:paraId="65BC93E7" w14:textId="1C6E4AA8" w:rsidR="00A8215C" w:rsidRPr="009C37BA" w:rsidRDefault="00A8215C" w:rsidP="007421CF">
      <w:pPr>
        <w:jc w:val="both"/>
        <w:rPr>
          <w:b/>
          <w:color w:val="FF5A00"/>
        </w:rPr>
      </w:pPr>
      <w:r w:rsidRPr="009C37BA">
        <w:rPr>
          <w:b/>
          <w:color w:val="FF5A00"/>
        </w:rPr>
        <w:t>L</w:t>
      </w:r>
      <w:r w:rsidR="009C37BA" w:rsidRPr="009C37BA">
        <w:rPr>
          <w:b/>
          <w:color w:val="FF5A00"/>
        </w:rPr>
        <w:t xml:space="preserve">OS ANUNCIOS DE DECLARAR ZONAS TENSIONADAS EN </w:t>
      </w:r>
      <w:r w:rsidR="007B66E0">
        <w:rPr>
          <w:b/>
          <w:color w:val="FF5A00"/>
        </w:rPr>
        <w:t xml:space="preserve">EL </w:t>
      </w:r>
      <w:r w:rsidR="009C37BA" w:rsidRPr="009C37BA">
        <w:rPr>
          <w:b/>
          <w:color w:val="FF5A00"/>
        </w:rPr>
        <w:t>PAÍS VASCO SE EMPIEZAN A NOTAR EN LA OFERTA</w:t>
      </w:r>
    </w:p>
    <w:p w14:paraId="0EA720C2" w14:textId="4CF54AB0" w:rsidR="003E3CD8" w:rsidRDefault="00291F77" w:rsidP="007421CF">
      <w:pPr>
        <w:jc w:val="both"/>
      </w:pPr>
      <w:r>
        <w:t xml:space="preserve">Barcelona es, en términos absolutos, la provincia que más oferta pierde en este trimestre. Sin embargo, </w:t>
      </w:r>
      <w:r w:rsidR="00453669">
        <w:t xml:space="preserve">si se toman valores relativos, aparecen otros lugares como </w:t>
      </w:r>
      <w:r w:rsidR="00453669" w:rsidRPr="00510553">
        <w:rPr>
          <w:b/>
          <w:bCs/>
        </w:rPr>
        <w:t>Salamanca</w:t>
      </w:r>
      <w:r w:rsidR="00453669">
        <w:t xml:space="preserve"> </w:t>
      </w:r>
      <w:r w:rsidR="000365E2">
        <w:t>(</w:t>
      </w:r>
      <w:r w:rsidR="001B3536">
        <w:t xml:space="preserve">-13,5%) </w:t>
      </w:r>
      <w:r w:rsidR="00453669">
        <w:t xml:space="preserve">y </w:t>
      </w:r>
      <w:r w:rsidR="00453669" w:rsidRPr="00510553">
        <w:rPr>
          <w:b/>
          <w:bCs/>
        </w:rPr>
        <w:t>Granada</w:t>
      </w:r>
      <w:r w:rsidR="001B3536">
        <w:rPr>
          <w:b/>
          <w:bCs/>
        </w:rPr>
        <w:t xml:space="preserve"> </w:t>
      </w:r>
      <w:r w:rsidR="001B3536" w:rsidRPr="005E7162">
        <w:t>(-12,8%)</w:t>
      </w:r>
      <w:r w:rsidR="00453669" w:rsidRPr="005E7162">
        <w:t>,</w:t>
      </w:r>
      <w:r w:rsidR="00453669">
        <w:t xml:space="preserve"> marcadas por la estacionalidad de la demanda de estudiantes universitarios, y otr</w:t>
      </w:r>
      <w:r w:rsidR="00F33A05">
        <w:t>o</w:t>
      </w:r>
      <w:r w:rsidR="00453669">
        <w:t xml:space="preserve">s como </w:t>
      </w:r>
      <w:r w:rsidR="00255BD2" w:rsidRPr="005E7162">
        <w:rPr>
          <w:b/>
          <w:bCs/>
        </w:rPr>
        <w:t>Navarra</w:t>
      </w:r>
      <w:r w:rsidR="005E7162" w:rsidRPr="005E7162">
        <w:t xml:space="preserve"> </w:t>
      </w:r>
      <w:r w:rsidR="001B3536" w:rsidRPr="005E7162">
        <w:t>(-9,32%)</w:t>
      </w:r>
      <w:r w:rsidR="00255BD2" w:rsidRPr="005E7162">
        <w:t xml:space="preserve">, </w:t>
      </w:r>
      <w:r w:rsidR="00255BD2" w:rsidRPr="005E7162">
        <w:rPr>
          <w:b/>
          <w:bCs/>
        </w:rPr>
        <w:t>Huelva</w:t>
      </w:r>
      <w:r w:rsidR="001B3536" w:rsidRPr="005E7162">
        <w:t xml:space="preserve"> </w:t>
      </w:r>
      <w:r w:rsidR="00E427D2" w:rsidRPr="005E7162">
        <w:t>(-8,76%)</w:t>
      </w:r>
      <w:r w:rsidR="00255BD2" w:rsidRPr="005E7162">
        <w:t xml:space="preserve">, </w:t>
      </w:r>
      <w:r w:rsidR="00255BD2" w:rsidRPr="005E7162">
        <w:rPr>
          <w:b/>
          <w:bCs/>
        </w:rPr>
        <w:t>Guipúzcoa</w:t>
      </w:r>
      <w:r w:rsidR="00E427D2" w:rsidRPr="005E7162">
        <w:t xml:space="preserve"> (-7,76%)</w:t>
      </w:r>
      <w:r w:rsidR="00255BD2" w:rsidRPr="005E7162">
        <w:t xml:space="preserve">, </w:t>
      </w:r>
      <w:r w:rsidR="00255BD2" w:rsidRPr="005E7162">
        <w:rPr>
          <w:b/>
          <w:bCs/>
        </w:rPr>
        <w:t>Vizcaya</w:t>
      </w:r>
      <w:r w:rsidR="005E7162" w:rsidRPr="005E7162">
        <w:t xml:space="preserve"> (-7,59%)</w:t>
      </w:r>
      <w:r w:rsidR="00255BD2" w:rsidRPr="005E7162">
        <w:t xml:space="preserve"> y </w:t>
      </w:r>
      <w:r w:rsidR="00255BD2" w:rsidRPr="005E7162">
        <w:rPr>
          <w:b/>
          <w:bCs/>
        </w:rPr>
        <w:t>Álava</w:t>
      </w:r>
      <w:r w:rsidR="005E7162" w:rsidRPr="005E7162">
        <w:t xml:space="preserve"> (-6,68%)</w:t>
      </w:r>
      <w:r w:rsidR="00255BD2" w:rsidRPr="005E7162">
        <w:t>.</w:t>
      </w:r>
    </w:p>
    <w:p w14:paraId="368B99BB" w14:textId="0F34A2EA" w:rsidR="00255BD2" w:rsidRDefault="0042733F" w:rsidP="007421CF">
      <w:pPr>
        <w:jc w:val="both"/>
      </w:pPr>
      <w:r>
        <w:t>Las autoridades vascas llevan meses anunciando sus intenciones de declarar zonas tensionadas en sus territorios. Si bien en el periodo analizado todavía no habí</w:t>
      </w:r>
      <w:r w:rsidR="000757B3">
        <w:t xml:space="preserve">a entrado en vigor ninguna, </w:t>
      </w:r>
      <w:r w:rsidR="004A0A9E">
        <w:t xml:space="preserve">las afirmaciones en este sentido podrían haber expulsado a muchos propietarios, que habrían retirado sus viviendas de estos mercados. </w:t>
      </w:r>
      <w:r w:rsidR="00F773CD">
        <w:t xml:space="preserve">A principios de octubre se declaró la primera zona tensionada en el País Vasco, </w:t>
      </w:r>
      <w:r w:rsidR="00984325">
        <w:t>el municipio</w:t>
      </w:r>
      <w:r w:rsidR="00F773CD">
        <w:t xml:space="preserve"> de Rentería, con afirmaciones de que la medida se extendería a </w:t>
      </w:r>
      <w:r w:rsidR="00984325">
        <w:t>otras localidades, incluidas las capitales.</w:t>
      </w:r>
    </w:p>
    <w:p w14:paraId="5DCA5547" w14:textId="77777777" w:rsidR="00395F42" w:rsidRDefault="00395F42" w:rsidP="007421CF">
      <w:pPr>
        <w:jc w:val="both"/>
      </w:pPr>
    </w:p>
    <w:p w14:paraId="6F174022" w14:textId="4E1EFFE0" w:rsidR="00AB3187" w:rsidRPr="00043C2F" w:rsidRDefault="005A56D7" w:rsidP="007421CF">
      <w:pPr>
        <w:jc w:val="both"/>
        <w:rPr>
          <w:b/>
          <w:color w:val="FF5A00"/>
        </w:rPr>
      </w:pPr>
      <w:r w:rsidRPr="00043C2F">
        <w:rPr>
          <w:b/>
          <w:color w:val="FF5A00"/>
        </w:rPr>
        <w:t>LA PRESIÓN DE LA DEMANDA SIGUE SUBIENDO</w:t>
      </w:r>
    </w:p>
    <w:p w14:paraId="593C1C57" w14:textId="7433878B" w:rsidR="005A56D7" w:rsidRDefault="005A56D7" w:rsidP="007421CF">
      <w:pPr>
        <w:jc w:val="both"/>
      </w:pPr>
      <w:r>
        <w:t xml:space="preserve">La caída de la oferta está estrechamente relacionada con los aumentos en la presión de la demanda, es decir, con el número de personas que se interesan por una vivienda en un plazo de diez días. </w:t>
      </w:r>
      <w:r w:rsidR="002628E3">
        <w:t xml:space="preserve">Además de Barcelona, donde el dato alcanza casi los 400 contactos por </w:t>
      </w:r>
      <w:r w:rsidR="002628E3">
        <w:lastRenderedPageBreak/>
        <w:t xml:space="preserve">inmueble, </w:t>
      </w:r>
      <w:r w:rsidR="00E220C0">
        <w:t xml:space="preserve">se mantiene especialmente alta en provincias como </w:t>
      </w:r>
      <w:r w:rsidR="00E220C0" w:rsidRPr="00510553">
        <w:rPr>
          <w:b/>
          <w:bCs/>
        </w:rPr>
        <w:t>Vizcaya</w:t>
      </w:r>
      <w:r w:rsidR="00E220C0">
        <w:t xml:space="preserve"> (172), </w:t>
      </w:r>
      <w:r w:rsidR="00E220C0" w:rsidRPr="00510553">
        <w:rPr>
          <w:b/>
          <w:bCs/>
        </w:rPr>
        <w:t>Álava</w:t>
      </w:r>
      <w:r w:rsidR="00E220C0">
        <w:t xml:space="preserve"> (</w:t>
      </w:r>
      <w:r w:rsidR="009B6AF4">
        <w:t xml:space="preserve">123), </w:t>
      </w:r>
      <w:r w:rsidR="009B6AF4" w:rsidRPr="00510553">
        <w:rPr>
          <w:b/>
          <w:bCs/>
        </w:rPr>
        <w:t>Baleares</w:t>
      </w:r>
      <w:r w:rsidR="009B6AF4">
        <w:t xml:space="preserve"> (1</w:t>
      </w:r>
      <w:r w:rsidR="00FB60CF">
        <w:t xml:space="preserve">19), </w:t>
      </w:r>
      <w:r w:rsidR="00FB60CF" w:rsidRPr="00510553">
        <w:rPr>
          <w:b/>
          <w:bCs/>
        </w:rPr>
        <w:t>Madrid</w:t>
      </w:r>
      <w:r w:rsidR="00FB60CF">
        <w:t xml:space="preserve"> (111), </w:t>
      </w:r>
      <w:r w:rsidR="00FB60CF" w:rsidRPr="00510553">
        <w:rPr>
          <w:b/>
          <w:bCs/>
        </w:rPr>
        <w:t>Valencia</w:t>
      </w:r>
      <w:r w:rsidR="00FB60CF">
        <w:t xml:space="preserve"> (111) </w:t>
      </w:r>
      <w:r w:rsidR="00156D59">
        <w:t xml:space="preserve">y </w:t>
      </w:r>
      <w:r w:rsidR="00156D59" w:rsidRPr="00510553">
        <w:rPr>
          <w:b/>
          <w:bCs/>
        </w:rPr>
        <w:t>Santa Cruz de Tenerife</w:t>
      </w:r>
      <w:r w:rsidR="00156D59">
        <w:t xml:space="preserve"> (104).</w:t>
      </w:r>
    </w:p>
    <w:p w14:paraId="7A88791A" w14:textId="63DA8FFC" w:rsidR="00156D59" w:rsidRDefault="00F053E3" w:rsidP="007421CF">
      <w:pPr>
        <w:jc w:val="both"/>
      </w:pPr>
      <w:r>
        <w:t xml:space="preserve">Con todo, la presión sigue siendo muy </w:t>
      </w:r>
      <w:r w:rsidRPr="00D31385">
        <w:rPr>
          <w:b/>
          <w:bCs/>
        </w:rPr>
        <w:t>heterogénea</w:t>
      </w:r>
      <w:r>
        <w:t xml:space="preserve"> a lo largo del país. </w:t>
      </w:r>
      <w:r w:rsidR="00FC6609">
        <w:t xml:space="preserve">El dato nacional </w:t>
      </w:r>
      <w:r w:rsidR="00747440">
        <w:t xml:space="preserve">se eleva hasta los </w:t>
      </w:r>
      <w:r w:rsidR="00747440" w:rsidRPr="00747440">
        <w:rPr>
          <w:b/>
          <w:bCs/>
        </w:rPr>
        <w:t>120 interesados por vivienda</w:t>
      </w:r>
      <w:r w:rsidR="00747440">
        <w:t xml:space="preserve">, pero, aunque </w:t>
      </w:r>
      <w:r>
        <w:t>en determinad</w:t>
      </w:r>
      <w:r w:rsidR="006F427F">
        <w:t>os lugares</w:t>
      </w:r>
      <w:r>
        <w:t xml:space="preserve">, como las grandes ciudades y </w:t>
      </w:r>
      <w:r w:rsidR="006F427F">
        <w:t xml:space="preserve">las zonas costeras, la demanda está muy descompensada con respecto a la oferta; en otros, los niveles se mantienen más estables y equilibrados. </w:t>
      </w:r>
    </w:p>
    <w:p w14:paraId="1740EF33" w14:textId="2D8A1E65" w:rsidR="00287075" w:rsidRDefault="00287075" w:rsidP="007421CF">
      <w:pPr>
        <w:jc w:val="both"/>
      </w:pPr>
      <w:r>
        <w:t xml:space="preserve">Los </w:t>
      </w:r>
      <w:r w:rsidRPr="00D31385">
        <w:rPr>
          <w:b/>
          <w:bCs/>
        </w:rPr>
        <w:t>efectos de la declaración de zonas tensionadas</w:t>
      </w:r>
      <w:r>
        <w:t xml:space="preserve"> se pueden detectar también en el aumento de la oferta. En este sentido, cabe destacar el comportamiento de las provincias de </w:t>
      </w:r>
      <w:r w:rsidRPr="00D31385">
        <w:rPr>
          <w:b/>
          <w:bCs/>
        </w:rPr>
        <w:t>Álava</w:t>
      </w:r>
      <w:r>
        <w:t xml:space="preserve"> o de </w:t>
      </w:r>
      <w:r w:rsidRPr="00D31385">
        <w:rPr>
          <w:b/>
          <w:bCs/>
        </w:rPr>
        <w:t>Girona</w:t>
      </w:r>
      <w:r>
        <w:t>, donde más crecieron los contactos que recibe cada oferta de vivienda en alquiler en este trimestre.</w:t>
      </w:r>
    </w:p>
    <w:p w14:paraId="35B31F71" w14:textId="1A68C405" w:rsidR="00287075" w:rsidRDefault="00287075" w:rsidP="007421CF">
      <w:pPr>
        <w:jc w:val="both"/>
      </w:pPr>
      <w:r>
        <w:t xml:space="preserve">Álava, que pasó en tres meses </w:t>
      </w:r>
      <w:r w:rsidRPr="00D31385">
        <w:rPr>
          <w:b/>
          <w:bCs/>
        </w:rPr>
        <w:t xml:space="preserve">de una presión de </w:t>
      </w:r>
      <w:r w:rsidR="00997C0C" w:rsidRPr="00D31385">
        <w:rPr>
          <w:b/>
          <w:bCs/>
        </w:rPr>
        <w:t>76 a una de 123</w:t>
      </w:r>
      <w:r w:rsidR="00997C0C">
        <w:t>, es una provincia muy marcada por la escasez de oferta</w:t>
      </w:r>
      <w:r w:rsidR="00BE5691">
        <w:t xml:space="preserve">. El mercado se concentra fundamentalmente en la capital, Vitoria, que ya ha anunciado </w:t>
      </w:r>
      <w:r w:rsidR="00A57A5F">
        <w:t xml:space="preserve">que solicitará la declaración de zona tensionada. </w:t>
      </w:r>
    </w:p>
    <w:p w14:paraId="379A3745" w14:textId="3E7BF361" w:rsidR="004C6621" w:rsidRPr="004C6621" w:rsidRDefault="004C6621" w:rsidP="004C6621">
      <w:pPr>
        <w:rPr>
          <w:b/>
          <w:bCs/>
          <w:highlight w:val="yellow"/>
        </w:rPr>
      </w:pPr>
      <w:r w:rsidRPr="004C6621">
        <w:rPr>
          <w:b/>
          <w:bCs/>
        </w:rPr>
        <w:drawing>
          <wp:inline distT="0" distB="0" distL="0" distR="0" wp14:anchorId="44FCF6F0" wp14:editId="08539BBA">
            <wp:extent cx="5400040" cy="4127500"/>
            <wp:effectExtent l="0" t="0" r="0" b="6350"/>
            <wp:docPr id="790938542" name="Imagen 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38542" name="Imagen 6" descr="Imagen que contiene Interfaz de usuario gráfic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4127500"/>
                    </a:xfrm>
                    <a:prstGeom prst="rect">
                      <a:avLst/>
                    </a:prstGeom>
                    <a:noFill/>
                    <a:ln>
                      <a:noFill/>
                    </a:ln>
                  </pic:spPr>
                </pic:pic>
              </a:graphicData>
            </a:graphic>
          </wp:inline>
        </w:drawing>
      </w:r>
    </w:p>
    <w:p w14:paraId="7BABFA9C" w14:textId="6A800654" w:rsidR="00202A2B" w:rsidRDefault="00A8215C" w:rsidP="004C6621">
      <w:pPr>
        <w:jc w:val="both"/>
      </w:pPr>
      <w:r>
        <w:t xml:space="preserve">En cuanto a Girona, se observa un efecto similar a lo que ocurrió con Tarragona en el trimestre anterior: </w:t>
      </w:r>
      <w:r w:rsidRPr="00D31385">
        <w:rPr>
          <w:b/>
          <w:bCs/>
        </w:rPr>
        <w:t>la cercanía con Barcelona</w:t>
      </w:r>
      <w:r>
        <w:t xml:space="preserve"> empuja a muchos inquilinos a buscar vivienda más lejos de la capital, subiendo la presión en esta provincia catalana </w:t>
      </w:r>
      <w:r w:rsidRPr="00D31385">
        <w:rPr>
          <w:b/>
          <w:bCs/>
        </w:rPr>
        <w:t>de 66 a 94</w:t>
      </w:r>
      <w:r>
        <w:t xml:space="preserve"> en este periodo.</w:t>
      </w:r>
    </w:p>
    <w:p w14:paraId="722F3FC0" w14:textId="23AE3C92" w:rsidR="00FE1ACC" w:rsidRPr="00FE1ACC" w:rsidRDefault="00FE1ACC" w:rsidP="00FE1ACC">
      <w:pPr>
        <w:jc w:val="both"/>
      </w:pPr>
      <w:r w:rsidRPr="00FE1ACC">
        <w:lastRenderedPageBreak/>
        <w:drawing>
          <wp:inline distT="0" distB="0" distL="0" distR="0" wp14:anchorId="7025B8CB" wp14:editId="0481258D">
            <wp:extent cx="5400040" cy="4127500"/>
            <wp:effectExtent l="0" t="0" r="0" b="6350"/>
            <wp:docPr id="354877197"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77197" name="Imagen 8" descr="Imagen que contiene Interfaz de usuario gráfica&#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4127500"/>
                    </a:xfrm>
                    <a:prstGeom prst="rect">
                      <a:avLst/>
                    </a:prstGeom>
                    <a:noFill/>
                    <a:ln>
                      <a:noFill/>
                    </a:ln>
                  </pic:spPr>
                </pic:pic>
              </a:graphicData>
            </a:graphic>
          </wp:inline>
        </w:drawing>
      </w:r>
    </w:p>
    <w:p w14:paraId="01F4CD2B" w14:textId="33339444" w:rsidR="00481932" w:rsidRPr="00FE3B7D" w:rsidRDefault="00FE3B7D" w:rsidP="00FE3B7D">
      <w:pPr>
        <w:jc w:val="both"/>
        <w:rPr>
          <w:b/>
          <w:color w:val="FF5A00"/>
        </w:rPr>
      </w:pPr>
      <w:r w:rsidRPr="00FE3B7D">
        <w:rPr>
          <w:b/>
          <w:color w:val="FF5A00"/>
        </w:rPr>
        <w:t>LOS PRECIOS SE ESTABILIZAN, AUNQUE SIGUEN CRECIENDO</w:t>
      </w:r>
    </w:p>
    <w:p w14:paraId="1004D016" w14:textId="1600810F" w:rsidR="00FE3B7D" w:rsidRDefault="00C4365E" w:rsidP="00FE3B7D">
      <w:pPr>
        <w:jc w:val="both"/>
      </w:pPr>
      <w:r>
        <w:t xml:space="preserve">El precio medio de alquilar una vivienda en España asciende a </w:t>
      </w:r>
      <w:r w:rsidRPr="00D31385">
        <w:rPr>
          <w:b/>
          <w:bCs/>
        </w:rPr>
        <w:t>1.117€</w:t>
      </w:r>
      <w:r w:rsidR="00875201">
        <w:t>, 11€ más que el trimestre anterior</w:t>
      </w:r>
      <w:r w:rsidR="00983B12">
        <w:t xml:space="preserve">. </w:t>
      </w:r>
      <w:r w:rsidR="00BD0F20">
        <w:t xml:space="preserve">A nivel general, los precios se mantuvieron </w:t>
      </w:r>
      <w:r w:rsidR="00BD0F20" w:rsidRPr="00E35A47">
        <w:rPr>
          <w:b/>
          <w:bCs/>
        </w:rPr>
        <w:t>estables</w:t>
      </w:r>
      <w:r w:rsidR="00BD0F20">
        <w:t xml:space="preserve"> con respecto al periodo anterior, con ligeras subidas y bajadas en algunas provincias. </w:t>
      </w:r>
      <w:r w:rsidR="00F8350F">
        <w:t>L</w:t>
      </w:r>
      <w:r w:rsidR="00937CED">
        <w:t xml:space="preserve">as mayores variaciones </w:t>
      </w:r>
      <w:r w:rsidR="00F8350F">
        <w:t xml:space="preserve">se produjeron en lugares como </w:t>
      </w:r>
      <w:r w:rsidR="00F8350F" w:rsidRPr="00E35A47">
        <w:rPr>
          <w:b/>
          <w:bCs/>
        </w:rPr>
        <w:t>Huelva</w:t>
      </w:r>
      <w:r w:rsidR="00F8350F">
        <w:t xml:space="preserve"> (+2,08%), </w:t>
      </w:r>
      <w:r w:rsidR="00AB3FE5" w:rsidRPr="00E35A47">
        <w:rPr>
          <w:b/>
          <w:bCs/>
        </w:rPr>
        <w:t>Burgos</w:t>
      </w:r>
      <w:r w:rsidR="00AB3FE5">
        <w:t xml:space="preserve"> (+1,83%) o </w:t>
      </w:r>
      <w:r w:rsidR="00AB3FE5" w:rsidRPr="00E35A47">
        <w:rPr>
          <w:b/>
          <w:bCs/>
        </w:rPr>
        <w:t>Toledo</w:t>
      </w:r>
      <w:r w:rsidR="00AB3FE5">
        <w:t xml:space="preserve"> (+1,19%), </w:t>
      </w:r>
      <w:r w:rsidR="00937CED">
        <w:t>así como</w:t>
      </w:r>
      <w:r w:rsidR="00C16B72">
        <w:t xml:space="preserve"> en </w:t>
      </w:r>
      <w:r w:rsidR="00C16B72" w:rsidRPr="00E35A47">
        <w:rPr>
          <w:b/>
          <w:bCs/>
        </w:rPr>
        <w:t>Huesca</w:t>
      </w:r>
      <w:r w:rsidR="00C16B72">
        <w:t xml:space="preserve"> (-1,05%), </w:t>
      </w:r>
      <w:r w:rsidR="00C16B72" w:rsidRPr="00E35A47">
        <w:rPr>
          <w:b/>
          <w:bCs/>
        </w:rPr>
        <w:t>Jaén</w:t>
      </w:r>
      <w:r w:rsidR="00C16B72">
        <w:t xml:space="preserve"> (-0,91%) o </w:t>
      </w:r>
      <w:r w:rsidR="00C16B72" w:rsidRPr="00E35A47">
        <w:rPr>
          <w:b/>
          <w:bCs/>
        </w:rPr>
        <w:t>Cuenca</w:t>
      </w:r>
      <w:r w:rsidR="00C16B72">
        <w:t xml:space="preserve"> (-0,86%).</w:t>
      </w:r>
    </w:p>
    <w:p w14:paraId="24BD2CDC" w14:textId="7CFB2C40" w:rsidR="0081025F" w:rsidRDefault="0081025F" w:rsidP="00FE3B7D">
      <w:pPr>
        <w:jc w:val="both"/>
      </w:pPr>
      <w:r>
        <w:t xml:space="preserve">Sin embargo, </w:t>
      </w:r>
      <w:r w:rsidR="00B8373F">
        <w:t xml:space="preserve">los niveles medios de precio siguen siendo muy altos en muchas provincias del país. </w:t>
      </w:r>
      <w:r w:rsidR="00B8373F" w:rsidRPr="00E35A47">
        <w:rPr>
          <w:b/>
          <w:bCs/>
        </w:rPr>
        <w:t>Baleares</w:t>
      </w:r>
      <w:r w:rsidR="00B8373F">
        <w:t xml:space="preserve"> y </w:t>
      </w:r>
      <w:r w:rsidR="00B8373F" w:rsidRPr="00E35A47">
        <w:rPr>
          <w:b/>
          <w:bCs/>
        </w:rPr>
        <w:t>Barcelona</w:t>
      </w:r>
      <w:r w:rsidR="00B8373F">
        <w:t xml:space="preserve"> son las provincias más caras para vivir de alquiler. </w:t>
      </w:r>
      <w:r w:rsidR="00933734">
        <w:t xml:space="preserve">Aquí, el precio de arrendar una vivienda asciende a 1.604€ de media. Les siguen zonas como </w:t>
      </w:r>
      <w:r w:rsidR="00933734" w:rsidRPr="00E35A47">
        <w:rPr>
          <w:b/>
          <w:bCs/>
        </w:rPr>
        <w:t>Madrid</w:t>
      </w:r>
      <w:r w:rsidR="002D7599">
        <w:t xml:space="preserve"> (1.502€), </w:t>
      </w:r>
      <w:r w:rsidR="002D7599" w:rsidRPr="00E35A47">
        <w:rPr>
          <w:b/>
          <w:bCs/>
        </w:rPr>
        <w:t>Guipúzcoa</w:t>
      </w:r>
      <w:r w:rsidR="002D7599">
        <w:t xml:space="preserve"> (</w:t>
      </w:r>
      <w:r w:rsidR="005B0DBB">
        <w:t xml:space="preserve">1.429€), </w:t>
      </w:r>
      <w:r w:rsidR="005B0DBB" w:rsidRPr="00E35A47">
        <w:rPr>
          <w:b/>
          <w:bCs/>
        </w:rPr>
        <w:t>Vizcaya</w:t>
      </w:r>
      <w:r w:rsidR="005B0DBB">
        <w:t xml:space="preserve"> (1.230€) o </w:t>
      </w:r>
      <w:r w:rsidR="005B0DBB" w:rsidRPr="00E35A47">
        <w:rPr>
          <w:b/>
          <w:bCs/>
        </w:rPr>
        <w:t>Málaga</w:t>
      </w:r>
      <w:r w:rsidR="005B0DBB">
        <w:t xml:space="preserve"> (</w:t>
      </w:r>
      <w:r w:rsidR="008368A1">
        <w:t xml:space="preserve">1.195€). Completan la lista de las provincias con precios por encima de los 1.000€ otras como </w:t>
      </w:r>
      <w:r w:rsidR="008368A1" w:rsidRPr="00E35A47">
        <w:rPr>
          <w:b/>
          <w:bCs/>
        </w:rPr>
        <w:t>Las Palmas</w:t>
      </w:r>
      <w:r w:rsidR="008368A1">
        <w:t xml:space="preserve"> (</w:t>
      </w:r>
      <w:r w:rsidR="00461254">
        <w:t xml:space="preserve">1.082€), </w:t>
      </w:r>
      <w:r w:rsidR="00461254" w:rsidRPr="00E35A47">
        <w:rPr>
          <w:b/>
          <w:bCs/>
        </w:rPr>
        <w:t>Valencia</w:t>
      </w:r>
      <w:r w:rsidR="00461254">
        <w:t xml:space="preserve"> (1.041€) o </w:t>
      </w:r>
      <w:r w:rsidR="00461254" w:rsidRPr="00E35A47">
        <w:rPr>
          <w:b/>
          <w:bCs/>
        </w:rPr>
        <w:t>Santa Cruz de Tenerife</w:t>
      </w:r>
      <w:r w:rsidR="00461254">
        <w:t xml:space="preserve"> (1.</w:t>
      </w:r>
      <w:r w:rsidR="00C2396A">
        <w:t xml:space="preserve">040€). </w:t>
      </w:r>
    </w:p>
    <w:p w14:paraId="4B1B5D35" w14:textId="493BB607" w:rsidR="00063C97" w:rsidRPr="00063C97" w:rsidRDefault="00063C97" w:rsidP="00063C97">
      <w:pPr>
        <w:jc w:val="center"/>
      </w:pPr>
      <w:r w:rsidRPr="00063C97">
        <w:rPr>
          <w:noProof/>
        </w:rPr>
        <w:lastRenderedPageBreak/>
        <w:drawing>
          <wp:inline distT="0" distB="0" distL="0" distR="0" wp14:anchorId="371566F4" wp14:editId="26980705">
            <wp:extent cx="5400040" cy="3993515"/>
            <wp:effectExtent l="0" t="0" r="0" b="6985"/>
            <wp:docPr id="1770626870" name="Imagen 10"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26870" name="Imagen 10" descr="Mapa&#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3993515"/>
                    </a:xfrm>
                    <a:prstGeom prst="rect">
                      <a:avLst/>
                    </a:prstGeom>
                    <a:noFill/>
                    <a:ln>
                      <a:noFill/>
                    </a:ln>
                  </pic:spPr>
                </pic:pic>
              </a:graphicData>
            </a:graphic>
          </wp:inline>
        </w:drawing>
      </w:r>
    </w:p>
    <w:p w14:paraId="31DE4FE4" w14:textId="14346444" w:rsidR="004F72D4" w:rsidRDefault="004F72D4" w:rsidP="009325F2">
      <w:pPr>
        <w:jc w:val="center"/>
      </w:pPr>
    </w:p>
    <w:p w14:paraId="3A01DC70" w14:textId="77777777" w:rsidR="009325F2" w:rsidRDefault="009325F2" w:rsidP="00FE3B7D">
      <w:pPr>
        <w:jc w:val="both"/>
      </w:pPr>
    </w:p>
    <w:p w14:paraId="043B0DD0" w14:textId="77777777" w:rsidR="00063C97" w:rsidRDefault="00063C97" w:rsidP="00FE3B7D">
      <w:pPr>
        <w:jc w:val="both"/>
      </w:pPr>
    </w:p>
    <w:p w14:paraId="68DB6DD6" w14:textId="77777777" w:rsidR="009325F2" w:rsidRDefault="009325F2" w:rsidP="00FE3B7D">
      <w:pPr>
        <w:jc w:val="both"/>
      </w:pPr>
    </w:p>
    <w:p w14:paraId="35C9073B" w14:textId="77777777" w:rsidR="00481932" w:rsidRPr="00481932" w:rsidRDefault="00481932" w:rsidP="008B27C4">
      <w:pPr>
        <w:jc w:val="both"/>
      </w:pPr>
    </w:p>
    <w:p w14:paraId="790F807C" w14:textId="77777777" w:rsidR="00EB64F5" w:rsidRPr="00AC1A9D" w:rsidRDefault="00EB64F5" w:rsidP="00EB64F5">
      <w:pPr>
        <w:pBdr>
          <w:top w:val="single" w:sz="4" w:space="1" w:color="FF5A00"/>
        </w:pBdr>
        <w:jc w:val="both"/>
        <w:rPr>
          <w:rFonts w:ascii="Gill Sans Nova Light" w:hAnsi="Gill Sans Nova Light" w:cs="Arial"/>
          <w:color w:val="FF5A00"/>
          <w:sz w:val="20"/>
        </w:rPr>
      </w:pPr>
      <w:bookmarkStart w:id="0" w:name="_Hlk113896170"/>
      <w:r w:rsidRPr="00AC1A9D">
        <w:rPr>
          <w:rFonts w:ascii="Gill Sans Nova Light" w:hAnsi="Gill Sans Nova Light" w:cs="Arial"/>
          <w:sz w:val="20"/>
          <w:lang w:val="pt-PT"/>
        </w:rPr>
        <w:t>Acerca de la</w:t>
      </w:r>
      <w:r w:rsidRPr="00AC1A9D">
        <w:rPr>
          <w:rFonts w:ascii="Gill Sans Nova Light" w:hAnsi="Gill Sans Nova Light" w:cs="Arial"/>
          <w:b/>
          <w:color w:val="1E6BAF"/>
          <w:sz w:val="20"/>
          <w:lang w:val="pt-PT"/>
        </w:rPr>
        <w:t xml:space="preserve"> </w:t>
      </w:r>
      <w:r w:rsidRPr="00AC1A9D">
        <w:rPr>
          <w:rFonts w:ascii="Gill Sans Nova Light" w:hAnsi="Gill Sans Nova Light" w:cs="Arial"/>
          <w:b/>
          <w:color w:val="FF5A00"/>
          <w:sz w:val="20"/>
          <w:lang w:val="pt-PT"/>
        </w:rPr>
        <w:t>Fundación Alquiler Seguro</w:t>
      </w:r>
      <w:r w:rsidRPr="00AC1A9D">
        <w:rPr>
          <w:rFonts w:ascii="Gill Sans Nova Light" w:hAnsi="Gill Sans Nova Light" w:cs="Arial"/>
          <w:sz w:val="20"/>
          <w:lang w:val="pt-PT"/>
        </w:rPr>
        <w:t xml:space="preserve"> | </w:t>
      </w:r>
      <w:hyperlink r:id="rId15" w:history="1">
        <w:r w:rsidRPr="00AC1A9D">
          <w:rPr>
            <w:rStyle w:val="Hipervnculo"/>
            <w:rFonts w:ascii="Gill Sans Nova Light" w:hAnsi="Gill Sans Nova Light" w:cs="Arial"/>
            <w:color w:val="FF5A00"/>
            <w:sz w:val="20"/>
          </w:rPr>
          <w:t>fundacionalquilerseguro.org</w:t>
        </w:r>
      </w:hyperlink>
    </w:p>
    <w:p w14:paraId="62C10A75" w14:textId="77777777" w:rsidR="00EB64F5" w:rsidRPr="00AC1A9D" w:rsidRDefault="00EB64F5" w:rsidP="00EB64F5">
      <w:pPr>
        <w:pBdr>
          <w:top w:val="single" w:sz="4" w:space="1" w:color="FF5A00"/>
        </w:pBdr>
        <w:jc w:val="both"/>
        <w:rPr>
          <w:rFonts w:ascii="Gilroy-Regular" w:hAnsi="Gilroy-Regular" w:cs="Arial"/>
          <w:color w:val="000000"/>
          <w:sz w:val="18"/>
          <w:szCs w:val="18"/>
        </w:rPr>
      </w:pPr>
      <w:bookmarkStart w:id="1" w:name="_Hlk114649558"/>
      <w:bookmarkEnd w:id="0"/>
      <w:r w:rsidRPr="00AC1A9D">
        <w:rPr>
          <w:rFonts w:ascii="Gilroy-Regular" w:hAnsi="Gilroy-Regular" w:cs="Arial"/>
          <w:color w:val="000000"/>
          <w:sz w:val="18"/>
          <w:szCs w:val="18"/>
        </w:rPr>
        <w:t xml:space="preserve">El </w:t>
      </w:r>
      <w:r w:rsidRPr="00AC1A9D">
        <w:rPr>
          <w:rFonts w:ascii="Gilroy-Regular" w:hAnsi="Gilroy-Regular" w:cs="Arial"/>
          <w:color w:val="FF5A00"/>
          <w:sz w:val="18"/>
          <w:szCs w:val="18"/>
        </w:rPr>
        <w:t xml:space="preserve">Departamento de Estudios de la Fundación Alquiler Seguro </w:t>
      </w:r>
      <w:r w:rsidRPr="00AC1A9D">
        <w:rPr>
          <w:rFonts w:ascii="Gilroy-Regular" w:hAnsi="Gilroy-Regular" w:cs="Arial"/>
          <w:color w:val="000000"/>
          <w:sz w:val="18"/>
          <w:szCs w:val="18"/>
        </w:rPr>
        <w:t xml:space="preserve">cuenta con un profundo conocimiento </w:t>
      </w:r>
      <w:r>
        <w:rPr>
          <w:rFonts w:ascii="Gilroy-Regular" w:hAnsi="Gilroy-Regular" w:cs="Arial"/>
          <w:color w:val="000000"/>
          <w:sz w:val="18"/>
          <w:szCs w:val="18"/>
        </w:rPr>
        <w:t>en</w:t>
      </w:r>
      <w:r w:rsidRPr="00AC1A9D">
        <w:rPr>
          <w:rFonts w:ascii="Gilroy-Regular" w:hAnsi="Gilroy-Regular" w:cs="Arial"/>
          <w:color w:val="000000"/>
          <w:sz w:val="18"/>
          <w:szCs w:val="18"/>
        </w:rPr>
        <w:t xml:space="preserve"> el sector de los arrendamientos. Su principal objetivo es facilitar información y dotar de transparencia a un mercado tradicionalmente opaco para promover su desarrollo y profesionalización. La dilatada experiencia de Alquiler Seguro en el sector</w:t>
      </w:r>
      <w:r>
        <w:rPr>
          <w:rFonts w:ascii="Gilroy-Regular" w:hAnsi="Gilroy-Regular" w:cs="Arial"/>
          <w:color w:val="000000"/>
          <w:sz w:val="18"/>
          <w:szCs w:val="18"/>
        </w:rPr>
        <w:t>,</w:t>
      </w:r>
      <w:r w:rsidRPr="00AC1A9D">
        <w:rPr>
          <w:rFonts w:ascii="Gilroy-Regular" w:hAnsi="Gilroy-Regular" w:cs="Arial"/>
          <w:color w:val="000000"/>
          <w:sz w:val="18"/>
          <w:szCs w:val="18"/>
        </w:rPr>
        <w:t xml:space="preserve"> sumado a la consulta y análisis de datos propios y de fuentes externas, son las bases de los estudios del Departamento </w:t>
      </w:r>
      <w:proofErr w:type="gramStart"/>
      <w:r w:rsidRPr="00AC1A9D">
        <w:rPr>
          <w:rFonts w:ascii="Gilroy-Regular" w:hAnsi="Gilroy-Regular" w:cs="Arial"/>
          <w:color w:val="000000"/>
          <w:sz w:val="18"/>
          <w:szCs w:val="18"/>
        </w:rPr>
        <w:t>que</w:t>
      </w:r>
      <w:proofErr w:type="gramEnd"/>
      <w:r w:rsidRPr="00AC1A9D">
        <w:rPr>
          <w:rFonts w:ascii="Gilroy-Regular" w:hAnsi="Gilroy-Regular" w:cs="Arial"/>
          <w:color w:val="000000"/>
          <w:sz w:val="18"/>
          <w:szCs w:val="18"/>
        </w:rPr>
        <w:t xml:space="preserve"> de forma periódica</w:t>
      </w:r>
      <w:r>
        <w:rPr>
          <w:rFonts w:ascii="Gilroy-Regular" w:hAnsi="Gilroy-Regular" w:cs="Arial"/>
          <w:color w:val="000000"/>
          <w:sz w:val="18"/>
          <w:szCs w:val="18"/>
        </w:rPr>
        <w:t>,</w:t>
      </w:r>
      <w:r w:rsidRPr="00AC1A9D">
        <w:rPr>
          <w:rFonts w:ascii="Gilroy-Regular" w:hAnsi="Gilroy-Regular" w:cs="Arial"/>
          <w:color w:val="000000"/>
          <w:sz w:val="18"/>
          <w:szCs w:val="18"/>
        </w:rPr>
        <w:t xml:space="preserve"> publica documentos de interés para su consulta.</w:t>
      </w:r>
    </w:p>
    <w:bookmarkEnd w:id="1"/>
    <w:p w14:paraId="773CF853" w14:textId="31FAC066" w:rsidR="00EB64F5" w:rsidRDefault="00EB64F5" w:rsidP="004F1B47">
      <w:pPr>
        <w:pBdr>
          <w:top w:val="single" w:sz="4" w:space="1" w:color="FF5A00"/>
        </w:pBdr>
        <w:jc w:val="both"/>
        <w:rPr>
          <w:rFonts w:ascii="Gilroy-Regular" w:hAnsi="Gilroy-Regular" w:cs="Arial"/>
          <w:color w:val="000000"/>
          <w:sz w:val="18"/>
          <w:szCs w:val="18"/>
        </w:rPr>
      </w:pPr>
      <w:r w:rsidRPr="00AC1A9D">
        <w:rPr>
          <w:rFonts w:ascii="Gilroy-Regular" w:hAnsi="Gilroy-Regular" w:cs="Arial"/>
          <w:color w:val="FF5A00"/>
          <w:sz w:val="18"/>
          <w:szCs w:val="18"/>
        </w:rPr>
        <w:t xml:space="preserve">Fundación Alquiler Seguro </w:t>
      </w:r>
      <w:r w:rsidRPr="00AC1A9D">
        <w:rPr>
          <w:rFonts w:ascii="Gilroy-Regular" w:hAnsi="Gilroy-Regular" w:cs="Arial"/>
          <w:color w:val="000000"/>
          <w:sz w:val="18"/>
          <w:szCs w:val="18"/>
        </w:rPr>
        <w:t>tiene como objetivo integrar y gestionar todos los esfuerzos solidarios que Alquiler Seguro Grupo lleva realizando desde sus comienzos con especial sensibilidad en las soluciones habitacionales para personas en riesgo de exclusión social.</w:t>
      </w:r>
    </w:p>
    <w:p w14:paraId="4A454446" w14:textId="22CAF5C8" w:rsidR="00342807" w:rsidRDefault="00342807" w:rsidP="00342807">
      <w:pPr>
        <w:shd w:val="clear" w:color="auto" w:fill="FFFFFF"/>
        <w:spacing w:after="225" w:line="240" w:lineRule="auto"/>
        <w:jc w:val="right"/>
        <w:rPr>
          <w:rFonts w:ascii="Gilroy" w:eastAsia="Times New Roman" w:hAnsi="Gilroy" w:cs="Arial"/>
          <w:b/>
          <w:bCs/>
          <w:color w:val="A4A3A3"/>
          <w:sz w:val="28"/>
          <w:szCs w:val="32"/>
          <w:lang w:eastAsia="es-ES"/>
        </w:rPr>
      </w:pPr>
      <w:r>
        <w:rPr>
          <w:rFonts w:ascii="Gilroy" w:eastAsia="Times New Roman" w:hAnsi="Gilroy" w:cs="Arial"/>
          <w:b/>
          <w:bCs/>
          <w:color w:val="A4A3A3"/>
          <w:sz w:val="28"/>
          <w:szCs w:val="32"/>
          <w:lang w:eastAsia="es-ES"/>
        </w:rPr>
        <w:t>DEPARTAMENTO DE COMUNICACIÓN</w:t>
      </w:r>
    </w:p>
    <w:p w14:paraId="5E59166E" w14:textId="77777777" w:rsidR="00342807" w:rsidRDefault="00342807" w:rsidP="0034280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Gerardo Neistat 650 954 488</w:t>
      </w:r>
    </w:p>
    <w:p w14:paraId="1ABE7479" w14:textId="77777777" w:rsidR="00342807" w:rsidRDefault="00342807" w:rsidP="0034280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Jorge Matute 606 358 732</w:t>
      </w:r>
    </w:p>
    <w:p w14:paraId="594C9F02" w14:textId="60851D50" w:rsidR="00342807" w:rsidRDefault="00342807" w:rsidP="004F1B4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lastRenderedPageBreak/>
        <w:t xml:space="preserve">Lucas Tarancón </w:t>
      </w:r>
      <w:r w:rsidR="00CF4D7F">
        <w:rPr>
          <w:rFonts w:ascii="Gilroy" w:eastAsia="Times New Roman" w:hAnsi="Gilroy" w:cs="Arial"/>
          <w:color w:val="A4A3A3"/>
          <w:sz w:val="28"/>
          <w:szCs w:val="32"/>
          <w:lang w:eastAsia="es-ES"/>
        </w:rPr>
        <w:t xml:space="preserve">658 </w:t>
      </w:r>
      <w:r w:rsidR="00143687">
        <w:rPr>
          <w:rFonts w:ascii="Gilroy" w:eastAsia="Times New Roman" w:hAnsi="Gilroy" w:cs="Arial"/>
          <w:color w:val="A4A3A3"/>
          <w:sz w:val="28"/>
          <w:szCs w:val="32"/>
          <w:lang w:eastAsia="es-ES"/>
        </w:rPr>
        <w:t>157 488</w:t>
      </w:r>
    </w:p>
    <w:p w14:paraId="471967AD" w14:textId="441C0FD7" w:rsidR="002B6644" w:rsidRDefault="002B6644" w:rsidP="004F1B4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 xml:space="preserve">Virginia Carrasco </w:t>
      </w:r>
      <w:r w:rsidR="000A2B14">
        <w:rPr>
          <w:rFonts w:ascii="Gilroy" w:eastAsia="Times New Roman" w:hAnsi="Gilroy" w:cs="Arial"/>
          <w:color w:val="A4A3A3"/>
          <w:sz w:val="28"/>
          <w:szCs w:val="32"/>
          <w:lang w:eastAsia="es-ES"/>
        </w:rPr>
        <w:t>651 518 997</w:t>
      </w:r>
    </w:p>
    <w:p w14:paraId="05C772DF" w14:textId="77777777" w:rsidR="004F1B47" w:rsidRDefault="004F1B47" w:rsidP="004F1B47">
      <w:pPr>
        <w:shd w:val="clear" w:color="auto" w:fill="FFFFFF"/>
        <w:spacing w:after="0" w:line="240" w:lineRule="auto"/>
        <w:jc w:val="right"/>
        <w:rPr>
          <w:rFonts w:ascii="Gilroy" w:eastAsia="Times New Roman" w:hAnsi="Gilroy" w:cs="Arial"/>
          <w:color w:val="A4A3A3"/>
          <w:sz w:val="28"/>
          <w:szCs w:val="32"/>
          <w:lang w:eastAsia="es-ES"/>
        </w:rPr>
      </w:pPr>
    </w:p>
    <w:p w14:paraId="5DB38013" w14:textId="338E0500" w:rsidR="00AA5C00" w:rsidRPr="004F1B47" w:rsidRDefault="002E0516" w:rsidP="004F1B47">
      <w:pPr>
        <w:shd w:val="clear" w:color="auto" w:fill="FFFFFF"/>
        <w:spacing w:after="225" w:line="240" w:lineRule="auto"/>
        <w:jc w:val="right"/>
        <w:rPr>
          <w:rFonts w:ascii="Gilroy Bold" w:hAnsi="Gilroy Bold"/>
          <w:color w:val="FF5100"/>
          <w:sz w:val="36"/>
          <w:szCs w:val="36"/>
        </w:rPr>
      </w:pPr>
      <w:r>
        <w:rPr>
          <w:rFonts w:ascii="Gilroy" w:eastAsia="Times New Roman" w:hAnsi="Gilroy" w:cs="Arial"/>
          <w:color w:val="A4A3A3"/>
          <w:sz w:val="28"/>
          <w:szCs w:val="32"/>
          <w:lang w:eastAsia="es-ES"/>
        </w:rPr>
        <w:t>noticias</w:t>
      </w:r>
      <w:r w:rsidR="00342807" w:rsidRPr="004F1B47">
        <w:rPr>
          <w:rFonts w:ascii="Gilroy" w:eastAsia="Times New Roman" w:hAnsi="Gilroy" w:cs="Arial"/>
          <w:color w:val="A4A3A3"/>
          <w:sz w:val="28"/>
          <w:szCs w:val="32"/>
          <w:lang w:eastAsia="es-ES"/>
        </w:rPr>
        <w:t>@</w:t>
      </w:r>
      <w:r>
        <w:rPr>
          <w:rFonts w:ascii="Gilroy" w:eastAsia="Times New Roman" w:hAnsi="Gilroy" w:cs="Arial"/>
          <w:color w:val="A4A3A3"/>
          <w:sz w:val="28"/>
          <w:szCs w:val="32"/>
          <w:lang w:eastAsia="es-ES"/>
        </w:rPr>
        <w:t>fundacion</w:t>
      </w:r>
      <w:r w:rsidR="00342807" w:rsidRPr="004F1B47">
        <w:rPr>
          <w:rFonts w:ascii="Gilroy" w:eastAsia="Times New Roman" w:hAnsi="Gilroy" w:cs="Arial"/>
          <w:color w:val="A4A3A3"/>
          <w:sz w:val="28"/>
          <w:szCs w:val="32"/>
          <w:lang w:eastAsia="es-ES"/>
        </w:rPr>
        <w:t>alquilerseguro.es</w:t>
      </w:r>
    </w:p>
    <w:sectPr w:rsidR="00AA5C00" w:rsidRPr="004F1B47" w:rsidSect="006607C9">
      <w:headerReference w:type="default" r:id="rId16"/>
      <w:footerReference w:type="default" r:id="rId17"/>
      <w:pgSz w:w="11906" w:h="16838"/>
      <w:pgMar w:top="2694" w:right="1701" w:bottom="1417" w:left="1701"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BBE20" w14:textId="77777777" w:rsidR="00480B7E" w:rsidRDefault="00480B7E" w:rsidP="0027186E">
      <w:pPr>
        <w:spacing w:after="0" w:line="240" w:lineRule="auto"/>
      </w:pPr>
      <w:r>
        <w:separator/>
      </w:r>
    </w:p>
  </w:endnote>
  <w:endnote w:type="continuationSeparator" w:id="0">
    <w:p w14:paraId="3711118B" w14:textId="77777777" w:rsidR="00480B7E" w:rsidRDefault="00480B7E" w:rsidP="0027186E">
      <w:pPr>
        <w:spacing w:after="0" w:line="240" w:lineRule="auto"/>
      </w:pPr>
      <w:r>
        <w:continuationSeparator/>
      </w:r>
    </w:p>
  </w:endnote>
  <w:endnote w:type="continuationNotice" w:id="1">
    <w:p w14:paraId="79235AAC" w14:textId="77777777" w:rsidR="00480B7E" w:rsidRDefault="0048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Light">
    <w:panose1 w:val="020B0302020104020203"/>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Gilroy-Regular">
    <w:altName w:val="Calibri"/>
    <w:charset w:val="00"/>
    <w:family w:val="auto"/>
    <w:pitch w:val="variable"/>
    <w:sig w:usb0="00000207" w:usb1="00000000" w:usb2="00000000" w:usb3="00000000" w:csb0="00000097" w:csb1="00000000"/>
  </w:font>
  <w:font w:name="Gilroy">
    <w:altName w:val="Calibri"/>
    <w:panose1 w:val="00000000000000000000"/>
    <w:charset w:val="00"/>
    <w:family w:val="modern"/>
    <w:notTrueType/>
    <w:pitch w:val="variable"/>
    <w:sig w:usb0="00000207" w:usb1="00000000" w:usb2="00000000" w:usb3="00000000" w:csb0="00000097" w:csb1="00000000"/>
  </w:font>
  <w:font w:name="Gilroy Bold">
    <w:altName w:val="Calibri"/>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3"/>
      <w:gridCol w:w="222"/>
      <w:gridCol w:w="1566"/>
      <w:gridCol w:w="1461"/>
      <w:gridCol w:w="1608"/>
      <w:gridCol w:w="1417"/>
      <w:gridCol w:w="1355"/>
    </w:tblGrid>
    <w:tr w:rsidR="00C90E53" w14:paraId="2418BA68" w14:textId="77777777" w:rsidTr="00F95C54">
      <w:trPr>
        <w:jc w:val="center"/>
      </w:trPr>
      <w:tc>
        <w:tcPr>
          <w:tcW w:w="2153" w:type="dxa"/>
        </w:tcPr>
        <w:p w14:paraId="3277FB1D" w14:textId="77777777" w:rsidR="006607C9" w:rsidRDefault="006607C9" w:rsidP="006607C9">
          <w:pPr>
            <w:pStyle w:val="Piedepgina"/>
            <w:tabs>
              <w:tab w:val="clear" w:pos="4252"/>
              <w:tab w:val="clear" w:pos="8504"/>
              <w:tab w:val="right" w:pos="3579"/>
            </w:tabs>
            <w:rPr>
              <w:noProof/>
            </w:rPr>
          </w:pPr>
          <w:r>
            <w:rPr>
              <w:noProof/>
            </w:rPr>
            <w:drawing>
              <wp:inline distT="0" distB="0" distL="0" distR="0" wp14:anchorId="63B3DD5A" wp14:editId="063FC108">
                <wp:extent cx="956347" cy="420370"/>
                <wp:effectExtent l="0" t="0" r="0" b="0"/>
                <wp:docPr id="999781710" name="Imagen 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45542" name="Imagen 7" descr="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62126" cy="422910"/>
                        </a:xfrm>
                        <a:prstGeom prst="rect">
                          <a:avLst/>
                        </a:prstGeom>
                      </pic:spPr>
                    </pic:pic>
                  </a:graphicData>
                </a:graphic>
              </wp:inline>
            </w:drawing>
          </w:r>
        </w:p>
      </w:tc>
      <w:tc>
        <w:tcPr>
          <w:tcW w:w="222" w:type="dxa"/>
        </w:tcPr>
        <w:p w14:paraId="3FE95982" w14:textId="77777777" w:rsidR="006607C9" w:rsidRDefault="006607C9" w:rsidP="006607C9">
          <w:pPr>
            <w:pStyle w:val="Piedepgina"/>
            <w:tabs>
              <w:tab w:val="clear" w:pos="4252"/>
              <w:tab w:val="clear" w:pos="8504"/>
              <w:tab w:val="right" w:pos="3579"/>
            </w:tabs>
            <w:jc w:val="center"/>
            <w:rPr>
              <w:noProof/>
            </w:rPr>
          </w:pPr>
        </w:p>
      </w:tc>
      <w:tc>
        <w:tcPr>
          <w:tcW w:w="1566" w:type="dxa"/>
          <w:vAlign w:val="center"/>
        </w:tcPr>
        <w:p w14:paraId="761B9F20" w14:textId="1D8AE6C5" w:rsidR="006607C9" w:rsidRDefault="006607C9" w:rsidP="006607C9">
          <w:pPr>
            <w:pStyle w:val="Piedepgina"/>
            <w:tabs>
              <w:tab w:val="clear" w:pos="4252"/>
              <w:tab w:val="clear" w:pos="8504"/>
              <w:tab w:val="right" w:pos="3579"/>
            </w:tabs>
            <w:jc w:val="center"/>
          </w:pPr>
        </w:p>
      </w:tc>
      <w:tc>
        <w:tcPr>
          <w:tcW w:w="1461" w:type="dxa"/>
          <w:vAlign w:val="center"/>
        </w:tcPr>
        <w:p w14:paraId="1CB472BB" w14:textId="77777777" w:rsidR="006607C9" w:rsidRDefault="006607C9" w:rsidP="006607C9">
          <w:pPr>
            <w:pStyle w:val="Piedepgina"/>
            <w:tabs>
              <w:tab w:val="clear" w:pos="4252"/>
              <w:tab w:val="clear" w:pos="8504"/>
              <w:tab w:val="right" w:pos="3579"/>
            </w:tabs>
            <w:jc w:val="center"/>
          </w:pPr>
          <w:r>
            <w:rPr>
              <w:noProof/>
            </w:rPr>
            <w:drawing>
              <wp:inline distT="0" distB="0" distL="0" distR="0" wp14:anchorId="56396BE9" wp14:editId="73EDBA8F">
                <wp:extent cx="623059" cy="151795"/>
                <wp:effectExtent l="0" t="0" r="5715" b="635"/>
                <wp:docPr id="702516501" name="Imagen 702516501" descr="ST Sociedad de Tasación - SIMA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Sociedad de Tasación - SIMAEX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984" cy="159573"/>
                        </a:xfrm>
                        <a:prstGeom prst="rect">
                          <a:avLst/>
                        </a:prstGeom>
                        <a:noFill/>
                        <a:ln>
                          <a:noFill/>
                        </a:ln>
                      </pic:spPr>
                    </pic:pic>
                  </a:graphicData>
                </a:graphic>
              </wp:inline>
            </w:drawing>
          </w:r>
        </w:p>
      </w:tc>
      <w:tc>
        <w:tcPr>
          <w:tcW w:w="1608" w:type="dxa"/>
          <w:vAlign w:val="center"/>
        </w:tcPr>
        <w:p w14:paraId="51A23D2F" w14:textId="77777777" w:rsidR="006607C9" w:rsidRDefault="006607C9" w:rsidP="006607C9">
          <w:pPr>
            <w:pStyle w:val="Piedepgina"/>
            <w:tabs>
              <w:tab w:val="clear" w:pos="4252"/>
              <w:tab w:val="clear" w:pos="8504"/>
              <w:tab w:val="right" w:pos="3579"/>
            </w:tabs>
            <w:jc w:val="center"/>
          </w:pPr>
          <w:r>
            <w:rPr>
              <w:noProof/>
            </w:rPr>
            <w:drawing>
              <wp:inline distT="0" distB="0" distL="0" distR="0" wp14:anchorId="021AF5E4" wp14:editId="5F57DBB5">
                <wp:extent cx="702945" cy="150487"/>
                <wp:effectExtent l="0" t="0" r="0" b="2540"/>
                <wp:docPr id="565121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158" cy="154600"/>
                        </a:xfrm>
                        <a:prstGeom prst="rect">
                          <a:avLst/>
                        </a:prstGeom>
                        <a:noFill/>
                      </pic:spPr>
                    </pic:pic>
                  </a:graphicData>
                </a:graphic>
              </wp:inline>
            </w:drawing>
          </w:r>
        </w:p>
      </w:tc>
      <w:tc>
        <w:tcPr>
          <w:tcW w:w="1417" w:type="dxa"/>
          <w:vAlign w:val="center"/>
        </w:tcPr>
        <w:p w14:paraId="58121854" w14:textId="77777777" w:rsidR="006607C9" w:rsidRDefault="006607C9" w:rsidP="006607C9">
          <w:pPr>
            <w:pStyle w:val="Piedepgina"/>
            <w:tabs>
              <w:tab w:val="clear" w:pos="4252"/>
              <w:tab w:val="clear" w:pos="8504"/>
              <w:tab w:val="right" w:pos="3579"/>
            </w:tabs>
            <w:jc w:val="center"/>
          </w:pPr>
          <w:r>
            <w:rPr>
              <w:noProof/>
            </w:rPr>
            <w:drawing>
              <wp:inline distT="0" distB="0" distL="0" distR="0" wp14:anchorId="48948B38" wp14:editId="09616B89">
                <wp:extent cx="581028" cy="221274"/>
                <wp:effectExtent l="0" t="0" r="0" b="7620"/>
                <wp:docPr id="834090694"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6753" name="Imagen 5" descr="Forma&#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311" cy="236996"/>
                        </a:xfrm>
                        <a:prstGeom prst="rect">
                          <a:avLst/>
                        </a:prstGeom>
                        <a:noFill/>
                      </pic:spPr>
                    </pic:pic>
                  </a:graphicData>
                </a:graphic>
              </wp:inline>
            </w:drawing>
          </w:r>
        </w:p>
      </w:tc>
      <w:tc>
        <w:tcPr>
          <w:tcW w:w="1355" w:type="dxa"/>
          <w:vAlign w:val="center"/>
        </w:tcPr>
        <w:p w14:paraId="13094B90" w14:textId="2D935A21" w:rsidR="00C90E53" w:rsidRPr="00C90E53" w:rsidRDefault="00C90E53" w:rsidP="00C90E53">
          <w:pPr>
            <w:pStyle w:val="Piedepgina"/>
            <w:tabs>
              <w:tab w:val="right" w:pos="3579"/>
            </w:tabs>
            <w:jc w:val="center"/>
            <w:rPr>
              <w:noProof/>
            </w:rPr>
          </w:pPr>
          <w:r w:rsidRPr="00C90E53">
            <w:rPr>
              <w:noProof/>
            </w:rPr>
            <w:drawing>
              <wp:anchor distT="0" distB="0" distL="114300" distR="114300" simplePos="0" relativeHeight="251658240" behindDoc="1" locked="0" layoutInCell="1" allowOverlap="1" wp14:anchorId="0B95F5F4" wp14:editId="43C625EA">
                <wp:simplePos x="0" y="0"/>
                <wp:positionH relativeFrom="column">
                  <wp:posOffset>321310</wp:posOffset>
                </wp:positionH>
                <wp:positionV relativeFrom="paragraph">
                  <wp:posOffset>112395</wp:posOffset>
                </wp:positionV>
                <wp:extent cx="417195" cy="123825"/>
                <wp:effectExtent l="0" t="0" r="1905" b="9525"/>
                <wp:wrapNone/>
                <wp:docPr id="21378488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 cy="123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C29B4" w14:textId="220A98D5" w:rsidR="006607C9" w:rsidRDefault="006607C9" w:rsidP="006607C9">
          <w:pPr>
            <w:pStyle w:val="Piedepgina"/>
            <w:tabs>
              <w:tab w:val="clear" w:pos="4252"/>
              <w:tab w:val="clear" w:pos="8504"/>
              <w:tab w:val="right" w:pos="3579"/>
            </w:tabs>
            <w:jc w:val="center"/>
          </w:pPr>
        </w:p>
      </w:tc>
    </w:tr>
  </w:tbl>
  <w:p w14:paraId="28B4057B" w14:textId="35C4678C" w:rsidR="003C5A23" w:rsidRDefault="003C5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B7F3D" w14:textId="77777777" w:rsidR="00480B7E" w:rsidRDefault="00480B7E" w:rsidP="0027186E">
      <w:pPr>
        <w:spacing w:after="0" w:line="240" w:lineRule="auto"/>
      </w:pPr>
      <w:r>
        <w:separator/>
      </w:r>
    </w:p>
  </w:footnote>
  <w:footnote w:type="continuationSeparator" w:id="0">
    <w:p w14:paraId="1C0160F8" w14:textId="77777777" w:rsidR="00480B7E" w:rsidRDefault="00480B7E" w:rsidP="0027186E">
      <w:pPr>
        <w:spacing w:after="0" w:line="240" w:lineRule="auto"/>
      </w:pPr>
      <w:r>
        <w:continuationSeparator/>
      </w:r>
    </w:p>
  </w:footnote>
  <w:footnote w:type="continuationNotice" w:id="1">
    <w:p w14:paraId="04D43246" w14:textId="77777777" w:rsidR="00480B7E" w:rsidRDefault="00480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2701"/>
      <w:gridCol w:w="3386"/>
    </w:tblGrid>
    <w:tr w:rsidR="006607C9" w14:paraId="696226A8" w14:textId="77777777" w:rsidTr="006607C9">
      <w:trPr>
        <w:jc w:val="center"/>
      </w:trPr>
      <w:tc>
        <w:tcPr>
          <w:tcW w:w="3411" w:type="dxa"/>
          <w:vAlign w:val="center"/>
        </w:tcPr>
        <w:p w14:paraId="43BFDAC8" w14:textId="76D69F20" w:rsidR="006607C9" w:rsidRDefault="006607C9" w:rsidP="006607C9">
          <w:pPr>
            <w:pStyle w:val="Encabezado"/>
          </w:pPr>
          <w:r>
            <w:rPr>
              <w:noProof/>
            </w:rPr>
            <w:drawing>
              <wp:inline distT="0" distB="0" distL="0" distR="0" wp14:anchorId="7571F84F" wp14:editId="304FE384">
                <wp:extent cx="1755232" cy="771525"/>
                <wp:effectExtent l="0" t="0" r="0" b="0"/>
                <wp:docPr id="716422868" name="Imagen 3"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22868" name="Imagen 3" descr="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9073" cy="777609"/>
                        </a:xfrm>
                        <a:prstGeom prst="rect">
                          <a:avLst/>
                        </a:prstGeom>
                      </pic:spPr>
                    </pic:pic>
                  </a:graphicData>
                </a:graphic>
              </wp:inline>
            </w:drawing>
          </w:r>
        </w:p>
      </w:tc>
      <w:tc>
        <w:tcPr>
          <w:tcW w:w="2701" w:type="dxa"/>
          <w:vAlign w:val="center"/>
        </w:tcPr>
        <w:p w14:paraId="32391595" w14:textId="77777777" w:rsidR="006607C9" w:rsidRDefault="006607C9" w:rsidP="006607C9">
          <w:pPr>
            <w:pStyle w:val="Encabezado"/>
          </w:pPr>
        </w:p>
      </w:tc>
      <w:tc>
        <w:tcPr>
          <w:tcW w:w="3386" w:type="dxa"/>
          <w:vAlign w:val="center"/>
        </w:tcPr>
        <w:p w14:paraId="52FDB052" w14:textId="0389587C" w:rsidR="006607C9" w:rsidRDefault="006607C9" w:rsidP="006607C9">
          <w:pPr>
            <w:pStyle w:val="Encabezado"/>
            <w:jc w:val="both"/>
          </w:pPr>
        </w:p>
      </w:tc>
    </w:tr>
  </w:tbl>
  <w:p w14:paraId="5D2F10A0" w14:textId="391CB732" w:rsidR="00E924DC" w:rsidRDefault="00E924DC">
    <w:pPr>
      <w:pStyle w:val="Encabezado"/>
    </w:pP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D11AD"/>
    <w:multiLevelType w:val="hybridMultilevel"/>
    <w:tmpl w:val="1C3691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909723A"/>
    <w:multiLevelType w:val="hybridMultilevel"/>
    <w:tmpl w:val="B8B8F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AF2FF2"/>
    <w:multiLevelType w:val="multilevel"/>
    <w:tmpl w:val="08B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84DCE"/>
    <w:multiLevelType w:val="hybridMultilevel"/>
    <w:tmpl w:val="2EA00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D7517D"/>
    <w:multiLevelType w:val="multilevel"/>
    <w:tmpl w:val="CBB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D4A57"/>
    <w:multiLevelType w:val="hybridMultilevel"/>
    <w:tmpl w:val="7944C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6C280B"/>
    <w:multiLevelType w:val="multilevel"/>
    <w:tmpl w:val="D05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664A0"/>
    <w:multiLevelType w:val="multilevel"/>
    <w:tmpl w:val="1C3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65470">
    <w:abstractNumId w:val="5"/>
  </w:num>
  <w:num w:numId="2" w16cid:durableId="1134101751">
    <w:abstractNumId w:val="1"/>
  </w:num>
  <w:num w:numId="3" w16cid:durableId="1027607397">
    <w:abstractNumId w:val="3"/>
  </w:num>
  <w:num w:numId="4" w16cid:durableId="117383681">
    <w:abstractNumId w:val="0"/>
  </w:num>
  <w:num w:numId="5" w16cid:durableId="714112894">
    <w:abstractNumId w:val="2"/>
  </w:num>
  <w:num w:numId="6" w16cid:durableId="101999418">
    <w:abstractNumId w:val="4"/>
  </w:num>
  <w:num w:numId="7" w16cid:durableId="291593585">
    <w:abstractNumId w:val="6"/>
  </w:num>
  <w:num w:numId="8" w16cid:durableId="4518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F1"/>
    <w:rsid w:val="00000337"/>
    <w:rsid w:val="00000B7D"/>
    <w:rsid w:val="00001F1C"/>
    <w:rsid w:val="00002619"/>
    <w:rsid w:val="000033C3"/>
    <w:rsid w:val="00004ACC"/>
    <w:rsid w:val="00005272"/>
    <w:rsid w:val="00005BA7"/>
    <w:rsid w:val="000079D1"/>
    <w:rsid w:val="00007D30"/>
    <w:rsid w:val="00011326"/>
    <w:rsid w:val="0001223E"/>
    <w:rsid w:val="00012E36"/>
    <w:rsid w:val="00013D58"/>
    <w:rsid w:val="000154B3"/>
    <w:rsid w:val="000159C7"/>
    <w:rsid w:val="00015A71"/>
    <w:rsid w:val="000169EA"/>
    <w:rsid w:val="0001777A"/>
    <w:rsid w:val="00021885"/>
    <w:rsid w:val="000230C7"/>
    <w:rsid w:val="00023791"/>
    <w:rsid w:val="00024F0C"/>
    <w:rsid w:val="00024F77"/>
    <w:rsid w:val="00025FC4"/>
    <w:rsid w:val="00026B07"/>
    <w:rsid w:val="000270BE"/>
    <w:rsid w:val="0002766D"/>
    <w:rsid w:val="00030CBF"/>
    <w:rsid w:val="00031389"/>
    <w:rsid w:val="000327AF"/>
    <w:rsid w:val="00032F1F"/>
    <w:rsid w:val="00033607"/>
    <w:rsid w:val="000347E6"/>
    <w:rsid w:val="00034F65"/>
    <w:rsid w:val="00035321"/>
    <w:rsid w:val="00035895"/>
    <w:rsid w:val="000365E2"/>
    <w:rsid w:val="00040126"/>
    <w:rsid w:val="00040F78"/>
    <w:rsid w:val="00041C97"/>
    <w:rsid w:val="00043C2F"/>
    <w:rsid w:val="000535F9"/>
    <w:rsid w:val="00053664"/>
    <w:rsid w:val="00053B90"/>
    <w:rsid w:val="000552C3"/>
    <w:rsid w:val="000560A9"/>
    <w:rsid w:val="00056DCC"/>
    <w:rsid w:val="0006087E"/>
    <w:rsid w:val="0006178E"/>
    <w:rsid w:val="000618AF"/>
    <w:rsid w:val="000631E0"/>
    <w:rsid w:val="00063C97"/>
    <w:rsid w:val="0006433F"/>
    <w:rsid w:val="00064D17"/>
    <w:rsid w:val="00065530"/>
    <w:rsid w:val="000662EE"/>
    <w:rsid w:val="00066622"/>
    <w:rsid w:val="0006745E"/>
    <w:rsid w:val="00070DC8"/>
    <w:rsid w:val="00072068"/>
    <w:rsid w:val="000744C1"/>
    <w:rsid w:val="00074966"/>
    <w:rsid w:val="000754FA"/>
    <w:rsid w:val="000757B3"/>
    <w:rsid w:val="00075FDD"/>
    <w:rsid w:val="0008082B"/>
    <w:rsid w:val="00080848"/>
    <w:rsid w:val="000820D5"/>
    <w:rsid w:val="000849CA"/>
    <w:rsid w:val="00085605"/>
    <w:rsid w:val="000858AC"/>
    <w:rsid w:val="00085B1F"/>
    <w:rsid w:val="00086FF3"/>
    <w:rsid w:val="000877C1"/>
    <w:rsid w:val="00090659"/>
    <w:rsid w:val="000907F4"/>
    <w:rsid w:val="0009083E"/>
    <w:rsid w:val="0009119B"/>
    <w:rsid w:val="00091D2E"/>
    <w:rsid w:val="00093BC5"/>
    <w:rsid w:val="00093E3D"/>
    <w:rsid w:val="000959B2"/>
    <w:rsid w:val="00095A4A"/>
    <w:rsid w:val="00096D3F"/>
    <w:rsid w:val="000A0B11"/>
    <w:rsid w:val="000A2B14"/>
    <w:rsid w:val="000A42EE"/>
    <w:rsid w:val="000A7023"/>
    <w:rsid w:val="000A7F3E"/>
    <w:rsid w:val="000A7F78"/>
    <w:rsid w:val="000B0E19"/>
    <w:rsid w:val="000B1138"/>
    <w:rsid w:val="000B11D8"/>
    <w:rsid w:val="000B2615"/>
    <w:rsid w:val="000B60C6"/>
    <w:rsid w:val="000B68C2"/>
    <w:rsid w:val="000C2BA7"/>
    <w:rsid w:val="000C2D0D"/>
    <w:rsid w:val="000C4540"/>
    <w:rsid w:val="000C55D4"/>
    <w:rsid w:val="000C6C18"/>
    <w:rsid w:val="000C6FF1"/>
    <w:rsid w:val="000D05CC"/>
    <w:rsid w:val="000D21A3"/>
    <w:rsid w:val="000D34B3"/>
    <w:rsid w:val="000D42FF"/>
    <w:rsid w:val="000D560A"/>
    <w:rsid w:val="000D7232"/>
    <w:rsid w:val="000E011F"/>
    <w:rsid w:val="000E4559"/>
    <w:rsid w:val="000E7587"/>
    <w:rsid w:val="000E78CF"/>
    <w:rsid w:val="000F20D8"/>
    <w:rsid w:val="000F22C4"/>
    <w:rsid w:val="000F37CA"/>
    <w:rsid w:val="001024E3"/>
    <w:rsid w:val="00102608"/>
    <w:rsid w:val="00103109"/>
    <w:rsid w:val="0010771E"/>
    <w:rsid w:val="00112050"/>
    <w:rsid w:val="00113273"/>
    <w:rsid w:val="00115A8D"/>
    <w:rsid w:val="00116F2E"/>
    <w:rsid w:val="00121349"/>
    <w:rsid w:val="00121D85"/>
    <w:rsid w:val="001222A2"/>
    <w:rsid w:val="00122440"/>
    <w:rsid w:val="00124AA8"/>
    <w:rsid w:val="001253A2"/>
    <w:rsid w:val="001254B5"/>
    <w:rsid w:val="0012607E"/>
    <w:rsid w:val="0013438A"/>
    <w:rsid w:val="001369DB"/>
    <w:rsid w:val="001370B5"/>
    <w:rsid w:val="00142D20"/>
    <w:rsid w:val="00143041"/>
    <w:rsid w:val="00143687"/>
    <w:rsid w:val="00147B98"/>
    <w:rsid w:val="00153434"/>
    <w:rsid w:val="0015395B"/>
    <w:rsid w:val="00153FC0"/>
    <w:rsid w:val="00154CB8"/>
    <w:rsid w:val="001565A2"/>
    <w:rsid w:val="00156D59"/>
    <w:rsid w:val="00160101"/>
    <w:rsid w:val="00160B72"/>
    <w:rsid w:val="00161BD6"/>
    <w:rsid w:val="00163566"/>
    <w:rsid w:val="00165877"/>
    <w:rsid w:val="001700A2"/>
    <w:rsid w:val="00170694"/>
    <w:rsid w:val="001707B2"/>
    <w:rsid w:val="00170815"/>
    <w:rsid w:val="00170857"/>
    <w:rsid w:val="00171BE3"/>
    <w:rsid w:val="00173044"/>
    <w:rsid w:val="00173BA4"/>
    <w:rsid w:val="001740E1"/>
    <w:rsid w:val="001741C8"/>
    <w:rsid w:val="001769CD"/>
    <w:rsid w:val="00176B89"/>
    <w:rsid w:val="00176D6B"/>
    <w:rsid w:val="00176EFA"/>
    <w:rsid w:val="001777B3"/>
    <w:rsid w:val="00181762"/>
    <w:rsid w:val="0018288E"/>
    <w:rsid w:val="00182C7E"/>
    <w:rsid w:val="00183A22"/>
    <w:rsid w:val="00183E4C"/>
    <w:rsid w:val="00184407"/>
    <w:rsid w:val="00184B88"/>
    <w:rsid w:val="00184DE0"/>
    <w:rsid w:val="00185A52"/>
    <w:rsid w:val="00187252"/>
    <w:rsid w:val="0019004D"/>
    <w:rsid w:val="0019292F"/>
    <w:rsid w:val="00192B2E"/>
    <w:rsid w:val="001947E2"/>
    <w:rsid w:val="00195D66"/>
    <w:rsid w:val="00195F4D"/>
    <w:rsid w:val="00196CDE"/>
    <w:rsid w:val="001A39B3"/>
    <w:rsid w:val="001A4A53"/>
    <w:rsid w:val="001A6E01"/>
    <w:rsid w:val="001B18D1"/>
    <w:rsid w:val="001B1EE3"/>
    <w:rsid w:val="001B22DE"/>
    <w:rsid w:val="001B3536"/>
    <w:rsid w:val="001B6F2C"/>
    <w:rsid w:val="001B7422"/>
    <w:rsid w:val="001C0270"/>
    <w:rsid w:val="001C0753"/>
    <w:rsid w:val="001C133E"/>
    <w:rsid w:val="001C3F44"/>
    <w:rsid w:val="001C44E1"/>
    <w:rsid w:val="001C6E82"/>
    <w:rsid w:val="001D1726"/>
    <w:rsid w:val="001D2C2E"/>
    <w:rsid w:val="001D3B43"/>
    <w:rsid w:val="001D3CD6"/>
    <w:rsid w:val="001D402B"/>
    <w:rsid w:val="001D44FC"/>
    <w:rsid w:val="001D5D35"/>
    <w:rsid w:val="001D6AE4"/>
    <w:rsid w:val="001D6E40"/>
    <w:rsid w:val="001D71F4"/>
    <w:rsid w:val="001D7453"/>
    <w:rsid w:val="001E10B0"/>
    <w:rsid w:val="001E29ED"/>
    <w:rsid w:val="001E472F"/>
    <w:rsid w:val="001E68A2"/>
    <w:rsid w:val="001E68EE"/>
    <w:rsid w:val="001E6ACC"/>
    <w:rsid w:val="001E78C6"/>
    <w:rsid w:val="00200C9D"/>
    <w:rsid w:val="00201CE1"/>
    <w:rsid w:val="00202A2B"/>
    <w:rsid w:val="002068CE"/>
    <w:rsid w:val="0020772D"/>
    <w:rsid w:val="00207A73"/>
    <w:rsid w:val="00207E96"/>
    <w:rsid w:val="002111EF"/>
    <w:rsid w:val="0021402B"/>
    <w:rsid w:val="002148D2"/>
    <w:rsid w:val="00214FFA"/>
    <w:rsid w:val="002156EB"/>
    <w:rsid w:val="00215874"/>
    <w:rsid w:val="00215FCD"/>
    <w:rsid w:val="002173A4"/>
    <w:rsid w:val="002219CA"/>
    <w:rsid w:val="00222282"/>
    <w:rsid w:val="0022421F"/>
    <w:rsid w:val="002242C4"/>
    <w:rsid w:val="00226CD8"/>
    <w:rsid w:val="002329FC"/>
    <w:rsid w:val="00233BC6"/>
    <w:rsid w:val="00234087"/>
    <w:rsid w:val="00234222"/>
    <w:rsid w:val="0023602E"/>
    <w:rsid w:val="002360CB"/>
    <w:rsid w:val="0023670D"/>
    <w:rsid w:val="00236798"/>
    <w:rsid w:val="002415CB"/>
    <w:rsid w:val="00241F5A"/>
    <w:rsid w:val="002431B1"/>
    <w:rsid w:val="002433D1"/>
    <w:rsid w:val="0024379A"/>
    <w:rsid w:val="00244F7B"/>
    <w:rsid w:val="00245070"/>
    <w:rsid w:val="00245823"/>
    <w:rsid w:val="00245AFA"/>
    <w:rsid w:val="002462A2"/>
    <w:rsid w:val="0025118D"/>
    <w:rsid w:val="002514AC"/>
    <w:rsid w:val="002521A3"/>
    <w:rsid w:val="00252BBE"/>
    <w:rsid w:val="00255BD2"/>
    <w:rsid w:val="0025767C"/>
    <w:rsid w:val="002628E3"/>
    <w:rsid w:val="00262ADF"/>
    <w:rsid w:val="00267AE3"/>
    <w:rsid w:val="0027186E"/>
    <w:rsid w:val="00271FBC"/>
    <w:rsid w:val="0027293C"/>
    <w:rsid w:val="0027296E"/>
    <w:rsid w:val="00272ABC"/>
    <w:rsid w:val="00272D00"/>
    <w:rsid w:val="002740BD"/>
    <w:rsid w:val="00280273"/>
    <w:rsid w:val="00282B92"/>
    <w:rsid w:val="00285C44"/>
    <w:rsid w:val="002861A6"/>
    <w:rsid w:val="00286695"/>
    <w:rsid w:val="00287075"/>
    <w:rsid w:val="00291D81"/>
    <w:rsid w:val="00291F77"/>
    <w:rsid w:val="00292794"/>
    <w:rsid w:val="00295D78"/>
    <w:rsid w:val="00297854"/>
    <w:rsid w:val="002A041C"/>
    <w:rsid w:val="002A0D76"/>
    <w:rsid w:val="002A0FE2"/>
    <w:rsid w:val="002A118C"/>
    <w:rsid w:val="002A2E07"/>
    <w:rsid w:val="002A4FA4"/>
    <w:rsid w:val="002A630A"/>
    <w:rsid w:val="002A6494"/>
    <w:rsid w:val="002A65DD"/>
    <w:rsid w:val="002A7C10"/>
    <w:rsid w:val="002B0839"/>
    <w:rsid w:val="002B272E"/>
    <w:rsid w:val="002B2A58"/>
    <w:rsid w:val="002B2AE9"/>
    <w:rsid w:val="002B2C83"/>
    <w:rsid w:val="002B407F"/>
    <w:rsid w:val="002B6644"/>
    <w:rsid w:val="002B6B03"/>
    <w:rsid w:val="002B6B44"/>
    <w:rsid w:val="002C122E"/>
    <w:rsid w:val="002C1B98"/>
    <w:rsid w:val="002C3FE5"/>
    <w:rsid w:val="002C4EAD"/>
    <w:rsid w:val="002C6722"/>
    <w:rsid w:val="002C7233"/>
    <w:rsid w:val="002D0255"/>
    <w:rsid w:val="002D0C51"/>
    <w:rsid w:val="002D3436"/>
    <w:rsid w:val="002D57C0"/>
    <w:rsid w:val="002D7599"/>
    <w:rsid w:val="002E0516"/>
    <w:rsid w:val="002E05AA"/>
    <w:rsid w:val="002E0C72"/>
    <w:rsid w:val="002E1304"/>
    <w:rsid w:val="002E46C4"/>
    <w:rsid w:val="002E49A4"/>
    <w:rsid w:val="002F1D22"/>
    <w:rsid w:val="002F27B5"/>
    <w:rsid w:val="002F2BAC"/>
    <w:rsid w:val="002F36DC"/>
    <w:rsid w:val="002F4B08"/>
    <w:rsid w:val="002F4E8A"/>
    <w:rsid w:val="002F729B"/>
    <w:rsid w:val="002F7B22"/>
    <w:rsid w:val="003023B3"/>
    <w:rsid w:val="00304D18"/>
    <w:rsid w:val="00307DF1"/>
    <w:rsid w:val="0031143E"/>
    <w:rsid w:val="00316C2C"/>
    <w:rsid w:val="00317B22"/>
    <w:rsid w:val="0032084B"/>
    <w:rsid w:val="00321EC0"/>
    <w:rsid w:val="00325EB2"/>
    <w:rsid w:val="00327B81"/>
    <w:rsid w:val="003304DC"/>
    <w:rsid w:val="003305B5"/>
    <w:rsid w:val="00333802"/>
    <w:rsid w:val="0033618E"/>
    <w:rsid w:val="0033645F"/>
    <w:rsid w:val="00336FD4"/>
    <w:rsid w:val="00340FBF"/>
    <w:rsid w:val="00342807"/>
    <w:rsid w:val="00345B12"/>
    <w:rsid w:val="00345CD7"/>
    <w:rsid w:val="00345DA5"/>
    <w:rsid w:val="00346086"/>
    <w:rsid w:val="00346292"/>
    <w:rsid w:val="00346367"/>
    <w:rsid w:val="003478F8"/>
    <w:rsid w:val="00351A51"/>
    <w:rsid w:val="00352776"/>
    <w:rsid w:val="00352EA2"/>
    <w:rsid w:val="00353067"/>
    <w:rsid w:val="003537C5"/>
    <w:rsid w:val="00353BDD"/>
    <w:rsid w:val="00354E24"/>
    <w:rsid w:val="00355DA5"/>
    <w:rsid w:val="003615FA"/>
    <w:rsid w:val="00361E43"/>
    <w:rsid w:val="003625AD"/>
    <w:rsid w:val="00362FAE"/>
    <w:rsid w:val="00365E92"/>
    <w:rsid w:val="00366032"/>
    <w:rsid w:val="00367638"/>
    <w:rsid w:val="00367F6D"/>
    <w:rsid w:val="003706CD"/>
    <w:rsid w:val="00371617"/>
    <w:rsid w:val="00372B9E"/>
    <w:rsid w:val="00373709"/>
    <w:rsid w:val="00373A28"/>
    <w:rsid w:val="00375ACD"/>
    <w:rsid w:val="00375EBC"/>
    <w:rsid w:val="0037729B"/>
    <w:rsid w:val="00377E3B"/>
    <w:rsid w:val="00381013"/>
    <w:rsid w:val="003824E3"/>
    <w:rsid w:val="00382DD6"/>
    <w:rsid w:val="00383A65"/>
    <w:rsid w:val="003846E3"/>
    <w:rsid w:val="00384931"/>
    <w:rsid w:val="0038596A"/>
    <w:rsid w:val="00386D84"/>
    <w:rsid w:val="0039043E"/>
    <w:rsid w:val="00390656"/>
    <w:rsid w:val="00391419"/>
    <w:rsid w:val="0039256F"/>
    <w:rsid w:val="00392792"/>
    <w:rsid w:val="00395641"/>
    <w:rsid w:val="00395F42"/>
    <w:rsid w:val="00397999"/>
    <w:rsid w:val="003A06F7"/>
    <w:rsid w:val="003A0D41"/>
    <w:rsid w:val="003A2172"/>
    <w:rsid w:val="003A2F7D"/>
    <w:rsid w:val="003A3BDC"/>
    <w:rsid w:val="003A56DB"/>
    <w:rsid w:val="003A65F3"/>
    <w:rsid w:val="003A69A2"/>
    <w:rsid w:val="003A6AEE"/>
    <w:rsid w:val="003B0690"/>
    <w:rsid w:val="003B4453"/>
    <w:rsid w:val="003B45C9"/>
    <w:rsid w:val="003C021D"/>
    <w:rsid w:val="003C04B6"/>
    <w:rsid w:val="003C0F27"/>
    <w:rsid w:val="003C1BD4"/>
    <w:rsid w:val="003C2FD2"/>
    <w:rsid w:val="003C3894"/>
    <w:rsid w:val="003C45E1"/>
    <w:rsid w:val="003C5A23"/>
    <w:rsid w:val="003C6170"/>
    <w:rsid w:val="003C6A1A"/>
    <w:rsid w:val="003D0FA8"/>
    <w:rsid w:val="003D12CD"/>
    <w:rsid w:val="003D21F4"/>
    <w:rsid w:val="003D3F94"/>
    <w:rsid w:val="003D6142"/>
    <w:rsid w:val="003D629E"/>
    <w:rsid w:val="003D6A1B"/>
    <w:rsid w:val="003D6B70"/>
    <w:rsid w:val="003E3164"/>
    <w:rsid w:val="003E3CD8"/>
    <w:rsid w:val="003E5889"/>
    <w:rsid w:val="003E5923"/>
    <w:rsid w:val="003E5F5F"/>
    <w:rsid w:val="003E746D"/>
    <w:rsid w:val="003F01FB"/>
    <w:rsid w:val="003F085B"/>
    <w:rsid w:val="003F1BAC"/>
    <w:rsid w:val="003F2A23"/>
    <w:rsid w:val="003F304F"/>
    <w:rsid w:val="003F542C"/>
    <w:rsid w:val="003F5A47"/>
    <w:rsid w:val="003F69AC"/>
    <w:rsid w:val="003F6DC5"/>
    <w:rsid w:val="003F7327"/>
    <w:rsid w:val="003F7E2E"/>
    <w:rsid w:val="00401091"/>
    <w:rsid w:val="00403636"/>
    <w:rsid w:val="004042F2"/>
    <w:rsid w:val="00404AF3"/>
    <w:rsid w:val="004078D5"/>
    <w:rsid w:val="00412575"/>
    <w:rsid w:val="00412DB4"/>
    <w:rsid w:val="00413F32"/>
    <w:rsid w:val="0041542A"/>
    <w:rsid w:val="00416797"/>
    <w:rsid w:val="00420268"/>
    <w:rsid w:val="004203C7"/>
    <w:rsid w:val="00421C33"/>
    <w:rsid w:val="00422F11"/>
    <w:rsid w:val="0042714F"/>
    <w:rsid w:val="0042733F"/>
    <w:rsid w:val="00430708"/>
    <w:rsid w:val="004319D4"/>
    <w:rsid w:val="00432061"/>
    <w:rsid w:val="00432BB4"/>
    <w:rsid w:val="0043512A"/>
    <w:rsid w:val="00437B97"/>
    <w:rsid w:val="004403D0"/>
    <w:rsid w:val="0044082F"/>
    <w:rsid w:val="00442326"/>
    <w:rsid w:val="00443975"/>
    <w:rsid w:val="0044424D"/>
    <w:rsid w:val="00444253"/>
    <w:rsid w:val="0044503E"/>
    <w:rsid w:val="00446165"/>
    <w:rsid w:val="004466CB"/>
    <w:rsid w:val="00447E4B"/>
    <w:rsid w:val="00453669"/>
    <w:rsid w:val="0045457C"/>
    <w:rsid w:val="00454C23"/>
    <w:rsid w:val="00461254"/>
    <w:rsid w:val="00465954"/>
    <w:rsid w:val="00465C5D"/>
    <w:rsid w:val="0046649F"/>
    <w:rsid w:val="004677B2"/>
    <w:rsid w:val="004702E6"/>
    <w:rsid w:val="00470701"/>
    <w:rsid w:val="00470DDD"/>
    <w:rsid w:val="00472726"/>
    <w:rsid w:val="00473CF3"/>
    <w:rsid w:val="004769C5"/>
    <w:rsid w:val="0047712F"/>
    <w:rsid w:val="00477667"/>
    <w:rsid w:val="004805D2"/>
    <w:rsid w:val="00480B7E"/>
    <w:rsid w:val="00481932"/>
    <w:rsid w:val="00481B6B"/>
    <w:rsid w:val="004820BD"/>
    <w:rsid w:val="004822FD"/>
    <w:rsid w:val="004825D8"/>
    <w:rsid w:val="00482BC7"/>
    <w:rsid w:val="00482CB7"/>
    <w:rsid w:val="00483204"/>
    <w:rsid w:val="00484E0E"/>
    <w:rsid w:val="004851CC"/>
    <w:rsid w:val="00486615"/>
    <w:rsid w:val="00486696"/>
    <w:rsid w:val="00486725"/>
    <w:rsid w:val="004919ED"/>
    <w:rsid w:val="004968BE"/>
    <w:rsid w:val="00496C03"/>
    <w:rsid w:val="004A0A9E"/>
    <w:rsid w:val="004A19AF"/>
    <w:rsid w:val="004A2231"/>
    <w:rsid w:val="004A3CC5"/>
    <w:rsid w:val="004A435E"/>
    <w:rsid w:val="004A46DC"/>
    <w:rsid w:val="004A5088"/>
    <w:rsid w:val="004A6324"/>
    <w:rsid w:val="004B0525"/>
    <w:rsid w:val="004B1A04"/>
    <w:rsid w:val="004B2864"/>
    <w:rsid w:val="004B33C7"/>
    <w:rsid w:val="004B49CF"/>
    <w:rsid w:val="004B7C34"/>
    <w:rsid w:val="004C01B4"/>
    <w:rsid w:val="004C1017"/>
    <w:rsid w:val="004C11E4"/>
    <w:rsid w:val="004C2138"/>
    <w:rsid w:val="004C2A2B"/>
    <w:rsid w:val="004C63C5"/>
    <w:rsid w:val="004C6621"/>
    <w:rsid w:val="004D1B01"/>
    <w:rsid w:val="004D27C4"/>
    <w:rsid w:val="004D3862"/>
    <w:rsid w:val="004D3DCF"/>
    <w:rsid w:val="004D3F1B"/>
    <w:rsid w:val="004D5E71"/>
    <w:rsid w:val="004D7D08"/>
    <w:rsid w:val="004E02C8"/>
    <w:rsid w:val="004E1739"/>
    <w:rsid w:val="004E33B5"/>
    <w:rsid w:val="004E5328"/>
    <w:rsid w:val="004E5908"/>
    <w:rsid w:val="004E65BF"/>
    <w:rsid w:val="004E6733"/>
    <w:rsid w:val="004E7C3A"/>
    <w:rsid w:val="004F123B"/>
    <w:rsid w:val="004F1B47"/>
    <w:rsid w:val="004F2DF1"/>
    <w:rsid w:val="004F2FF1"/>
    <w:rsid w:val="004F428A"/>
    <w:rsid w:val="004F6CA1"/>
    <w:rsid w:val="004F72D4"/>
    <w:rsid w:val="00500D3E"/>
    <w:rsid w:val="00502258"/>
    <w:rsid w:val="0050468D"/>
    <w:rsid w:val="0050478A"/>
    <w:rsid w:val="0050772E"/>
    <w:rsid w:val="00510553"/>
    <w:rsid w:val="00512BF5"/>
    <w:rsid w:val="00515CC5"/>
    <w:rsid w:val="00515E09"/>
    <w:rsid w:val="005166DE"/>
    <w:rsid w:val="00517348"/>
    <w:rsid w:val="00517507"/>
    <w:rsid w:val="005209B7"/>
    <w:rsid w:val="00520F62"/>
    <w:rsid w:val="00521BA3"/>
    <w:rsid w:val="00527C6C"/>
    <w:rsid w:val="00533D0F"/>
    <w:rsid w:val="00534AA1"/>
    <w:rsid w:val="0053780A"/>
    <w:rsid w:val="00537B1C"/>
    <w:rsid w:val="0054422E"/>
    <w:rsid w:val="00544E7E"/>
    <w:rsid w:val="00545527"/>
    <w:rsid w:val="0055101F"/>
    <w:rsid w:val="00553F3A"/>
    <w:rsid w:val="005544FA"/>
    <w:rsid w:val="00554DAB"/>
    <w:rsid w:val="005550DA"/>
    <w:rsid w:val="00556555"/>
    <w:rsid w:val="00561B59"/>
    <w:rsid w:val="005713EA"/>
    <w:rsid w:val="0057263B"/>
    <w:rsid w:val="0057291D"/>
    <w:rsid w:val="00573F6D"/>
    <w:rsid w:val="00574C0E"/>
    <w:rsid w:val="0058230C"/>
    <w:rsid w:val="00583CC9"/>
    <w:rsid w:val="00583DB8"/>
    <w:rsid w:val="00583FB5"/>
    <w:rsid w:val="00584010"/>
    <w:rsid w:val="00584A48"/>
    <w:rsid w:val="005860DA"/>
    <w:rsid w:val="005913EB"/>
    <w:rsid w:val="00591970"/>
    <w:rsid w:val="005919EA"/>
    <w:rsid w:val="005939B7"/>
    <w:rsid w:val="005952FB"/>
    <w:rsid w:val="00596D5C"/>
    <w:rsid w:val="005A1264"/>
    <w:rsid w:val="005A1F68"/>
    <w:rsid w:val="005A3616"/>
    <w:rsid w:val="005A56D7"/>
    <w:rsid w:val="005B0DBB"/>
    <w:rsid w:val="005B175F"/>
    <w:rsid w:val="005B375C"/>
    <w:rsid w:val="005B4DEE"/>
    <w:rsid w:val="005C069A"/>
    <w:rsid w:val="005C1AFA"/>
    <w:rsid w:val="005C1FAB"/>
    <w:rsid w:val="005C2A03"/>
    <w:rsid w:val="005C3DB6"/>
    <w:rsid w:val="005C4DBD"/>
    <w:rsid w:val="005C7192"/>
    <w:rsid w:val="005D0781"/>
    <w:rsid w:val="005D3F49"/>
    <w:rsid w:val="005D49A8"/>
    <w:rsid w:val="005D49F9"/>
    <w:rsid w:val="005E0A06"/>
    <w:rsid w:val="005E0E65"/>
    <w:rsid w:val="005E39FB"/>
    <w:rsid w:val="005E4273"/>
    <w:rsid w:val="005E5B59"/>
    <w:rsid w:val="005E6F4D"/>
    <w:rsid w:val="005E7162"/>
    <w:rsid w:val="005F104C"/>
    <w:rsid w:val="005F4906"/>
    <w:rsid w:val="005F6ED0"/>
    <w:rsid w:val="00602B17"/>
    <w:rsid w:val="0060322E"/>
    <w:rsid w:val="006048A9"/>
    <w:rsid w:val="0060721B"/>
    <w:rsid w:val="00611C06"/>
    <w:rsid w:val="00614BA4"/>
    <w:rsid w:val="00614BC9"/>
    <w:rsid w:val="00616340"/>
    <w:rsid w:val="00616D9C"/>
    <w:rsid w:val="006170D0"/>
    <w:rsid w:val="006179BB"/>
    <w:rsid w:val="006201A7"/>
    <w:rsid w:val="006212E9"/>
    <w:rsid w:val="00621824"/>
    <w:rsid w:val="00622321"/>
    <w:rsid w:val="00623F9E"/>
    <w:rsid w:val="00625A9B"/>
    <w:rsid w:val="006268BB"/>
    <w:rsid w:val="00626AE3"/>
    <w:rsid w:val="00626CA9"/>
    <w:rsid w:val="00627644"/>
    <w:rsid w:val="00627650"/>
    <w:rsid w:val="00631936"/>
    <w:rsid w:val="006322DF"/>
    <w:rsid w:val="0063249B"/>
    <w:rsid w:val="00632865"/>
    <w:rsid w:val="006329D2"/>
    <w:rsid w:val="00633E70"/>
    <w:rsid w:val="006347CA"/>
    <w:rsid w:val="00637410"/>
    <w:rsid w:val="006406D7"/>
    <w:rsid w:val="006408CA"/>
    <w:rsid w:val="00640AF3"/>
    <w:rsid w:val="00644B1E"/>
    <w:rsid w:val="00647A3F"/>
    <w:rsid w:val="00650C71"/>
    <w:rsid w:val="00651057"/>
    <w:rsid w:val="00651161"/>
    <w:rsid w:val="00651368"/>
    <w:rsid w:val="006532D9"/>
    <w:rsid w:val="00654F1D"/>
    <w:rsid w:val="00655AED"/>
    <w:rsid w:val="00656FA7"/>
    <w:rsid w:val="00657089"/>
    <w:rsid w:val="00657E14"/>
    <w:rsid w:val="00660728"/>
    <w:rsid w:val="006607C9"/>
    <w:rsid w:val="0066082E"/>
    <w:rsid w:val="006615AF"/>
    <w:rsid w:val="00661877"/>
    <w:rsid w:val="00661F13"/>
    <w:rsid w:val="00662627"/>
    <w:rsid w:val="0066468C"/>
    <w:rsid w:val="006662B9"/>
    <w:rsid w:val="006716DE"/>
    <w:rsid w:val="00672A20"/>
    <w:rsid w:val="006737C8"/>
    <w:rsid w:val="006738D2"/>
    <w:rsid w:val="0067446B"/>
    <w:rsid w:val="006744C3"/>
    <w:rsid w:val="00676D16"/>
    <w:rsid w:val="0067746F"/>
    <w:rsid w:val="00677ECA"/>
    <w:rsid w:val="00677F9D"/>
    <w:rsid w:val="00690E14"/>
    <w:rsid w:val="0069112B"/>
    <w:rsid w:val="0069187D"/>
    <w:rsid w:val="00697240"/>
    <w:rsid w:val="0069788E"/>
    <w:rsid w:val="006A11B7"/>
    <w:rsid w:val="006A1B47"/>
    <w:rsid w:val="006A2318"/>
    <w:rsid w:val="006A27BF"/>
    <w:rsid w:val="006A327D"/>
    <w:rsid w:val="006A69A0"/>
    <w:rsid w:val="006B1F52"/>
    <w:rsid w:val="006B432D"/>
    <w:rsid w:val="006B6172"/>
    <w:rsid w:val="006B729A"/>
    <w:rsid w:val="006C1440"/>
    <w:rsid w:val="006C23A0"/>
    <w:rsid w:val="006C3D1B"/>
    <w:rsid w:val="006C3E46"/>
    <w:rsid w:val="006C5E57"/>
    <w:rsid w:val="006C7C53"/>
    <w:rsid w:val="006D358D"/>
    <w:rsid w:val="006D3A86"/>
    <w:rsid w:val="006D3C40"/>
    <w:rsid w:val="006D4289"/>
    <w:rsid w:val="006D4F4E"/>
    <w:rsid w:val="006D6AA3"/>
    <w:rsid w:val="006D7144"/>
    <w:rsid w:val="006D78EB"/>
    <w:rsid w:val="006E51D0"/>
    <w:rsid w:val="006E51FA"/>
    <w:rsid w:val="006E5AA9"/>
    <w:rsid w:val="006E5C07"/>
    <w:rsid w:val="006E692E"/>
    <w:rsid w:val="006E6DE5"/>
    <w:rsid w:val="006E799F"/>
    <w:rsid w:val="006E7B1B"/>
    <w:rsid w:val="006F0BB9"/>
    <w:rsid w:val="006F39CC"/>
    <w:rsid w:val="006F427F"/>
    <w:rsid w:val="006F4936"/>
    <w:rsid w:val="006F672F"/>
    <w:rsid w:val="006F730C"/>
    <w:rsid w:val="007006ED"/>
    <w:rsid w:val="00701210"/>
    <w:rsid w:val="00701E1C"/>
    <w:rsid w:val="00702B2B"/>
    <w:rsid w:val="00703242"/>
    <w:rsid w:val="007045FF"/>
    <w:rsid w:val="007141D1"/>
    <w:rsid w:val="007159D9"/>
    <w:rsid w:val="00715DC1"/>
    <w:rsid w:val="00720AD3"/>
    <w:rsid w:val="00720C09"/>
    <w:rsid w:val="00722DD6"/>
    <w:rsid w:val="0072302F"/>
    <w:rsid w:val="00724A83"/>
    <w:rsid w:val="00725961"/>
    <w:rsid w:val="00727805"/>
    <w:rsid w:val="0073158F"/>
    <w:rsid w:val="0073226A"/>
    <w:rsid w:val="007333BA"/>
    <w:rsid w:val="00733860"/>
    <w:rsid w:val="00733F43"/>
    <w:rsid w:val="0073685D"/>
    <w:rsid w:val="00740FE2"/>
    <w:rsid w:val="007421CF"/>
    <w:rsid w:val="00742D7E"/>
    <w:rsid w:val="00743816"/>
    <w:rsid w:val="0074468D"/>
    <w:rsid w:val="00744847"/>
    <w:rsid w:val="00745D6A"/>
    <w:rsid w:val="007467C0"/>
    <w:rsid w:val="00747440"/>
    <w:rsid w:val="00747733"/>
    <w:rsid w:val="00755966"/>
    <w:rsid w:val="00756BEF"/>
    <w:rsid w:val="00757A98"/>
    <w:rsid w:val="0076148B"/>
    <w:rsid w:val="00762ABB"/>
    <w:rsid w:val="007644E6"/>
    <w:rsid w:val="00764C95"/>
    <w:rsid w:val="0077066D"/>
    <w:rsid w:val="007720EC"/>
    <w:rsid w:val="007745D9"/>
    <w:rsid w:val="0077471F"/>
    <w:rsid w:val="00775801"/>
    <w:rsid w:val="0077588A"/>
    <w:rsid w:val="00781070"/>
    <w:rsid w:val="007817B4"/>
    <w:rsid w:val="00783297"/>
    <w:rsid w:val="00783DE6"/>
    <w:rsid w:val="0078503A"/>
    <w:rsid w:val="0078591E"/>
    <w:rsid w:val="007866CE"/>
    <w:rsid w:val="007868DA"/>
    <w:rsid w:val="007914CE"/>
    <w:rsid w:val="00792A9E"/>
    <w:rsid w:val="007930A2"/>
    <w:rsid w:val="007934B7"/>
    <w:rsid w:val="00796E39"/>
    <w:rsid w:val="00797F17"/>
    <w:rsid w:val="007A0749"/>
    <w:rsid w:val="007A26D2"/>
    <w:rsid w:val="007A4337"/>
    <w:rsid w:val="007A4812"/>
    <w:rsid w:val="007A4D01"/>
    <w:rsid w:val="007A5872"/>
    <w:rsid w:val="007B0943"/>
    <w:rsid w:val="007B0D6E"/>
    <w:rsid w:val="007B11B9"/>
    <w:rsid w:val="007B1575"/>
    <w:rsid w:val="007B15F7"/>
    <w:rsid w:val="007B3D41"/>
    <w:rsid w:val="007B66E0"/>
    <w:rsid w:val="007C14A1"/>
    <w:rsid w:val="007C3466"/>
    <w:rsid w:val="007C459D"/>
    <w:rsid w:val="007C64F4"/>
    <w:rsid w:val="007C6AD1"/>
    <w:rsid w:val="007C6F3D"/>
    <w:rsid w:val="007D0D5F"/>
    <w:rsid w:val="007D39BD"/>
    <w:rsid w:val="007D692C"/>
    <w:rsid w:val="007D72B5"/>
    <w:rsid w:val="007D7545"/>
    <w:rsid w:val="007E09D6"/>
    <w:rsid w:val="007E3C04"/>
    <w:rsid w:val="007E7D70"/>
    <w:rsid w:val="007F3613"/>
    <w:rsid w:val="007F5214"/>
    <w:rsid w:val="008014EE"/>
    <w:rsid w:val="00801E0E"/>
    <w:rsid w:val="00801FE8"/>
    <w:rsid w:val="00802D9F"/>
    <w:rsid w:val="00805186"/>
    <w:rsid w:val="0080716D"/>
    <w:rsid w:val="00807B50"/>
    <w:rsid w:val="0081025F"/>
    <w:rsid w:val="0081148F"/>
    <w:rsid w:val="0081378C"/>
    <w:rsid w:val="008140B4"/>
    <w:rsid w:val="008154B5"/>
    <w:rsid w:val="008159DB"/>
    <w:rsid w:val="00817643"/>
    <w:rsid w:val="00822888"/>
    <w:rsid w:val="00822944"/>
    <w:rsid w:val="00822AB7"/>
    <w:rsid w:val="0083093E"/>
    <w:rsid w:val="008336C3"/>
    <w:rsid w:val="008353EC"/>
    <w:rsid w:val="00835978"/>
    <w:rsid w:val="008368A1"/>
    <w:rsid w:val="00836971"/>
    <w:rsid w:val="008438F7"/>
    <w:rsid w:val="00846480"/>
    <w:rsid w:val="00850C03"/>
    <w:rsid w:val="00856439"/>
    <w:rsid w:val="0085709C"/>
    <w:rsid w:val="00857551"/>
    <w:rsid w:val="00861F53"/>
    <w:rsid w:val="00862381"/>
    <w:rsid w:val="00862E2A"/>
    <w:rsid w:val="00865186"/>
    <w:rsid w:val="008724EB"/>
    <w:rsid w:val="00875201"/>
    <w:rsid w:val="00875C18"/>
    <w:rsid w:val="00877DFC"/>
    <w:rsid w:val="00880591"/>
    <w:rsid w:val="008813C8"/>
    <w:rsid w:val="008819BD"/>
    <w:rsid w:val="008819DC"/>
    <w:rsid w:val="00881C75"/>
    <w:rsid w:val="0089228D"/>
    <w:rsid w:val="00893915"/>
    <w:rsid w:val="00894CC6"/>
    <w:rsid w:val="0089615D"/>
    <w:rsid w:val="00896221"/>
    <w:rsid w:val="008964B4"/>
    <w:rsid w:val="008972CA"/>
    <w:rsid w:val="008A07ED"/>
    <w:rsid w:val="008A0C55"/>
    <w:rsid w:val="008A0CEC"/>
    <w:rsid w:val="008A2CD3"/>
    <w:rsid w:val="008A3654"/>
    <w:rsid w:val="008A38E4"/>
    <w:rsid w:val="008A443F"/>
    <w:rsid w:val="008A5261"/>
    <w:rsid w:val="008A721A"/>
    <w:rsid w:val="008B045E"/>
    <w:rsid w:val="008B1893"/>
    <w:rsid w:val="008B2377"/>
    <w:rsid w:val="008B279F"/>
    <w:rsid w:val="008B27C4"/>
    <w:rsid w:val="008B2A46"/>
    <w:rsid w:val="008B37FD"/>
    <w:rsid w:val="008B5456"/>
    <w:rsid w:val="008B75D5"/>
    <w:rsid w:val="008C0167"/>
    <w:rsid w:val="008C1F32"/>
    <w:rsid w:val="008C2DEA"/>
    <w:rsid w:val="008C5124"/>
    <w:rsid w:val="008C6480"/>
    <w:rsid w:val="008C6FF5"/>
    <w:rsid w:val="008D042F"/>
    <w:rsid w:val="008D188C"/>
    <w:rsid w:val="008D2402"/>
    <w:rsid w:val="008D2431"/>
    <w:rsid w:val="008D31F3"/>
    <w:rsid w:val="008D3C33"/>
    <w:rsid w:val="008D4C58"/>
    <w:rsid w:val="008D4E53"/>
    <w:rsid w:val="008D65E9"/>
    <w:rsid w:val="008D66A4"/>
    <w:rsid w:val="008D6D06"/>
    <w:rsid w:val="008E0502"/>
    <w:rsid w:val="008E1D7B"/>
    <w:rsid w:val="008E2364"/>
    <w:rsid w:val="008E308A"/>
    <w:rsid w:val="008F0ED4"/>
    <w:rsid w:val="008F15C0"/>
    <w:rsid w:val="008F3157"/>
    <w:rsid w:val="009027E6"/>
    <w:rsid w:val="00903A3A"/>
    <w:rsid w:val="00903FA5"/>
    <w:rsid w:val="00904264"/>
    <w:rsid w:val="00906429"/>
    <w:rsid w:val="00906920"/>
    <w:rsid w:val="0091138D"/>
    <w:rsid w:val="009125E4"/>
    <w:rsid w:val="0091388A"/>
    <w:rsid w:val="00915900"/>
    <w:rsid w:val="00915C5C"/>
    <w:rsid w:val="00916745"/>
    <w:rsid w:val="0092117F"/>
    <w:rsid w:val="00924A05"/>
    <w:rsid w:val="009258B3"/>
    <w:rsid w:val="00926EEA"/>
    <w:rsid w:val="00930607"/>
    <w:rsid w:val="0093111C"/>
    <w:rsid w:val="009314A6"/>
    <w:rsid w:val="009316F7"/>
    <w:rsid w:val="009325F2"/>
    <w:rsid w:val="00933734"/>
    <w:rsid w:val="00937CED"/>
    <w:rsid w:val="00937FCD"/>
    <w:rsid w:val="00942525"/>
    <w:rsid w:val="00943439"/>
    <w:rsid w:val="009436AD"/>
    <w:rsid w:val="00943AEF"/>
    <w:rsid w:val="00945248"/>
    <w:rsid w:val="00945561"/>
    <w:rsid w:val="0094556C"/>
    <w:rsid w:val="00950F86"/>
    <w:rsid w:val="00952801"/>
    <w:rsid w:val="00954C71"/>
    <w:rsid w:val="00955DE7"/>
    <w:rsid w:val="00960EA5"/>
    <w:rsid w:val="0096165D"/>
    <w:rsid w:val="009622E0"/>
    <w:rsid w:val="009634EF"/>
    <w:rsid w:val="00964584"/>
    <w:rsid w:val="009647B6"/>
    <w:rsid w:val="009652B2"/>
    <w:rsid w:val="00970A43"/>
    <w:rsid w:val="00971731"/>
    <w:rsid w:val="009719E3"/>
    <w:rsid w:val="00973FB5"/>
    <w:rsid w:val="00974204"/>
    <w:rsid w:val="00974720"/>
    <w:rsid w:val="009757DF"/>
    <w:rsid w:val="009774C2"/>
    <w:rsid w:val="00977CF8"/>
    <w:rsid w:val="009814E8"/>
    <w:rsid w:val="00981640"/>
    <w:rsid w:val="00981FD3"/>
    <w:rsid w:val="00983B12"/>
    <w:rsid w:val="00984325"/>
    <w:rsid w:val="009851CB"/>
    <w:rsid w:val="009871C9"/>
    <w:rsid w:val="0099043E"/>
    <w:rsid w:val="00991D20"/>
    <w:rsid w:val="0099459F"/>
    <w:rsid w:val="009949CE"/>
    <w:rsid w:val="00995705"/>
    <w:rsid w:val="00997C0C"/>
    <w:rsid w:val="009A006B"/>
    <w:rsid w:val="009A1082"/>
    <w:rsid w:val="009A1B8E"/>
    <w:rsid w:val="009A3A47"/>
    <w:rsid w:val="009A3D90"/>
    <w:rsid w:val="009A4634"/>
    <w:rsid w:val="009A46AE"/>
    <w:rsid w:val="009A5E17"/>
    <w:rsid w:val="009A614A"/>
    <w:rsid w:val="009A618F"/>
    <w:rsid w:val="009B1307"/>
    <w:rsid w:val="009B28E6"/>
    <w:rsid w:val="009B5F15"/>
    <w:rsid w:val="009B6AF4"/>
    <w:rsid w:val="009C0697"/>
    <w:rsid w:val="009C2066"/>
    <w:rsid w:val="009C2941"/>
    <w:rsid w:val="009C32AA"/>
    <w:rsid w:val="009C370A"/>
    <w:rsid w:val="009C37BA"/>
    <w:rsid w:val="009C48C3"/>
    <w:rsid w:val="009C4C99"/>
    <w:rsid w:val="009C63E4"/>
    <w:rsid w:val="009C6486"/>
    <w:rsid w:val="009D0E54"/>
    <w:rsid w:val="009D21BC"/>
    <w:rsid w:val="009D3913"/>
    <w:rsid w:val="009D62D3"/>
    <w:rsid w:val="009D73B9"/>
    <w:rsid w:val="009E0746"/>
    <w:rsid w:val="009E0B89"/>
    <w:rsid w:val="009E272C"/>
    <w:rsid w:val="009E46DE"/>
    <w:rsid w:val="009E5191"/>
    <w:rsid w:val="009E6600"/>
    <w:rsid w:val="009E6D80"/>
    <w:rsid w:val="009E6DAA"/>
    <w:rsid w:val="009F1D9E"/>
    <w:rsid w:val="009F3F82"/>
    <w:rsid w:val="009F52BB"/>
    <w:rsid w:val="009F680F"/>
    <w:rsid w:val="00A01596"/>
    <w:rsid w:val="00A02097"/>
    <w:rsid w:val="00A02743"/>
    <w:rsid w:val="00A06304"/>
    <w:rsid w:val="00A06B8C"/>
    <w:rsid w:val="00A1226C"/>
    <w:rsid w:val="00A12A38"/>
    <w:rsid w:val="00A1486D"/>
    <w:rsid w:val="00A14DD1"/>
    <w:rsid w:val="00A163A6"/>
    <w:rsid w:val="00A16559"/>
    <w:rsid w:val="00A2012E"/>
    <w:rsid w:val="00A21DC2"/>
    <w:rsid w:val="00A2269C"/>
    <w:rsid w:val="00A229E3"/>
    <w:rsid w:val="00A2302B"/>
    <w:rsid w:val="00A2698C"/>
    <w:rsid w:val="00A31318"/>
    <w:rsid w:val="00A32FBD"/>
    <w:rsid w:val="00A33B00"/>
    <w:rsid w:val="00A35115"/>
    <w:rsid w:val="00A36660"/>
    <w:rsid w:val="00A36671"/>
    <w:rsid w:val="00A37098"/>
    <w:rsid w:val="00A400C1"/>
    <w:rsid w:val="00A40CFE"/>
    <w:rsid w:val="00A41AA9"/>
    <w:rsid w:val="00A42AA6"/>
    <w:rsid w:val="00A42C8C"/>
    <w:rsid w:val="00A432E6"/>
    <w:rsid w:val="00A46C59"/>
    <w:rsid w:val="00A476A3"/>
    <w:rsid w:val="00A51C79"/>
    <w:rsid w:val="00A51DB3"/>
    <w:rsid w:val="00A52B42"/>
    <w:rsid w:val="00A54CDE"/>
    <w:rsid w:val="00A55D6B"/>
    <w:rsid w:val="00A56F71"/>
    <w:rsid w:val="00A572AA"/>
    <w:rsid w:val="00A57A5F"/>
    <w:rsid w:val="00A57B4B"/>
    <w:rsid w:val="00A60230"/>
    <w:rsid w:val="00A606B4"/>
    <w:rsid w:val="00A618A1"/>
    <w:rsid w:val="00A62877"/>
    <w:rsid w:val="00A64FBF"/>
    <w:rsid w:val="00A65218"/>
    <w:rsid w:val="00A6562F"/>
    <w:rsid w:val="00A67F62"/>
    <w:rsid w:val="00A71B80"/>
    <w:rsid w:val="00A75E4D"/>
    <w:rsid w:val="00A768A8"/>
    <w:rsid w:val="00A8215C"/>
    <w:rsid w:val="00A86610"/>
    <w:rsid w:val="00A86E89"/>
    <w:rsid w:val="00A87953"/>
    <w:rsid w:val="00A96213"/>
    <w:rsid w:val="00A96AF1"/>
    <w:rsid w:val="00AA20B2"/>
    <w:rsid w:val="00AA2B7D"/>
    <w:rsid w:val="00AA2FF6"/>
    <w:rsid w:val="00AA3714"/>
    <w:rsid w:val="00AA5C00"/>
    <w:rsid w:val="00AB0577"/>
    <w:rsid w:val="00AB3187"/>
    <w:rsid w:val="00AB3660"/>
    <w:rsid w:val="00AB3FE5"/>
    <w:rsid w:val="00AB7D1C"/>
    <w:rsid w:val="00AC0A2F"/>
    <w:rsid w:val="00AC1087"/>
    <w:rsid w:val="00AC1FB5"/>
    <w:rsid w:val="00AC2422"/>
    <w:rsid w:val="00AC2F46"/>
    <w:rsid w:val="00AC3547"/>
    <w:rsid w:val="00AC3F12"/>
    <w:rsid w:val="00AC4B1B"/>
    <w:rsid w:val="00AC65C7"/>
    <w:rsid w:val="00AC7098"/>
    <w:rsid w:val="00AC7EF1"/>
    <w:rsid w:val="00AD0B34"/>
    <w:rsid w:val="00AD3E88"/>
    <w:rsid w:val="00AD5DCC"/>
    <w:rsid w:val="00AD71D8"/>
    <w:rsid w:val="00AE01A4"/>
    <w:rsid w:val="00AE03C5"/>
    <w:rsid w:val="00AE09B9"/>
    <w:rsid w:val="00AE36CA"/>
    <w:rsid w:val="00AE48EA"/>
    <w:rsid w:val="00AE49B4"/>
    <w:rsid w:val="00AE6346"/>
    <w:rsid w:val="00AF2386"/>
    <w:rsid w:val="00AF37CE"/>
    <w:rsid w:val="00AF3C7B"/>
    <w:rsid w:val="00AF3EC1"/>
    <w:rsid w:val="00AF62F2"/>
    <w:rsid w:val="00AF67D9"/>
    <w:rsid w:val="00AF6B94"/>
    <w:rsid w:val="00B018F7"/>
    <w:rsid w:val="00B02238"/>
    <w:rsid w:val="00B03CDA"/>
    <w:rsid w:val="00B05C5E"/>
    <w:rsid w:val="00B133A6"/>
    <w:rsid w:val="00B147B0"/>
    <w:rsid w:val="00B22D95"/>
    <w:rsid w:val="00B23299"/>
    <w:rsid w:val="00B234C8"/>
    <w:rsid w:val="00B23C90"/>
    <w:rsid w:val="00B24345"/>
    <w:rsid w:val="00B2467A"/>
    <w:rsid w:val="00B253E7"/>
    <w:rsid w:val="00B26198"/>
    <w:rsid w:val="00B301C7"/>
    <w:rsid w:val="00B31971"/>
    <w:rsid w:val="00B339AD"/>
    <w:rsid w:val="00B34CF8"/>
    <w:rsid w:val="00B3733A"/>
    <w:rsid w:val="00B40207"/>
    <w:rsid w:val="00B40D9E"/>
    <w:rsid w:val="00B41979"/>
    <w:rsid w:val="00B4240F"/>
    <w:rsid w:val="00B4725F"/>
    <w:rsid w:val="00B514AE"/>
    <w:rsid w:val="00B53C48"/>
    <w:rsid w:val="00B55530"/>
    <w:rsid w:val="00B557F8"/>
    <w:rsid w:val="00B55FF1"/>
    <w:rsid w:val="00B571D6"/>
    <w:rsid w:val="00B57C78"/>
    <w:rsid w:val="00B611C5"/>
    <w:rsid w:val="00B613A2"/>
    <w:rsid w:val="00B65ABA"/>
    <w:rsid w:val="00B712F5"/>
    <w:rsid w:val="00B71FB7"/>
    <w:rsid w:val="00B7347B"/>
    <w:rsid w:val="00B73B9C"/>
    <w:rsid w:val="00B7463C"/>
    <w:rsid w:val="00B75228"/>
    <w:rsid w:val="00B77210"/>
    <w:rsid w:val="00B819B8"/>
    <w:rsid w:val="00B8373F"/>
    <w:rsid w:val="00B8418F"/>
    <w:rsid w:val="00B86040"/>
    <w:rsid w:val="00B8712F"/>
    <w:rsid w:val="00B914A4"/>
    <w:rsid w:val="00B91F26"/>
    <w:rsid w:val="00B93553"/>
    <w:rsid w:val="00BA0A7E"/>
    <w:rsid w:val="00BA1135"/>
    <w:rsid w:val="00BA142D"/>
    <w:rsid w:val="00BA2DB3"/>
    <w:rsid w:val="00BA355D"/>
    <w:rsid w:val="00BA45F2"/>
    <w:rsid w:val="00BB05EA"/>
    <w:rsid w:val="00BB15B7"/>
    <w:rsid w:val="00BB1B29"/>
    <w:rsid w:val="00BB1D41"/>
    <w:rsid w:val="00BB3F75"/>
    <w:rsid w:val="00BB4472"/>
    <w:rsid w:val="00BB5E77"/>
    <w:rsid w:val="00BB5E8D"/>
    <w:rsid w:val="00BC1841"/>
    <w:rsid w:val="00BC2A2D"/>
    <w:rsid w:val="00BC3304"/>
    <w:rsid w:val="00BC5BC2"/>
    <w:rsid w:val="00BC6DFC"/>
    <w:rsid w:val="00BC7809"/>
    <w:rsid w:val="00BD0963"/>
    <w:rsid w:val="00BD0C92"/>
    <w:rsid w:val="00BD0F20"/>
    <w:rsid w:val="00BD1166"/>
    <w:rsid w:val="00BD2227"/>
    <w:rsid w:val="00BD243B"/>
    <w:rsid w:val="00BD2933"/>
    <w:rsid w:val="00BD4773"/>
    <w:rsid w:val="00BD6D9A"/>
    <w:rsid w:val="00BD7894"/>
    <w:rsid w:val="00BD7B4D"/>
    <w:rsid w:val="00BE0DE8"/>
    <w:rsid w:val="00BE1030"/>
    <w:rsid w:val="00BE3A50"/>
    <w:rsid w:val="00BE556D"/>
    <w:rsid w:val="00BE5691"/>
    <w:rsid w:val="00BF06F6"/>
    <w:rsid w:val="00BF1A19"/>
    <w:rsid w:val="00BF5E98"/>
    <w:rsid w:val="00C0037B"/>
    <w:rsid w:val="00C0143B"/>
    <w:rsid w:val="00C014A4"/>
    <w:rsid w:val="00C023B5"/>
    <w:rsid w:val="00C02F23"/>
    <w:rsid w:val="00C04CA1"/>
    <w:rsid w:val="00C056A8"/>
    <w:rsid w:val="00C06A38"/>
    <w:rsid w:val="00C074F8"/>
    <w:rsid w:val="00C10841"/>
    <w:rsid w:val="00C12508"/>
    <w:rsid w:val="00C13289"/>
    <w:rsid w:val="00C13309"/>
    <w:rsid w:val="00C13391"/>
    <w:rsid w:val="00C1401C"/>
    <w:rsid w:val="00C14047"/>
    <w:rsid w:val="00C142B1"/>
    <w:rsid w:val="00C156C9"/>
    <w:rsid w:val="00C15F79"/>
    <w:rsid w:val="00C16B72"/>
    <w:rsid w:val="00C1753B"/>
    <w:rsid w:val="00C20553"/>
    <w:rsid w:val="00C20F5E"/>
    <w:rsid w:val="00C22391"/>
    <w:rsid w:val="00C22F33"/>
    <w:rsid w:val="00C2396A"/>
    <w:rsid w:val="00C240AF"/>
    <w:rsid w:val="00C2588E"/>
    <w:rsid w:val="00C26F11"/>
    <w:rsid w:val="00C27F9D"/>
    <w:rsid w:val="00C32CA9"/>
    <w:rsid w:val="00C357C6"/>
    <w:rsid w:val="00C36DF4"/>
    <w:rsid w:val="00C3703E"/>
    <w:rsid w:val="00C37FC4"/>
    <w:rsid w:val="00C420D2"/>
    <w:rsid w:val="00C424E8"/>
    <w:rsid w:val="00C4365E"/>
    <w:rsid w:val="00C453B7"/>
    <w:rsid w:val="00C50E21"/>
    <w:rsid w:val="00C515D4"/>
    <w:rsid w:val="00C51ACF"/>
    <w:rsid w:val="00C5253B"/>
    <w:rsid w:val="00C5384F"/>
    <w:rsid w:val="00C53A3D"/>
    <w:rsid w:val="00C549FC"/>
    <w:rsid w:val="00C61432"/>
    <w:rsid w:val="00C61B81"/>
    <w:rsid w:val="00C64854"/>
    <w:rsid w:val="00C64960"/>
    <w:rsid w:val="00C65C59"/>
    <w:rsid w:val="00C66311"/>
    <w:rsid w:val="00C674B0"/>
    <w:rsid w:val="00C70B3D"/>
    <w:rsid w:val="00C715D3"/>
    <w:rsid w:val="00C71B12"/>
    <w:rsid w:val="00C77E57"/>
    <w:rsid w:val="00C83246"/>
    <w:rsid w:val="00C85C48"/>
    <w:rsid w:val="00C87063"/>
    <w:rsid w:val="00C90E53"/>
    <w:rsid w:val="00C92F2F"/>
    <w:rsid w:val="00C9447C"/>
    <w:rsid w:val="00C952E5"/>
    <w:rsid w:val="00CA185B"/>
    <w:rsid w:val="00CA188C"/>
    <w:rsid w:val="00CA293F"/>
    <w:rsid w:val="00CA2C06"/>
    <w:rsid w:val="00CA2C2A"/>
    <w:rsid w:val="00CA2EC6"/>
    <w:rsid w:val="00CA38A8"/>
    <w:rsid w:val="00CA4849"/>
    <w:rsid w:val="00CA63D3"/>
    <w:rsid w:val="00CA75E3"/>
    <w:rsid w:val="00CB025C"/>
    <w:rsid w:val="00CB0779"/>
    <w:rsid w:val="00CB0B97"/>
    <w:rsid w:val="00CB141F"/>
    <w:rsid w:val="00CB5545"/>
    <w:rsid w:val="00CB5A57"/>
    <w:rsid w:val="00CB70EC"/>
    <w:rsid w:val="00CC2A65"/>
    <w:rsid w:val="00CC2B80"/>
    <w:rsid w:val="00CC3855"/>
    <w:rsid w:val="00CC42A2"/>
    <w:rsid w:val="00CC7F21"/>
    <w:rsid w:val="00CD084F"/>
    <w:rsid w:val="00CD0CDF"/>
    <w:rsid w:val="00CD18F2"/>
    <w:rsid w:val="00CD1923"/>
    <w:rsid w:val="00CD49F8"/>
    <w:rsid w:val="00CD5131"/>
    <w:rsid w:val="00CD683C"/>
    <w:rsid w:val="00CD6F65"/>
    <w:rsid w:val="00CE0E54"/>
    <w:rsid w:val="00CE18CD"/>
    <w:rsid w:val="00CE1946"/>
    <w:rsid w:val="00CE265A"/>
    <w:rsid w:val="00CE2795"/>
    <w:rsid w:val="00CE32B1"/>
    <w:rsid w:val="00CE3819"/>
    <w:rsid w:val="00CE41BE"/>
    <w:rsid w:val="00CE4298"/>
    <w:rsid w:val="00CE4AB8"/>
    <w:rsid w:val="00CF0616"/>
    <w:rsid w:val="00CF1E81"/>
    <w:rsid w:val="00CF4D7F"/>
    <w:rsid w:val="00CF5EFB"/>
    <w:rsid w:val="00CF6113"/>
    <w:rsid w:val="00CF7BE2"/>
    <w:rsid w:val="00D008A2"/>
    <w:rsid w:val="00D01EA6"/>
    <w:rsid w:val="00D02234"/>
    <w:rsid w:val="00D02FAD"/>
    <w:rsid w:val="00D04E7B"/>
    <w:rsid w:val="00D05866"/>
    <w:rsid w:val="00D05E99"/>
    <w:rsid w:val="00D072BE"/>
    <w:rsid w:val="00D11758"/>
    <w:rsid w:val="00D13574"/>
    <w:rsid w:val="00D14BC6"/>
    <w:rsid w:val="00D14F05"/>
    <w:rsid w:val="00D1687D"/>
    <w:rsid w:val="00D17626"/>
    <w:rsid w:val="00D22B1C"/>
    <w:rsid w:val="00D2313A"/>
    <w:rsid w:val="00D23871"/>
    <w:rsid w:val="00D24523"/>
    <w:rsid w:val="00D2659E"/>
    <w:rsid w:val="00D309FB"/>
    <w:rsid w:val="00D31385"/>
    <w:rsid w:val="00D32619"/>
    <w:rsid w:val="00D32639"/>
    <w:rsid w:val="00D3386E"/>
    <w:rsid w:val="00D33D39"/>
    <w:rsid w:val="00D341A0"/>
    <w:rsid w:val="00D35EE8"/>
    <w:rsid w:val="00D36560"/>
    <w:rsid w:val="00D40900"/>
    <w:rsid w:val="00D41CF8"/>
    <w:rsid w:val="00D44221"/>
    <w:rsid w:val="00D44B0E"/>
    <w:rsid w:val="00D455FB"/>
    <w:rsid w:val="00D463CC"/>
    <w:rsid w:val="00D507FA"/>
    <w:rsid w:val="00D509ED"/>
    <w:rsid w:val="00D509FA"/>
    <w:rsid w:val="00D50A7A"/>
    <w:rsid w:val="00D51406"/>
    <w:rsid w:val="00D52DCE"/>
    <w:rsid w:val="00D535E2"/>
    <w:rsid w:val="00D55F89"/>
    <w:rsid w:val="00D5607D"/>
    <w:rsid w:val="00D56C1C"/>
    <w:rsid w:val="00D57F55"/>
    <w:rsid w:val="00D6233D"/>
    <w:rsid w:val="00D63FCA"/>
    <w:rsid w:val="00D645A3"/>
    <w:rsid w:val="00D649D5"/>
    <w:rsid w:val="00D65712"/>
    <w:rsid w:val="00D6605D"/>
    <w:rsid w:val="00D672DE"/>
    <w:rsid w:val="00D7144E"/>
    <w:rsid w:val="00D7154D"/>
    <w:rsid w:val="00D7487D"/>
    <w:rsid w:val="00D7601C"/>
    <w:rsid w:val="00D77478"/>
    <w:rsid w:val="00D7772A"/>
    <w:rsid w:val="00D81B9E"/>
    <w:rsid w:val="00D836B4"/>
    <w:rsid w:val="00D836DC"/>
    <w:rsid w:val="00D83F5A"/>
    <w:rsid w:val="00D85790"/>
    <w:rsid w:val="00D9469B"/>
    <w:rsid w:val="00D97E7A"/>
    <w:rsid w:val="00DA010B"/>
    <w:rsid w:val="00DA12A1"/>
    <w:rsid w:val="00DA2C8B"/>
    <w:rsid w:val="00DA3547"/>
    <w:rsid w:val="00DA3B56"/>
    <w:rsid w:val="00DA7AD7"/>
    <w:rsid w:val="00DB0037"/>
    <w:rsid w:val="00DB0D7C"/>
    <w:rsid w:val="00DB25D0"/>
    <w:rsid w:val="00DB4879"/>
    <w:rsid w:val="00DB4FD2"/>
    <w:rsid w:val="00DB6545"/>
    <w:rsid w:val="00DB7CA5"/>
    <w:rsid w:val="00DC0F23"/>
    <w:rsid w:val="00DC1E5C"/>
    <w:rsid w:val="00DC1E73"/>
    <w:rsid w:val="00DC21CA"/>
    <w:rsid w:val="00DC29F7"/>
    <w:rsid w:val="00DC3167"/>
    <w:rsid w:val="00DC4344"/>
    <w:rsid w:val="00DC4B78"/>
    <w:rsid w:val="00DC562C"/>
    <w:rsid w:val="00DC5965"/>
    <w:rsid w:val="00DC675C"/>
    <w:rsid w:val="00DC725E"/>
    <w:rsid w:val="00DC7CC0"/>
    <w:rsid w:val="00DD02C7"/>
    <w:rsid w:val="00DD2A4A"/>
    <w:rsid w:val="00DD2ECC"/>
    <w:rsid w:val="00DD5546"/>
    <w:rsid w:val="00DE29D6"/>
    <w:rsid w:val="00DE4B13"/>
    <w:rsid w:val="00DE545B"/>
    <w:rsid w:val="00DE77D1"/>
    <w:rsid w:val="00DE7E43"/>
    <w:rsid w:val="00DF0C7D"/>
    <w:rsid w:val="00DF1BA1"/>
    <w:rsid w:val="00DF2E67"/>
    <w:rsid w:val="00DF3536"/>
    <w:rsid w:val="00DF4160"/>
    <w:rsid w:val="00DF464C"/>
    <w:rsid w:val="00E007A6"/>
    <w:rsid w:val="00E057D7"/>
    <w:rsid w:val="00E079C6"/>
    <w:rsid w:val="00E11131"/>
    <w:rsid w:val="00E123E5"/>
    <w:rsid w:val="00E14B20"/>
    <w:rsid w:val="00E14F8C"/>
    <w:rsid w:val="00E159AE"/>
    <w:rsid w:val="00E15B4D"/>
    <w:rsid w:val="00E17F5A"/>
    <w:rsid w:val="00E210D4"/>
    <w:rsid w:val="00E22076"/>
    <w:rsid w:val="00E220C0"/>
    <w:rsid w:val="00E225AA"/>
    <w:rsid w:val="00E252B5"/>
    <w:rsid w:val="00E2624B"/>
    <w:rsid w:val="00E26E5F"/>
    <w:rsid w:val="00E26F52"/>
    <w:rsid w:val="00E30670"/>
    <w:rsid w:val="00E33C3A"/>
    <w:rsid w:val="00E3440F"/>
    <w:rsid w:val="00E35A47"/>
    <w:rsid w:val="00E4035D"/>
    <w:rsid w:val="00E427D2"/>
    <w:rsid w:val="00E436B5"/>
    <w:rsid w:val="00E43F71"/>
    <w:rsid w:val="00E44043"/>
    <w:rsid w:val="00E44EA0"/>
    <w:rsid w:val="00E45D60"/>
    <w:rsid w:val="00E46CE8"/>
    <w:rsid w:val="00E46E25"/>
    <w:rsid w:val="00E47144"/>
    <w:rsid w:val="00E47F19"/>
    <w:rsid w:val="00E516AD"/>
    <w:rsid w:val="00E518B4"/>
    <w:rsid w:val="00E5225C"/>
    <w:rsid w:val="00E53344"/>
    <w:rsid w:val="00E54A79"/>
    <w:rsid w:val="00E55753"/>
    <w:rsid w:val="00E55B79"/>
    <w:rsid w:val="00E57305"/>
    <w:rsid w:val="00E607F0"/>
    <w:rsid w:val="00E60BB3"/>
    <w:rsid w:val="00E63175"/>
    <w:rsid w:val="00E637E3"/>
    <w:rsid w:val="00E63905"/>
    <w:rsid w:val="00E667AF"/>
    <w:rsid w:val="00E6782B"/>
    <w:rsid w:val="00E70E98"/>
    <w:rsid w:val="00E714A0"/>
    <w:rsid w:val="00E72510"/>
    <w:rsid w:val="00E7318B"/>
    <w:rsid w:val="00E7378D"/>
    <w:rsid w:val="00E739B9"/>
    <w:rsid w:val="00E82EE6"/>
    <w:rsid w:val="00E84465"/>
    <w:rsid w:val="00E85284"/>
    <w:rsid w:val="00E858F0"/>
    <w:rsid w:val="00E8755C"/>
    <w:rsid w:val="00E924DC"/>
    <w:rsid w:val="00E92D31"/>
    <w:rsid w:val="00E9628E"/>
    <w:rsid w:val="00E97BAE"/>
    <w:rsid w:val="00EA14C7"/>
    <w:rsid w:val="00EA1A93"/>
    <w:rsid w:val="00EA2359"/>
    <w:rsid w:val="00EA3548"/>
    <w:rsid w:val="00EA42AA"/>
    <w:rsid w:val="00EA5D1C"/>
    <w:rsid w:val="00EA6944"/>
    <w:rsid w:val="00EB64F5"/>
    <w:rsid w:val="00EB6CA1"/>
    <w:rsid w:val="00EB6F27"/>
    <w:rsid w:val="00EC0A68"/>
    <w:rsid w:val="00EC113B"/>
    <w:rsid w:val="00EC18C2"/>
    <w:rsid w:val="00EC1BFD"/>
    <w:rsid w:val="00EC1C07"/>
    <w:rsid w:val="00EC6683"/>
    <w:rsid w:val="00EC6CA0"/>
    <w:rsid w:val="00EC7EC7"/>
    <w:rsid w:val="00ED046E"/>
    <w:rsid w:val="00ED0AAE"/>
    <w:rsid w:val="00ED0BE2"/>
    <w:rsid w:val="00ED1BC3"/>
    <w:rsid w:val="00ED217F"/>
    <w:rsid w:val="00ED2A0C"/>
    <w:rsid w:val="00ED328E"/>
    <w:rsid w:val="00ED3392"/>
    <w:rsid w:val="00ED3462"/>
    <w:rsid w:val="00ED36AB"/>
    <w:rsid w:val="00ED3979"/>
    <w:rsid w:val="00ED6D59"/>
    <w:rsid w:val="00EE12CD"/>
    <w:rsid w:val="00EE4228"/>
    <w:rsid w:val="00EE5884"/>
    <w:rsid w:val="00EE6CF0"/>
    <w:rsid w:val="00EE7C4A"/>
    <w:rsid w:val="00EE7C7E"/>
    <w:rsid w:val="00EF0D11"/>
    <w:rsid w:val="00EF202A"/>
    <w:rsid w:val="00EF2EAB"/>
    <w:rsid w:val="00EF6010"/>
    <w:rsid w:val="00EF6459"/>
    <w:rsid w:val="00EF7295"/>
    <w:rsid w:val="00EF7A8F"/>
    <w:rsid w:val="00EF7CE8"/>
    <w:rsid w:val="00F03A81"/>
    <w:rsid w:val="00F0424F"/>
    <w:rsid w:val="00F053E3"/>
    <w:rsid w:val="00F0592B"/>
    <w:rsid w:val="00F06549"/>
    <w:rsid w:val="00F07112"/>
    <w:rsid w:val="00F10EC4"/>
    <w:rsid w:val="00F13DF3"/>
    <w:rsid w:val="00F1401D"/>
    <w:rsid w:val="00F15D28"/>
    <w:rsid w:val="00F17ABE"/>
    <w:rsid w:val="00F235FB"/>
    <w:rsid w:val="00F2412D"/>
    <w:rsid w:val="00F25B95"/>
    <w:rsid w:val="00F2687B"/>
    <w:rsid w:val="00F33A05"/>
    <w:rsid w:val="00F34AAD"/>
    <w:rsid w:val="00F352C1"/>
    <w:rsid w:val="00F3792A"/>
    <w:rsid w:val="00F4005A"/>
    <w:rsid w:val="00F4427A"/>
    <w:rsid w:val="00F448F0"/>
    <w:rsid w:val="00F467B7"/>
    <w:rsid w:val="00F470E2"/>
    <w:rsid w:val="00F50748"/>
    <w:rsid w:val="00F5193B"/>
    <w:rsid w:val="00F53880"/>
    <w:rsid w:val="00F5425C"/>
    <w:rsid w:val="00F552AE"/>
    <w:rsid w:val="00F55D39"/>
    <w:rsid w:val="00F612F7"/>
    <w:rsid w:val="00F613E9"/>
    <w:rsid w:val="00F614C6"/>
    <w:rsid w:val="00F61ABE"/>
    <w:rsid w:val="00F637CF"/>
    <w:rsid w:val="00F64AE7"/>
    <w:rsid w:val="00F653AB"/>
    <w:rsid w:val="00F673CF"/>
    <w:rsid w:val="00F6780B"/>
    <w:rsid w:val="00F70240"/>
    <w:rsid w:val="00F7196D"/>
    <w:rsid w:val="00F720EC"/>
    <w:rsid w:val="00F72875"/>
    <w:rsid w:val="00F72B3A"/>
    <w:rsid w:val="00F741A1"/>
    <w:rsid w:val="00F75FAA"/>
    <w:rsid w:val="00F76BF8"/>
    <w:rsid w:val="00F773CD"/>
    <w:rsid w:val="00F80AF4"/>
    <w:rsid w:val="00F8106D"/>
    <w:rsid w:val="00F8263D"/>
    <w:rsid w:val="00F82F06"/>
    <w:rsid w:val="00F8350F"/>
    <w:rsid w:val="00F838D9"/>
    <w:rsid w:val="00F85C4B"/>
    <w:rsid w:val="00F868FC"/>
    <w:rsid w:val="00F91E90"/>
    <w:rsid w:val="00F928A3"/>
    <w:rsid w:val="00F92A51"/>
    <w:rsid w:val="00F949A1"/>
    <w:rsid w:val="00F95127"/>
    <w:rsid w:val="00F9568A"/>
    <w:rsid w:val="00F965AF"/>
    <w:rsid w:val="00F96D52"/>
    <w:rsid w:val="00F9787B"/>
    <w:rsid w:val="00FA019A"/>
    <w:rsid w:val="00FA2756"/>
    <w:rsid w:val="00FA2FB2"/>
    <w:rsid w:val="00FA61C0"/>
    <w:rsid w:val="00FA7E19"/>
    <w:rsid w:val="00FB200E"/>
    <w:rsid w:val="00FB41E1"/>
    <w:rsid w:val="00FB46B4"/>
    <w:rsid w:val="00FB4CB7"/>
    <w:rsid w:val="00FB60CF"/>
    <w:rsid w:val="00FB6631"/>
    <w:rsid w:val="00FC0D84"/>
    <w:rsid w:val="00FC2EF4"/>
    <w:rsid w:val="00FC2FE5"/>
    <w:rsid w:val="00FC31E3"/>
    <w:rsid w:val="00FC34E8"/>
    <w:rsid w:val="00FC54E1"/>
    <w:rsid w:val="00FC57E2"/>
    <w:rsid w:val="00FC5886"/>
    <w:rsid w:val="00FC6609"/>
    <w:rsid w:val="00FD1F03"/>
    <w:rsid w:val="00FD2D1E"/>
    <w:rsid w:val="00FD319E"/>
    <w:rsid w:val="00FD7BEC"/>
    <w:rsid w:val="00FE1ACC"/>
    <w:rsid w:val="00FE1FFB"/>
    <w:rsid w:val="00FE2B23"/>
    <w:rsid w:val="00FE2E26"/>
    <w:rsid w:val="00FE3B7D"/>
    <w:rsid w:val="00FE6103"/>
    <w:rsid w:val="00FE74D3"/>
    <w:rsid w:val="00FE77C7"/>
    <w:rsid w:val="00FF00DE"/>
    <w:rsid w:val="00FF28E7"/>
    <w:rsid w:val="00FF4BB6"/>
    <w:rsid w:val="00FF60BB"/>
    <w:rsid w:val="00FF7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0D8C"/>
  <w15:chartTrackingRefBased/>
  <w15:docId w15:val="{CCFEAFC4-BCFB-44C2-96FD-93F2580E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E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E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E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E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E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E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E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E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E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E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E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E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E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E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E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EF1"/>
    <w:rPr>
      <w:rFonts w:eastAsiaTheme="majorEastAsia" w:cstheme="majorBidi"/>
      <w:color w:val="272727" w:themeColor="text1" w:themeTint="D8"/>
    </w:rPr>
  </w:style>
  <w:style w:type="paragraph" w:styleId="Ttulo">
    <w:name w:val="Title"/>
    <w:basedOn w:val="Normal"/>
    <w:next w:val="Normal"/>
    <w:link w:val="TtuloCar"/>
    <w:uiPriority w:val="10"/>
    <w:qFormat/>
    <w:rsid w:val="00AC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E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E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E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EF1"/>
    <w:pPr>
      <w:spacing w:before="160"/>
      <w:jc w:val="center"/>
    </w:pPr>
    <w:rPr>
      <w:i/>
      <w:iCs/>
      <w:color w:val="404040" w:themeColor="text1" w:themeTint="BF"/>
    </w:rPr>
  </w:style>
  <w:style w:type="character" w:customStyle="1" w:styleId="CitaCar">
    <w:name w:val="Cita Car"/>
    <w:basedOn w:val="Fuentedeprrafopredeter"/>
    <w:link w:val="Cita"/>
    <w:uiPriority w:val="29"/>
    <w:rsid w:val="00AC7EF1"/>
    <w:rPr>
      <w:i/>
      <w:iCs/>
      <w:color w:val="404040" w:themeColor="text1" w:themeTint="BF"/>
    </w:rPr>
  </w:style>
  <w:style w:type="paragraph" w:styleId="Prrafodelista">
    <w:name w:val="List Paragraph"/>
    <w:basedOn w:val="Normal"/>
    <w:uiPriority w:val="34"/>
    <w:qFormat/>
    <w:rsid w:val="00AC7EF1"/>
    <w:pPr>
      <w:ind w:left="720"/>
      <w:contextualSpacing/>
    </w:pPr>
  </w:style>
  <w:style w:type="character" w:styleId="nfasisintenso">
    <w:name w:val="Intense Emphasis"/>
    <w:basedOn w:val="Fuentedeprrafopredeter"/>
    <w:uiPriority w:val="21"/>
    <w:qFormat/>
    <w:rsid w:val="00AC7EF1"/>
    <w:rPr>
      <w:i/>
      <w:iCs/>
      <w:color w:val="0F4761" w:themeColor="accent1" w:themeShade="BF"/>
    </w:rPr>
  </w:style>
  <w:style w:type="paragraph" w:styleId="Citadestacada">
    <w:name w:val="Intense Quote"/>
    <w:basedOn w:val="Normal"/>
    <w:next w:val="Normal"/>
    <w:link w:val="CitadestacadaCar"/>
    <w:uiPriority w:val="30"/>
    <w:qFormat/>
    <w:rsid w:val="00AC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EF1"/>
    <w:rPr>
      <w:i/>
      <w:iCs/>
      <w:color w:val="0F4761" w:themeColor="accent1" w:themeShade="BF"/>
    </w:rPr>
  </w:style>
  <w:style w:type="character" w:styleId="Referenciaintensa">
    <w:name w:val="Intense Reference"/>
    <w:basedOn w:val="Fuentedeprrafopredeter"/>
    <w:uiPriority w:val="32"/>
    <w:qFormat/>
    <w:rsid w:val="00AC7EF1"/>
    <w:rPr>
      <w:b/>
      <w:bCs/>
      <w:smallCaps/>
      <w:color w:val="0F4761" w:themeColor="accent1" w:themeShade="BF"/>
      <w:spacing w:val="5"/>
    </w:rPr>
  </w:style>
  <w:style w:type="paragraph" w:styleId="Encabezado">
    <w:name w:val="header"/>
    <w:basedOn w:val="Normal"/>
    <w:link w:val="EncabezadoCar"/>
    <w:uiPriority w:val="99"/>
    <w:unhideWhenUsed/>
    <w:rsid w:val="00271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86E"/>
  </w:style>
  <w:style w:type="paragraph" w:styleId="Piedepgina">
    <w:name w:val="footer"/>
    <w:basedOn w:val="Normal"/>
    <w:link w:val="PiedepginaCar"/>
    <w:uiPriority w:val="99"/>
    <w:unhideWhenUsed/>
    <w:rsid w:val="00271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86E"/>
  </w:style>
  <w:style w:type="character" w:styleId="Hipervnculo">
    <w:name w:val="Hyperlink"/>
    <w:uiPriority w:val="99"/>
    <w:unhideWhenUsed/>
    <w:rsid w:val="005D0781"/>
    <w:rPr>
      <w:color w:val="0000FF"/>
      <w:u w:val="single"/>
    </w:rPr>
  </w:style>
  <w:style w:type="paragraph" w:styleId="NormalWeb">
    <w:name w:val="Normal (Web)"/>
    <w:basedOn w:val="Normal"/>
    <w:uiPriority w:val="99"/>
    <w:unhideWhenUsed/>
    <w:rsid w:val="00534AA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Mencinsinresolver">
    <w:name w:val="Unresolved Mention"/>
    <w:basedOn w:val="Fuentedeprrafopredeter"/>
    <w:uiPriority w:val="99"/>
    <w:semiHidden/>
    <w:unhideWhenUsed/>
    <w:rsid w:val="000B68C2"/>
    <w:rPr>
      <w:color w:val="605E5C"/>
      <w:shd w:val="clear" w:color="auto" w:fill="E1DFDD"/>
    </w:rPr>
  </w:style>
  <w:style w:type="character" w:styleId="Textoennegrita">
    <w:name w:val="Strong"/>
    <w:basedOn w:val="Fuentedeprrafopredeter"/>
    <w:uiPriority w:val="22"/>
    <w:qFormat/>
    <w:rsid w:val="00862381"/>
    <w:rPr>
      <w:b/>
      <w:bCs/>
    </w:rPr>
  </w:style>
  <w:style w:type="character" w:customStyle="1" w:styleId="ui-provider">
    <w:name w:val="ui-provider"/>
    <w:basedOn w:val="Fuentedeprrafopredeter"/>
    <w:rsid w:val="00B57C78"/>
  </w:style>
  <w:style w:type="character" w:styleId="Refdecomentario">
    <w:name w:val="annotation reference"/>
    <w:basedOn w:val="Fuentedeprrafopredeter"/>
    <w:uiPriority w:val="99"/>
    <w:semiHidden/>
    <w:unhideWhenUsed/>
    <w:rsid w:val="00D836DC"/>
    <w:rPr>
      <w:sz w:val="16"/>
      <w:szCs w:val="16"/>
    </w:rPr>
  </w:style>
  <w:style w:type="paragraph" w:styleId="Textocomentario">
    <w:name w:val="annotation text"/>
    <w:basedOn w:val="Normal"/>
    <w:link w:val="TextocomentarioCar"/>
    <w:uiPriority w:val="99"/>
    <w:unhideWhenUsed/>
    <w:rsid w:val="00D836DC"/>
    <w:pPr>
      <w:spacing w:line="240" w:lineRule="auto"/>
    </w:pPr>
    <w:rPr>
      <w:sz w:val="20"/>
      <w:szCs w:val="20"/>
    </w:rPr>
  </w:style>
  <w:style w:type="character" w:customStyle="1" w:styleId="TextocomentarioCar">
    <w:name w:val="Texto comentario Car"/>
    <w:basedOn w:val="Fuentedeprrafopredeter"/>
    <w:link w:val="Textocomentario"/>
    <w:uiPriority w:val="99"/>
    <w:rsid w:val="00D836DC"/>
    <w:rPr>
      <w:sz w:val="20"/>
      <w:szCs w:val="20"/>
    </w:rPr>
  </w:style>
  <w:style w:type="paragraph" w:styleId="Asuntodelcomentario">
    <w:name w:val="annotation subject"/>
    <w:basedOn w:val="Textocomentario"/>
    <w:next w:val="Textocomentario"/>
    <w:link w:val="AsuntodelcomentarioCar"/>
    <w:uiPriority w:val="99"/>
    <w:semiHidden/>
    <w:unhideWhenUsed/>
    <w:rsid w:val="00D836DC"/>
    <w:rPr>
      <w:b/>
      <w:bCs/>
    </w:rPr>
  </w:style>
  <w:style w:type="character" w:customStyle="1" w:styleId="AsuntodelcomentarioCar">
    <w:name w:val="Asunto del comentario Car"/>
    <w:basedOn w:val="TextocomentarioCar"/>
    <w:link w:val="Asuntodelcomentario"/>
    <w:uiPriority w:val="99"/>
    <w:semiHidden/>
    <w:rsid w:val="00D836DC"/>
    <w:rPr>
      <w:b/>
      <w:bCs/>
      <w:sz w:val="20"/>
      <w:szCs w:val="20"/>
    </w:rPr>
  </w:style>
  <w:style w:type="table" w:styleId="Tablaconcuadrcula">
    <w:name w:val="Table Grid"/>
    <w:basedOn w:val="Tablanormal"/>
    <w:uiPriority w:val="39"/>
    <w:rsid w:val="0066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2028">
      <w:bodyDiv w:val="1"/>
      <w:marLeft w:val="0"/>
      <w:marRight w:val="0"/>
      <w:marTop w:val="0"/>
      <w:marBottom w:val="0"/>
      <w:divBdr>
        <w:top w:val="none" w:sz="0" w:space="0" w:color="auto"/>
        <w:left w:val="none" w:sz="0" w:space="0" w:color="auto"/>
        <w:bottom w:val="none" w:sz="0" w:space="0" w:color="auto"/>
        <w:right w:val="none" w:sz="0" w:space="0" w:color="auto"/>
      </w:divBdr>
    </w:div>
    <w:div w:id="208348954">
      <w:bodyDiv w:val="1"/>
      <w:marLeft w:val="0"/>
      <w:marRight w:val="0"/>
      <w:marTop w:val="0"/>
      <w:marBottom w:val="0"/>
      <w:divBdr>
        <w:top w:val="none" w:sz="0" w:space="0" w:color="auto"/>
        <w:left w:val="none" w:sz="0" w:space="0" w:color="auto"/>
        <w:bottom w:val="none" w:sz="0" w:space="0" w:color="auto"/>
        <w:right w:val="none" w:sz="0" w:space="0" w:color="auto"/>
      </w:divBdr>
    </w:div>
    <w:div w:id="226962549">
      <w:bodyDiv w:val="1"/>
      <w:marLeft w:val="0"/>
      <w:marRight w:val="0"/>
      <w:marTop w:val="0"/>
      <w:marBottom w:val="0"/>
      <w:divBdr>
        <w:top w:val="none" w:sz="0" w:space="0" w:color="auto"/>
        <w:left w:val="none" w:sz="0" w:space="0" w:color="auto"/>
        <w:bottom w:val="none" w:sz="0" w:space="0" w:color="auto"/>
        <w:right w:val="none" w:sz="0" w:space="0" w:color="auto"/>
      </w:divBdr>
    </w:div>
    <w:div w:id="240454052">
      <w:bodyDiv w:val="1"/>
      <w:marLeft w:val="0"/>
      <w:marRight w:val="0"/>
      <w:marTop w:val="0"/>
      <w:marBottom w:val="0"/>
      <w:divBdr>
        <w:top w:val="none" w:sz="0" w:space="0" w:color="auto"/>
        <w:left w:val="none" w:sz="0" w:space="0" w:color="auto"/>
        <w:bottom w:val="none" w:sz="0" w:space="0" w:color="auto"/>
        <w:right w:val="none" w:sz="0" w:space="0" w:color="auto"/>
      </w:divBdr>
    </w:div>
    <w:div w:id="257180555">
      <w:bodyDiv w:val="1"/>
      <w:marLeft w:val="0"/>
      <w:marRight w:val="0"/>
      <w:marTop w:val="0"/>
      <w:marBottom w:val="0"/>
      <w:divBdr>
        <w:top w:val="none" w:sz="0" w:space="0" w:color="auto"/>
        <w:left w:val="none" w:sz="0" w:space="0" w:color="auto"/>
        <w:bottom w:val="none" w:sz="0" w:space="0" w:color="auto"/>
        <w:right w:val="none" w:sz="0" w:space="0" w:color="auto"/>
      </w:divBdr>
    </w:div>
    <w:div w:id="274020737">
      <w:bodyDiv w:val="1"/>
      <w:marLeft w:val="0"/>
      <w:marRight w:val="0"/>
      <w:marTop w:val="0"/>
      <w:marBottom w:val="0"/>
      <w:divBdr>
        <w:top w:val="none" w:sz="0" w:space="0" w:color="auto"/>
        <w:left w:val="none" w:sz="0" w:space="0" w:color="auto"/>
        <w:bottom w:val="none" w:sz="0" w:space="0" w:color="auto"/>
        <w:right w:val="none" w:sz="0" w:space="0" w:color="auto"/>
      </w:divBdr>
    </w:div>
    <w:div w:id="291446900">
      <w:bodyDiv w:val="1"/>
      <w:marLeft w:val="0"/>
      <w:marRight w:val="0"/>
      <w:marTop w:val="0"/>
      <w:marBottom w:val="0"/>
      <w:divBdr>
        <w:top w:val="none" w:sz="0" w:space="0" w:color="auto"/>
        <w:left w:val="none" w:sz="0" w:space="0" w:color="auto"/>
        <w:bottom w:val="none" w:sz="0" w:space="0" w:color="auto"/>
        <w:right w:val="none" w:sz="0" w:space="0" w:color="auto"/>
      </w:divBdr>
    </w:div>
    <w:div w:id="313917766">
      <w:bodyDiv w:val="1"/>
      <w:marLeft w:val="0"/>
      <w:marRight w:val="0"/>
      <w:marTop w:val="0"/>
      <w:marBottom w:val="0"/>
      <w:divBdr>
        <w:top w:val="none" w:sz="0" w:space="0" w:color="auto"/>
        <w:left w:val="none" w:sz="0" w:space="0" w:color="auto"/>
        <w:bottom w:val="none" w:sz="0" w:space="0" w:color="auto"/>
        <w:right w:val="none" w:sz="0" w:space="0" w:color="auto"/>
      </w:divBdr>
    </w:div>
    <w:div w:id="328555552">
      <w:bodyDiv w:val="1"/>
      <w:marLeft w:val="0"/>
      <w:marRight w:val="0"/>
      <w:marTop w:val="0"/>
      <w:marBottom w:val="0"/>
      <w:divBdr>
        <w:top w:val="none" w:sz="0" w:space="0" w:color="auto"/>
        <w:left w:val="none" w:sz="0" w:space="0" w:color="auto"/>
        <w:bottom w:val="none" w:sz="0" w:space="0" w:color="auto"/>
        <w:right w:val="none" w:sz="0" w:space="0" w:color="auto"/>
      </w:divBdr>
    </w:div>
    <w:div w:id="330912728">
      <w:bodyDiv w:val="1"/>
      <w:marLeft w:val="0"/>
      <w:marRight w:val="0"/>
      <w:marTop w:val="0"/>
      <w:marBottom w:val="0"/>
      <w:divBdr>
        <w:top w:val="none" w:sz="0" w:space="0" w:color="auto"/>
        <w:left w:val="none" w:sz="0" w:space="0" w:color="auto"/>
        <w:bottom w:val="none" w:sz="0" w:space="0" w:color="auto"/>
        <w:right w:val="none" w:sz="0" w:space="0" w:color="auto"/>
      </w:divBdr>
    </w:div>
    <w:div w:id="388039667">
      <w:bodyDiv w:val="1"/>
      <w:marLeft w:val="0"/>
      <w:marRight w:val="0"/>
      <w:marTop w:val="0"/>
      <w:marBottom w:val="0"/>
      <w:divBdr>
        <w:top w:val="none" w:sz="0" w:space="0" w:color="auto"/>
        <w:left w:val="none" w:sz="0" w:space="0" w:color="auto"/>
        <w:bottom w:val="none" w:sz="0" w:space="0" w:color="auto"/>
        <w:right w:val="none" w:sz="0" w:space="0" w:color="auto"/>
      </w:divBdr>
    </w:div>
    <w:div w:id="430518187">
      <w:bodyDiv w:val="1"/>
      <w:marLeft w:val="0"/>
      <w:marRight w:val="0"/>
      <w:marTop w:val="0"/>
      <w:marBottom w:val="0"/>
      <w:divBdr>
        <w:top w:val="none" w:sz="0" w:space="0" w:color="auto"/>
        <w:left w:val="none" w:sz="0" w:space="0" w:color="auto"/>
        <w:bottom w:val="none" w:sz="0" w:space="0" w:color="auto"/>
        <w:right w:val="none" w:sz="0" w:space="0" w:color="auto"/>
      </w:divBdr>
    </w:div>
    <w:div w:id="525293519">
      <w:bodyDiv w:val="1"/>
      <w:marLeft w:val="0"/>
      <w:marRight w:val="0"/>
      <w:marTop w:val="0"/>
      <w:marBottom w:val="0"/>
      <w:divBdr>
        <w:top w:val="none" w:sz="0" w:space="0" w:color="auto"/>
        <w:left w:val="none" w:sz="0" w:space="0" w:color="auto"/>
        <w:bottom w:val="none" w:sz="0" w:space="0" w:color="auto"/>
        <w:right w:val="none" w:sz="0" w:space="0" w:color="auto"/>
      </w:divBdr>
    </w:div>
    <w:div w:id="546993256">
      <w:bodyDiv w:val="1"/>
      <w:marLeft w:val="0"/>
      <w:marRight w:val="0"/>
      <w:marTop w:val="0"/>
      <w:marBottom w:val="0"/>
      <w:divBdr>
        <w:top w:val="none" w:sz="0" w:space="0" w:color="auto"/>
        <w:left w:val="none" w:sz="0" w:space="0" w:color="auto"/>
        <w:bottom w:val="none" w:sz="0" w:space="0" w:color="auto"/>
        <w:right w:val="none" w:sz="0" w:space="0" w:color="auto"/>
      </w:divBdr>
    </w:div>
    <w:div w:id="548346460">
      <w:bodyDiv w:val="1"/>
      <w:marLeft w:val="0"/>
      <w:marRight w:val="0"/>
      <w:marTop w:val="0"/>
      <w:marBottom w:val="0"/>
      <w:divBdr>
        <w:top w:val="none" w:sz="0" w:space="0" w:color="auto"/>
        <w:left w:val="none" w:sz="0" w:space="0" w:color="auto"/>
        <w:bottom w:val="none" w:sz="0" w:space="0" w:color="auto"/>
        <w:right w:val="none" w:sz="0" w:space="0" w:color="auto"/>
      </w:divBdr>
    </w:div>
    <w:div w:id="570896532">
      <w:bodyDiv w:val="1"/>
      <w:marLeft w:val="0"/>
      <w:marRight w:val="0"/>
      <w:marTop w:val="0"/>
      <w:marBottom w:val="0"/>
      <w:divBdr>
        <w:top w:val="none" w:sz="0" w:space="0" w:color="auto"/>
        <w:left w:val="none" w:sz="0" w:space="0" w:color="auto"/>
        <w:bottom w:val="none" w:sz="0" w:space="0" w:color="auto"/>
        <w:right w:val="none" w:sz="0" w:space="0" w:color="auto"/>
      </w:divBdr>
    </w:div>
    <w:div w:id="590625200">
      <w:bodyDiv w:val="1"/>
      <w:marLeft w:val="0"/>
      <w:marRight w:val="0"/>
      <w:marTop w:val="0"/>
      <w:marBottom w:val="0"/>
      <w:divBdr>
        <w:top w:val="none" w:sz="0" w:space="0" w:color="auto"/>
        <w:left w:val="none" w:sz="0" w:space="0" w:color="auto"/>
        <w:bottom w:val="none" w:sz="0" w:space="0" w:color="auto"/>
        <w:right w:val="none" w:sz="0" w:space="0" w:color="auto"/>
      </w:divBdr>
    </w:div>
    <w:div w:id="626350515">
      <w:bodyDiv w:val="1"/>
      <w:marLeft w:val="0"/>
      <w:marRight w:val="0"/>
      <w:marTop w:val="0"/>
      <w:marBottom w:val="0"/>
      <w:divBdr>
        <w:top w:val="none" w:sz="0" w:space="0" w:color="auto"/>
        <w:left w:val="none" w:sz="0" w:space="0" w:color="auto"/>
        <w:bottom w:val="none" w:sz="0" w:space="0" w:color="auto"/>
        <w:right w:val="none" w:sz="0" w:space="0" w:color="auto"/>
      </w:divBdr>
    </w:div>
    <w:div w:id="648635972">
      <w:bodyDiv w:val="1"/>
      <w:marLeft w:val="0"/>
      <w:marRight w:val="0"/>
      <w:marTop w:val="0"/>
      <w:marBottom w:val="0"/>
      <w:divBdr>
        <w:top w:val="none" w:sz="0" w:space="0" w:color="auto"/>
        <w:left w:val="none" w:sz="0" w:space="0" w:color="auto"/>
        <w:bottom w:val="none" w:sz="0" w:space="0" w:color="auto"/>
        <w:right w:val="none" w:sz="0" w:space="0" w:color="auto"/>
      </w:divBdr>
    </w:div>
    <w:div w:id="681593503">
      <w:bodyDiv w:val="1"/>
      <w:marLeft w:val="0"/>
      <w:marRight w:val="0"/>
      <w:marTop w:val="0"/>
      <w:marBottom w:val="0"/>
      <w:divBdr>
        <w:top w:val="none" w:sz="0" w:space="0" w:color="auto"/>
        <w:left w:val="none" w:sz="0" w:space="0" w:color="auto"/>
        <w:bottom w:val="none" w:sz="0" w:space="0" w:color="auto"/>
        <w:right w:val="none" w:sz="0" w:space="0" w:color="auto"/>
      </w:divBdr>
    </w:div>
    <w:div w:id="708336915">
      <w:bodyDiv w:val="1"/>
      <w:marLeft w:val="0"/>
      <w:marRight w:val="0"/>
      <w:marTop w:val="0"/>
      <w:marBottom w:val="0"/>
      <w:divBdr>
        <w:top w:val="none" w:sz="0" w:space="0" w:color="auto"/>
        <w:left w:val="none" w:sz="0" w:space="0" w:color="auto"/>
        <w:bottom w:val="none" w:sz="0" w:space="0" w:color="auto"/>
        <w:right w:val="none" w:sz="0" w:space="0" w:color="auto"/>
      </w:divBdr>
    </w:div>
    <w:div w:id="731466190">
      <w:bodyDiv w:val="1"/>
      <w:marLeft w:val="0"/>
      <w:marRight w:val="0"/>
      <w:marTop w:val="0"/>
      <w:marBottom w:val="0"/>
      <w:divBdr>
        <w:top w:val="none" w:sz="0" w:space="0" w:color="auto"/>
        <w:left w:val="none" w:sz="0" w:space="0" w:color="auto"/>
        <w:bottom w:val="none" w:sz="0" w:space="0" w:color="auto"/>
        <w:right w:val="none" w:sz="0" w:space="0" w:color="auto"/>
      </w:divBdr>
    </w:div>
    <w:div w:id="743533301">
      <w:bodyDiv w:val="1"/>
      <w:marLeft w:val="0"/>
      <w:marRight w:val="0"/>
      <w:marTop w:val="0"/>
      <w:marBottom w:val="0"/>
      <w:divBdr>
        <w:top w:val="none" w:sz="0" w:space="0" w:color="auto"/>
        <w:left w:val="none" w:sz="0" w:space="0" w:color="auto"/>
        <w:bottom w:val="none" w:sz="0" w:space="0" w:color="auto"/>
        <w:right w:val="none" w:sz="0" w:space="0" w:color="auto"/>
      </w:divBdr>
    </w:div>
    <w:div w:id="744299667">
      <w:bodyDiv w:val="1"/>
      <w:marLeft w:val="0"/>
      <w:marRight w:val="0"/>
      <w:marTop w:val="0"/>
      <w:marBottom w:val="0"/>
      <w:divBdr>
        <w:top w:val="none" w:sz="0" w:space="0" w:color="auto"/>
        <w:left w:val="none" w:sz="0" w:space="0" w:color="auto"/>
        <w:bottom w:val="none" w:sz="0" w:space="0" w:color="auto"/>
        <w:right w:val="none" w:sz="0" w:space="0" w:color="auto"/>
      </w:divBdr>
    </w:div>
    <w:div w:id="856236881">
      <w:bodyDiv w:val="1"/>
      <w:marLeft w:val="0"/>
      <w:marRight w:val="0"/>
      <w:marTop w:val="0"/>
      <w:marBottom w:val="0"/>
      <w:divBdr>
        <w:top w:val="none" w:sz="0" w:space="0" w:color="auto"/>
        <w:left w:val="none" w:sz="0" w:space="0" w:color="auto"/>
        <w:bottom w:val="none" w:sz="0" w:space="0" w:color="auto"/>
        <w:right w:val="none" w:sz="0" w:space="0" w:color="auto"/>
      </w:divBdr>
    </w:div>
    <w:div w:id="877203567">
      <w:bodyDiv w:val="1"/>
      <w:marLeft w:val="0"/>
      <w:marRight w:val="0"/>
      <w:marTop w:val="0"/>
      <w:marBottom w:val="0"/>
      <w:divBdr>
        <w:top w:val="none" w:sz="0" w:space="0" w:color="auto"/>
        <w:left w:val="none" w:sz="0" w:space="0" w:color="auto"/>
        <w:bottom w:val="none" w:sz="0" w:space="0" w:color="auto"/>
        <w:right w:val="none" w:sz="0" w:space="0" w:color="auto"/>
      </w:divBdr>
    </w:div>
    <w:div w:id="913973945">
      <w:bodyDiv w:val="1"/>
      <w:marLeft w:val="0"/>
      <w:marRight w:val="0"/>
      <w:marTop w:val="0"/>
      <w:marBottom w:val="0"/>
      <w:divBdr>
        <w:top w:val="none" w:sz="0" w:space="0" w:color="auto"/>
        <w:left w:val="none" w:sz="0" w:space="0" w:color="auto"/>
        <w:bottom w:val="none" w:sz="0" w:space="0" w:color="auto"/>
        <w:right w:val="none" w:sz="0" w:space="0" w:color="auto"/>
      </w:divBdr>
    </w:div>
    <w:div w:id="942684047">
      <w:bodyDiv w:val="1"/>
      <w:marLeft w:val="0"/>
      <w:marRight w:val="0"/>
      <w:marTop w:val="0"/>
      <w:marBottom w:val="0"/>
      <w:divBdr>
        <w:top w:val="none" w:sz="0" w:space="0" w:color="auto"/>
        <w:left w:val="none" w:sz="0" w:space="0" w:color="auto"/>
        <w:bottom w:val="none" w:sz="0" w:space="0" w:color="auto"/>
        <w:right w:val="none" w:sz="0" w:space="0" w:color="auto"/>
      </w:divBdr>
    </w:div>
    <w:div w:id="946275312">
      <w:bodyDiv w:val="1"/>
      <w:marLeft w:val="0"/>
      <w:marRight w:val="0"/>
      <w:marTop w:val="0"/>
      <w:marBottom w:val="0"/>
      <w:divBdr>
        <w:top w:val="none" w:sz="0" w:space="0" w:color="auto"/>
        <w:left w:val="none" w:sz="0" w:space="0" w:color="auto"/>
        <w:bottom w:val="none" w:sz="0" w:space="0" w:color="auto"/>
        <w:right w:val="none" w:sz="0" w:space="0" w:color="auto"/>
      </w:divBdr>
    </w:div>
    <w:div w:id="968314328">
      <w:bodyDiv w:val="1"/>
      <w:marLeft w:val="0"/>
      <w:marRight w:val="0"/>
      <w:marTop w:val="0"/>
      <w:marBottom w:val="0"/>
      <w:divBdr>
        <w:top w:val="none" w:sz="0" w:space="0" w:color="auto"/>
        <w:left w:val="none" w:sz="0" w:space="0" w:color="auto"/>
        <w:bottom w:val="none" w:sz="0" w:space="0" w:color="auto"/>
        <w:right w:val="none" w:sz="0" w:space="0" w:color="auto"/>
      </w:divBdr>
    </w:div>
    <w:div w:id="984163579">
      <w:bodyDiv w:val="1"/>
      <w:marLeft w:val="0"/>
      <w:marRight w:val="0"/>
      <w:marTop w:val="0"/>
      <w:marBottom w:val="0"/>
      <w:divBdr>
        <w:top w:val="none" w:sz="0" w:space="0" w:color="auto"/>
        <w:left w:val="none" w:sz="0" w:space="0" w:color="auto"/>
        <w:bottom w:val="none" w:sz="0" w:space="0" w:color="auto"/>
        <w:right w:val="none" w:sz="0" w:space="0" w:color="auto"/>
      </w:divBdr>
    </w:div>
    <w:div w:id="1091320839">
      <w:bodyDiv w:val="1"/>
      <w:marLeft w:val="0"/>
      <w:marRight w:val="0"/>
      <w:marTop w:val="0"/>
      <w:marBottom w:val="0"/>
      <w:divBdr>
        <w:top w:val="none" w:sz="0" w:space="0" w:color="auto"/>
        <w:left w:val="none" w:sz="0" w:space="0" w:color="auto"/>
        <w:bottom w:val="none" w:sz="0" w:space="0" w:color="auto"/>
        <w:right w:val="none" w:sz="0" w:space="0" w:color="auto"/>
      </w:divBdr>
    </w:div>
    <w:div w:id="1099179464">
      <w:bodyDiv w:val="1"/>
      <w:marLeft w:val="0"/>
      <w:marRight w:val="0"/>
      <w:marTop w:val="0"/>
      <w:marBottom w:val="0"/>
      <w:divBdr>
        <w:top w:val="none" w:sz="0" w:space="0" w:color="auto"/>
        <w:left w:val="none" w:sz="0" w:space="0" w:color="auto"/>
        <w:bottom w:val="none" w:sz="0" w:space="0" w:color="auto"/>
        <w:right w:val="none" w:sz="0" w:space="0" w:color="auto"/>
      </w:divBdr>
    </w:div>
    <w:div w:id="1109158714">
      <w:bodyDiv w:val="1"/>
      <w:marLeft w:val="0"/>
      <w:marRight w:val="0"/>
      <w:marTop w:val="0"/>
      <w:marBottom w:val="0"/>
      <w:divBdr>
        <w:top w:val="none" w:sz="0" w:space="0" w:color="auto"/>
        <w:left w:val="none" w:sz="0" w:space="0" w:color="auto"/>
        <w:bottom w:val="none" w:sz="0" w:space="0" w:color="auto"/>
        <w:right w:val="none" w:sz="0" w:space="0" w:color="auto"/>
      </w:divBdr>
    </w:div>
    <w:div w:id="1146042997">
      <w:bodyDiv w:val="1"/>
      <w:marLeft w:val="0"/>
      <w:marRight w:val="0"/>
      <w:marTop w:val="0"/>
      <w:marBottom w:val="0"/>
      <w:divBdr>
        <w:top w:val="none" w:sz="0" w:space="0" w:color="auto"/>
        <w:left w:val="none" w:sz="0" w:space="0" w:color="auto"/>
        <w:bottom w:val="none" w:sz="0" w:space="0" w:color="auto"/>
        <w:right w:val="none" w:sz="0" w:space="0" w:color="auto"/>
      </w:divBdr>
    </w:div>
    <w:div w:id="1160661308">
      <w:bodyDiv w:val="1"/>
      <w:marLeft w:val="0"/>
      <w:marRight w:val="0"/>
      <w:marTop w:val="0"/>
      <w:marBottom w:val="0"/>
      <w:divBdr>
        <w:top w:val="none" w:sz="0" w:space="0" w:color="auto"/>
        <w:left w:val="none" w:sz="0" w:space="0" w:color="auto"/>
        <w:bottom w:val="none" w:sz="0" w:space="0" w:color="auto"/>
        <w:right w:val="none" w:sz="0" w:space="0" w:color="auto"/>
      </w:divBdr>
    </w:div>
    <w:div w:id="1201094053">
      <w:bodyDiv w:val="1"/>
      <w:marLeft w:val="0"/>
      <w:marRight w:val="0"/>
      <w:marTop w:val="0"/>
      <w:marBottom w:val="0"/>
      <w:divBdr>
        <w:top w:val="none" w:sz="0" w:space="0" w:color="auto"/>
        <w:left w:val="none" w:sz="0" w:space="0" w:color="auto"/>
        <w:bottom w:val="none" w:sz="0" w:space="0" w:color="auto"/>
        <w:right w:val="none" w:sz="0" w:space="0" w:color="auto"/>
      </w:divBdr>
    </w:div>
    <w:div w:id="1281914436">
      <w:bodyDiv w:val="1"/>
      <w:marLeft w:val="0"/>
      <w:marRight w:val="0"/>
      <w:marTop w:val="0"/>
      <w:marBottom w:val="0"/>
      <w:divBdr>
        <w:top w:val="none" w:sz="0" w:space="0" w:color="auto"/>
        <w:left w:val="none" w:sz="0" w:space="0" w:color="auto"/>
        <w:bottom w:val="none" w:sz="0" w:space="0" w:color="auto"/>
        <w:right w:val="none" w:sz="0" w:space="0" w:color="auto"/>
      </w:divBdr>
    </w:div>
    <w:div w:id="1307205445">
      <w:bodyDiv w:val="1"/>
      <w:marLeft w:val="0"/>
      <w:marRight w:val="0"/>
      <w:marTop w:val="0"/>
      <w:marBottom w:val="0"/>
      <w:divBdr>
        <w:top w:val="none" w:sz="0" w:space="0" w:color="auto"/>
        <w:left w:val="none" w:sz="0" w:space="0" w:color="auto"/>
        <w:bottom w:val="none" w:sz="0" w:space="0" w:color="auto"/>
        <w:right w:val="none" w:sz="0" w:space="0" w:color="auto"/>
      </w:divBdr>
    </w:div>
    <w:div w:id="1317686911">
      <w:bodyDiv w:val="1"/>
      <w:marLeft w:val="0"/>
      <w:marRight w:val="0"/>
      <w:marTop w:val="0"/>
      <w:marBottom w:val="0"/>
      <w:divBdr>
        <w:top w:val="none" w:sz="0" w:space="0" w:color="auto"/>
        <w:left w:val="none" w:sz="0" w:space="0" w:color="auto"/>
        <w:bottom w:val="none" w:sz="0" w:space="0" w:color="auto"/>
        <w:right w:val="none" w:sz="0" w:space="0" w:color="auto"/>
      </w:divBdr>
    </w:div>
    <w:div w:id="1332685613">
      <w:bodyDiv w:val="1"/>
      <w:marLeft w:val="0"/>
      <w:marRight w:val="0"/>
      <w:marTop w:val="0"/>
      <w:marBottom w:val="0"/>
      <w:divBdr>
        <w:top w:val="none" w:sz="0" w:space="0" w:color="auto"/>
        <w:left w:val="none" w:sz="0" w:space="0" w:color="auto"/>
        <w:bottom w:val="none" w:sz="0" w:space="0" w:color="auto"/>
        <w:right w:val="none" w:sz="0" w:space="0" w:color="auto"/>
      </w:divBdr>
    </w:div>
    <w:div w:id="1345523154">
      <w:bodyDiv w:val="1"/>
      <w:marLeft w:val="0"/>
      <w:marRight w:val="0"/>
      <w:marTop w:val="0"/>
      <w:marBottom w:val="0"/>
      <w:divBdr>
        <w:top w:val="none" w:sz="0" w:space="0" w:color="auto"/>
        <w:left w:val="none" w:sz="0" w:space="0" w:color="auto"/>
        <w:bottom w:val="none" w:sz="0" w:space="0" w:color="auto"/>
        <w:right w:val="none" w:sz="0" w:space="0" w:color="auto"/>
      </w:divBdr>
    </w:div>
    <w:div w:id="1485773800">
      <w:bodyDiv w:val="1"/>
      <w:marLeft w:val="0"/>
      <w:marRight w:val="0"/>
      <w:marTop w:val="0"/>
      <w:marBottom w:val="0"/>
      <w:divBdr>
        <w:top w:val="none" w:sz="0" w:space="0" w:color="auto"/>
        <w:left w:val="none" w:sz="0" w:space="0" w:color="auto"/>
        <w:bottom w:val="none" w:sz="0" w:space="0" w:color="auto"/>
        <w:right w:val="none" w:sz="0" w:space="0" w:color="auto"/>
      </w:divBdr>
    </w:div>
    <w:div w:id="1510289573">
      <w:bodyDiv w:val="1"/>
      <w:marLeft w:val="0"/>
      <w:marRight w:val="0"/>
      <w:marTop w:val="0"/>
      <w:marBottom w:val="0"/>
      <w:divBdr>
        <w:top w:val="none" w:sz="0" w:space="0" w:color="auto"/>
        <w:left w:val="none" w:sz="0" w:space="0" w:color="auto"/>
        <w:bottom w:val="none" w:sz="0" w:space="0" w:color="auto"/>
        <w:right w:val="none" w:sz="0" w:space="0" w:color="auto"/>
      </w:divBdr>
    </w:div>
    <w:div w:id="1594704244">
      <w:bodyDiv w:val="1"/>
      <w:marLeft w:val="0"/>
      <w:marRight w:val="0"/>
      <w:marTop w:val="0"/>
      <w:marBottom w:val="0"/>
      <w:divBdr>
        <w:top w:val="none" w:sz="0" w:space="0" w:color="auto"/>
        <w:left w:val="none" w:sz="0" w:space="0" w:color="auto"/>
        <w:bottom w:val="none" w:sz="0" w:space="0" w:color="auto"/>
        <w:right w:val="none" w:sz="0" w:space="0" w:color="auto"/>
      </w:divBdr>
    </w:div>
    <w:div w:id="1601832551">
      <w:bodyDiv w:val="1"/>
      <w:marLeft w:val="0"/>
      <w:marRight w:val="0"/>
      <w:marTop w:val="0"/>
      <w:marBottom w:val="0"/>
      <w:divBdr>
        <w:top w:val="none" w:sz="0" w:space="0" w:color="auto"/>
        <w:left w:val="none" w:sz="0" w:space="0" w:color="auto"/>
        <w:bottom w:val="none" w:sz="0" w:space="0" w:color="auto"/>
        <w:right w:val="none" w:sz="0" w:space="0" w:color="auto"/>
      </w:divBdr>
    </w:div>
    <w:div w:id="1656690343">
      <w:bodyDiv w:val="1"/>
      <w:marLeft w:val="0"/>
      <w:marRight w:val="0"/>
      <w:marTop w:val="0"/>
      <w:marBottom w:val="0"/>
      <w:divBdr>
        <w:top w:val="none" w:sz="0" w:space="0" w:color="auto"/>
        <w:left w:val="none" w:sz="0" w:space="0" w:color="auto"/>
        <w:bottom w:val="none" w:sz="0" w:space="0" w:color="auto"/>
        <w:right w:val="none" w:sz="0" w:space="0" w:color="auto"/>
      </w:divBdr>
    </w:div>
    <w:div w:id="1702706286">
      <w:bodyDiv w:val="1"/>
      <w:marLeft w:val="0"/>
      <w:marRight w:val="0"/>
      <w:marTop w:val="0"/>
      <w:marBottom w:val="0"/>
      <w:divBdr>
        <w:top w:val="none" w:sz="0" w:space="0" w:color="auto"/>
        <w:left w:val="none" w:sz="0" w:space="0" w:color="auto"/>
        <w:bottom w:val="none" w:sz="0" w:space="0" w:color="auto"/>
        <w:right w:val="none" w:sz="0" w:space="0" w:color="auto"/>
      </w:divBdr>
    </w:div>
    <w:div w:id="1731076530">
      <w:bodyDiv w:val="1"/>
      <w:marLeft w:val="0"/>
      <w:marRight w:val="0"/>
      <w:marTop w:val="0"/>
      <w:marBottom w:val="0"/>
      <w:divBdr>
        <w:top w:val="none" w:sz="0" w:space="0" w:color="auto"/>
        <w:left w:val="none" w:sz="0" w:space="0" w:color="auto"/>
        <w:bottom w:val="none" w:sz="0" w:space="0" w:color="auto"/>
        <w:right w:val="none" w:sz="0" w:space="0" w:color="auto"/>
      </w:divBdr>
    </w:div>
    <w:div w:id="1737631338">
      <w:bodyDiv w:val="1"/>
      <w:marLeft w:val="0"/>
      <w:marRight w:val="0"/>
      <w:marTop w:val="0"/>
      <w:marBottom w:val="0"/>
      <w:divBdr>
        <w:top w:val="none" w:sz="0" w:space="0" w:color="auto"/>
        <w:left w:val="none" w:sz="0" w:space="0" w:color="auto"/>
        <w:bottom w:val="none" w:sz="0" w:space="0" w:color="auto"/>
        <w:right w:val="none" w:sz="0" w:space="0" w:color="auto"/>
      </w:divBdr>
    </w:div>
    <w:div w:id="1794595578">
      <w:bodyDiv w:val="1"/>
      <w:marLeft w:val="0"/>
      <w:marRight w:val="0"/>
      <w:marTop w:val="0"/>
      <w:marBottom w:val="0"/>
      <w:divBdr>
        <w:top w:val="none" w:sz="0" w:space="0" w:color="auto"/>
        <w:left w:val="none" w:sz="0" w:space="0" w:color="auto"/>
        <w:bottom w:val="none" w:sz="0" w:space="0" w:color="auto"/>
        <w:right w:val="none" w:sz="0" w:space="0" w:color="auto"/>
      </w:divBdr>
    </w:div>
    <w:div w:id="1800104576">
      <w:bodyDiv w:val="1"/>
      <w:marLeft w:val="0"/>
      <w:marRight w:val="0"/>
      <w:marTop w:val="0"/>
      <w:marBottom w:val="0"/>
      <w:divBdr>
        <w:top w:val="none" w:sz="0" w:space="0" w:color="auto"/>
        <w:left w:val="none" w:sz="0" w:space="0" w:color="auto"/>
        <w:bottom w:val="none" w:sz="0" w:space="0" w:color="auto"/>
        <w:right w:val="none" w:sz="0" w:space="0" w:color="auto"/>
      </w:divBdr>
    </w:div>
    <w:div w:id="1808818911">
      <w:bodyDiv w:val="1"/>
      <w:marLeft w:val="0"/>
      <w:marRight w:val="0"/>
      <w:marTop w:val="0"/>
      <w:marBottom w:val="0"/>
      <w:divBdr>
        <w:top w:val="none" w:sz="0" w:space="0" w:color="auto"/>
        <w:left w:val="none" w:sz="0" w:space="0" w:color="auto"/>
        <w:bottom w:val="none" w:sz="0" w:space="0" w:color="auto"/>
        <w:right w:val="none" w:sz="0" w:space="0" w:color="auto"/>
      </w:divBdr>
    </w:div>
    <w:div w:id="1877082883">
      <w:bodyDiv w:val="1"/>
      <w:marLeft w:val="0"/>
      <w:marRight w:val="0"/>
      <w:marTop w:val="0"/>
      <w:marBottom w:val="0"/>
      <w:divBdr>
        <w:top w:val="none" w:sz="0" w:space="0" w:color="auto"/>
        <w:left w:val="none" w:sz="0" w:space="0" w:color="auto"/>
        <w:bottom w:val="none" w:sz="0" w:space="0" w:color="auto"/>
        <w:right w:val="none" w:sz="0" w:space="0" w:color="auto"/>
      </w:divBdr>
    </w:div>
    <w:div w:id="1889537022">
      <w:bodyDiv w:val="1"/>
      <w:marLeft w:val="0"/>
      <w:marRight w:val="0"/>
      <w:marTop w:val="0"/>
      <w:marBottom w:val="0"/>
      <w:divBdr>
        <w:top w:val="none" w:sz="0" w:space="0" w:color="auto"/>
        <w:left w:val="none" w:sz="0" w:space="0" w:color="auto"/>
        <w:bottom w:val="none" w:sz="0" w:space="0" w:color="auto"/>
        <w:right w:val="none" w:sz="0" w:space="0" w:color="auto"/>
      </w:divBdr>
    </w:div>
    <w:div w:id="1925800631">
      <w:bodyDiv w:val="1"/>
      <w:marLeft w:val="0"/>
      <w:marRight w:val="0"/>
      <w:marTop w:val="0"/>
      <w:marBottom w:val="0"/>
      <w:divBdr>
        <w:top w:val="none" w:sz="0" w:space="0" w:color="auto"/>
        <w:left w:val="none" w:sz="0" w:space="0" w:color="auto"/>
        <w:bottom w:val="none" w:sz="0" w:space="0" w:color="auto"/>
        <w:right w:val="none" w:sz="0" w:space="0" w:color="auto"/>
      </w:divBdr>
    </w:div>
    <w:div w:id="2016684597">
      <w:bodyDiv w:val="1"/>
      <w:marLeft w:val="0"/>
      <w:marRight w:val="0"/>
      <w:marTop w:val="0"/>
      <w:marBottom w:val="0"/>
      <w:divBdr>
        <w:top w:val="none" w:sz="0" w:space="0" w:color="auto"/>
        <w:left w:val="none" w:sz="0" w:space="0" w:color="auto"/>
        <w:bottom w:val="none" w:sz="0" w:space="0" w:color="auto"/>
        <w:right w:val="none" w:sz="0" w:space="0" w:color="auto"/>
      </w:divBdr>
    </w:div>
    <w:div w:id="2017731868">
      <w:bodyDiv w:val="1"/>
      <w:marLeft w:val="0"/>
      <w:marRight w:val="0"/>
      <w:marTop w:val="0"/>
      <w:marBottom w:val="0"/>
      <w:divBdr>
        <w:top w:val="none" w:sz="0" w:space="0" w:color="auto"/>
        <w:left w:val="none" w:sz="0" w:space="0" w:color="auto"/>
        <w:bottom w:val="none" w:sz="0" w:space="0" w:color="auto"/>
        <w:right w:val="none" w:sz="0" w:space="0" w:color="auto"/>
      </w:divBdr>
    </w:div>
    <w:div w:id="2037001710">
      <w:bodyDiv w:val="1"/>
      <w:marLeft w:val="0"/>
      <w:marRight w:val="0"/>
      <w:marTop w:val="0"/>
      <w:marBottom w:val="0"/>
      <w:divBdr>
        <w:top w:val="none" w:sz="0" w:space="0" w:color="auto"/>
        <w:left w:val="none" w:sz="0" w:space="0" w:color="auto"/>
        <w:bottom w:val="none" w:sz="0" w:space="0" w:color="auto"/>
        <w:right w:val="none" w:sz="0" w:space="0" w:color="auto"/>
      </w:divBdr>
    </w:div>
    <w:div w:id="2044937225">
      <w:bodyDiv w:val="1"/>
      <w:marLeft w:val="0"/>
      <w:marRight w:val="0"/>
      <w:marTop w:val="0"/>
      <w:marBottom w:val="0"/>
      <w:divBdr>
        <w:top w:val="none" w:sz="0" w:space="0" w:color="auto"/>
        <w:left w:val="none" w:sz="0" w:space="0" w:color="auto"/>
        <w:bottom w:val="none" w:sz="0" w:space="0" w:color="auto"/>
        <w:right w:val="none" w:sz="0" w:space="0" w:color="auto"/>
      </w:divBdr>
    </w:div>
    <w:div w:id="2061509751">
      <w:bodyDiv w:val="1"/>
      <w:marLeft w:val="0"/>
      <w:marRight w:val="0"/>
      <w:marTop w:val="0"/>
      <w:marBottom w:val="0"/>
      <w:divBdr>
        <w:top w:val="none" w:sz="0" w:space="0" w:color="auto"/>
        <w:left w:val="none" w:sz="0" w:space="0" w:color="auto"/>
        <w:bottom w:val="none" w:sz="0" w:space="0" w:color="auto"/>
        <w:right w:val="none" w:sz="0" w:space="0" w:color="auto"/>
      </w:divBdr>
    </w:div>
    <w:div w:id="21144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undacionalquilersegur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dfe94c-0cad-405c-9c1d-c4b8836841c9">
      <Terms xmlns="http://schemas.microsoft.com/office/infopath/2007/PartnerControls"/>
    </lcf76f155ced4ddcb4097134ff3c332f>
    <TaxCatchAll xmlns="4bdc35ca-d498-4be8-8ca3-0de12fcdb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30D4C2C3FA2C46A5823140B444E860" ma:contentTypeVersion="15" ma:contentTypeDescription="Crear nuevo documento." ma:contentTypeScope="" ma:versionID="ace3a986a3e95b06696c9bec3b7247bc">
  <xsd:schema xmlns:xsd="http://www.w3.org/2001/XMLSchema" xmlns:xs="http://www.w3.org/2001/XMLSchema" xmlns:p="http://schemas.microsoft.com/office/2006/metadata/properties" xmlns:ns2="99dfe94c-0cad-405c-9c1d-c4b8836841c9" xmlns:ns3="4bdc35ca-d498-4be8-8ca3-0de12fcdb3f1" targetNamespace="http://schemas.microsoft.com/office/2006/metadata/properties" ma:root="true" ma:fieldsID="3b331e3576cbf7e98bdc73ebacf7eb34" ns2:_="" ns3:_="">
    <xsd:import namespace="99dfe94c-0cad-405c-9c1d-c4b8836841c9"/>
    <xsd:import namespace="4bdc35ca-d498-4be8-8ca3-0de12fcdb3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fe94c-0cad-405c-9c1d-c4b883684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7a22f14-e6bf-42fb-8733-2126455cbae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c35ca-d498-4be8-8ca3-0de12fcdb3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1dbcf6-b935-443d-8293-2932bcb94f36}" ma:internalName="TaxCatchAll" ma:showField="CatchAllData" ma:web="4bdc35ca-d498-4be8-8ca3-0de12fcdb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A03AE-FFBF-4873-98F1-E9C3245E2865}">
  <ds:schemaRefs>
    <ds:schemaRef ds:uri="http://schemas.microsoft.com/office/2006/metadata/properties"/>
    <ds:schemaRef ds:uri="http://schemas.microsoft.com/office/infopath/2007/PartnerControls"/>
    <ds:schemaRef ds:uri="99dfe94c-0cad-405c-9c1d-c4b8836841c9"/>
    <ds:schemaRef ds:uri="4bdc35ca-d498-4be8-8ca3-0de12fcdb3f1"/>
  </ds:schemaRefs>
</ds:datastoreItem>
</file>

<file path=customXml/itemProps2.xml><?xml version="1.0" encoding="utf-8"?>
<ds:datastoreItem xmlns:ds="http://schemas.openxmlformats.org/officeDocument/2006/customXml" ds:itemID="{A7FE21E2-4C61-48EF-99AC-954F68C3F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fe94c-0cad-405c-9c1d-c4b8836841c9"/>
    <ds:schemaRef ds:uri="4bdc35ca-d498-4be8-8ca3-0de12fcdb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B0435-8FF0-42D9-A24A-8D7A9EB2FEBC}">
  <ds:schemaRefs>
    <ds:schemaRef ds:uri="http://schemas.openxmlformats.org/officeDocument/2006/bibliography"/>
  </ds:schemaRefs>
</ds:datastoreItem>
</file>

<file path=customXml/itemProps4.xml><?xml version="1.0" encoding="utf-8"?>
<ds:datastoreItem xmlns:ds="http://schemas.openxmlformats.org/officeDocument/2006/customXml" ds:itemID="{1C13C34E-5050-4B75-94A9-1BE4AF85F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6</Pages>
  <Words>983</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CharactersWithSpaces>
  <SharedDoc>false</SharedDoc>
  <HLinks>
    <vt:vector size="6" baseType="variant">
      <vt:variant>
        <vt:i4>327774</vt:i4>
      </vt:variant>
      <vt:variant>
        <vt:i4>0</vt:i4>
      </vt:variant>
      <vt:variant>
        <vt:i4>0</vt:i4>
      </vt:variant>
      <vt:variant>
        <vt:i4>5</vt:i4>
      </vt:variant>
      <vt:variant>
        <vt:lpwstr>https://fundacionalquilerseguro.org/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Negrete | Alquiler Seguro</dc:creator>
  <cp:keywords/>
  <dc:description/>
  <cp:lastModifiedBy>Lucas Tarancón | Alquiler Seguro</cp:lastModifiedBy>
  <cp:revision>667</cp:revision>
  <dcterms:created xsi:type="dcterms:W3CDTF">2024-06-20T06:59:00Z</dcterms:created>
  <dcterms:modified xsi:type="dcterms:W3CDTF">2024-12-10T09:25:00Z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0x010100C630D4C2C3FA2C46A5823140B444E860</vt:lpwstr>
  </property>
  <property fmtid="{D5CDD505-2E9C-101B-9397-08002B2CF9AE}" pid="3" name="MediaServiceImageTags">
    <vt:lpwstr/>
  </property>
</Properties>
</file>