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A220" w14:textId="4DFF07B5" w:rsidR="00626CA9" w:rsidRPr="00A06B8C" w:rsidRDefault="00FE21DA" w:rsidP="005C4DBD">
      <w:pPr>
        <w:jc w:val="center"/>
        <w:rPr>
          <w:b/>
          <w:color w:val="FF5A00"/>
          <w:sz w:val="32"/>
          <w:szCs w:val="32"/>
        </w:rPr>
      </w:pPr>
      <w:r>
        <w:rPr>
          <w:b/>
          <w:color w:val="FF5A00"/>
          <w:sz w:val="32"/>
          <w:szCs w:val="32"/>
        </w:rPr>
        <w:t xml:space="preserve">96.000 </w:t>
      </w:r>
      <w:r w:rsidR="00D701D5">
        <w:rPr>
          <w:b/>
          <w:color w:val="FF5A00"/>
          <w:sz w:val="32"/>
          <w:szCs w:val="32"/>
        </w:rPr>
        <w:t>VIVIENDAS</w:t>
      </w:r>
      <w:r>
        <w:rPr>
          <w:b/>
          <w:color w:val="FF5A00"/>
          <w:sz w:val="32"/>
          <w:szCs w:val="32"/>
        </w:rPr>
        <w:t xml:space="preserve"> MENOS</w:t>
      </w:r>
      <w:r w:rsidR="001672C2">
        <w:rPr>
          <w:b/>
          <w:color w:val="FF5A00"/>
          <w:sz w:val="32"/>
          <w:szCs w:val="32"/>
        </w:rPr>
        <w:t>,</w:t>
      </w:r>
      <w:r>
        <w:rPr>
          <w:b/>
          <w:color w:val="FF5A00"/>
          <w:sz w:val="32"/>
          <w:szCs w:val="32"/>
        </w:rPr>
        <w:t xml:space="preserve"> 1.</w:t>
      </w:r>
      <w:r w:rsidR="00A65C32">
        <w:rPr>
          <w:b/>
          <w:color w:val="FF5A00"/>
          <w:sz w:val="32"/>
          <w:szCs w:val="32"/>
        </w:rPr>
        <w:t>120</w:t>
      </w:r>
      <w:r>
        <w:rPr>
          <w:b/>
          <w:color w:val="FF5A00"/>
          <w:sz w:val="32"/>
          <w:szCs w:val="32"/>
        </w:rPr>
        <w:t>€</w:t>
      </w:r>
      <w:r w:rsidR="0064254D">
        <w:rPr>
          <w:b/>
          <w:color w:val="FF5A00"/>
          <w:sz w:val="32"/>
          <w:szCs w:val="32"/>
        </w:rPr>
        <w:t xml:space="preserve"> DE MEDIA</w:t>
      </w:r>
      <w:r w:rsidR="001672C2">
        <w:rPr>
          <w:b/>
          <w:color w:val="FF5A00"/>
          <w:sz w:val="32"/>
          <w:szCs w:val="32"/>
        </w:rPr>
        <w:t xml:space="preserve"> Y MÁS DE 120 INTERESADOS POR INMUEBLE</w:t>
      </w:r>
      <w:r>
        <w:rPr>
          <w:b/>
          <w:color w:val="FF5A00"/>
          <w:sz w:val="32"/>
          <w:szCs w:val="32"/>
        </w:rPr>
        <w:t>: ASÍ HA SIDO EL ALQUILER EN 2024</w:t>
      </w:r>
    </w:p>
    <w:p w14:paraId="6AE3047D" w14:textId="29518A4E" w:rsidR="005C4DBD" w:rsidRDefault="005C4DBD" w:rsidP="00626CA9">
      <w:pPr>
        <w:jc w:val="center"/>
        <w:rPr>
          <w:b/>
          <w:bCs/>
          <w:sz w:val="24"/>
          <w:szCs w:val="24"/>
        </w:rPr>
      </w:pPr>
      <w:r>
        <w:rPr>
          <w:b/>
          <w:bCs/>
          <w:noProof/>
          <w:sz w:val="24"/>
          <w:szCs w:val="24"/>
        </w:rPr>
        <mc:AlternateContent>
          <mc:Choice Requires="wps">
            <w:drawing>
              <wp:anchor distT="0" distB="0" distL="114300" distR="114300" simplePos="0" relativeHeight="251658240" behindDoc="0" locked="0" layoutInCell="1" allowOverlap="1" wp14:anchorId="4A68415A" wp14:editId="7F1588CE">
                <wp:simplePos x="0" y="0"/>
                <wp:positionH relativeFrom="margin">
                  <wp:align>right</wp:align>
                </wp:positionH>
                <wp:positionV relativeFrom="paragraph">
                  <wp:posOffset>62230</wp:posOffset>
                </wp:positionV>
                <wp:extent cx="5372100" cy="9525"/>
                <wp:effectExtent l="0" t="0" r="19050" b="28575"/>
                <wp:wrapNone/>
                <wp:docPr id="1668325546" name="Conector recto 1"/>
                <wp:cNvGraphicFramePr/>
                <a:graphic xmlns:a="http://schemas.openxmlformats.org/drawingml/2006/main">
                  <a:graphicData uri="http://schemas.microsoft.com/office/word/2010/wordprocessingShape">
                    <wps:wsp>
                      <wps:cNvCnPr/>
                      <wps:spPr>
                        <a:xfrm flipV="1">
                          <a:off x="0" y="0"/>
                          <a:ext cx="5372100" cy="9525"/>
                        </a:xfrm>
                        <a:prstGeom prst="line">
                          <a:avLst/>
                        </a:prstGeom>
                        <a:ln w="19050">
                          <a:solidFill>
                            <a:srgbClr val="FF5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903ECAC"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1.8pt,4.9pt" to="794.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" strokecolor="#ff5a00" strokeweight="1.5pt">
                <v:stroke joinstyle="miter"/>
                <w10:wrap anchorx="margin"/>
              </v:line>
            </w:pict>
          </mc:Fallback>
        </mc:AlternateContent>
      </w:r>
    </w:p>
    <w:p w14:paraId="169898B6" w14:textId="1F060D6E" w:rsidR="004B1A04" w:rsidRDefault="003A43B0" w:rsidP="00626CA9">
      <w:pPr>
        <w:jc w:val="center"/>
        <w:rPr>
          <w:b/>
          <w:bCs/>
          <w:sz w:val="24"/>
          <w:szCs w:val="24"/>
        </w:rPr>
      </w:pPr>
      <w:r>
        <w:rPr>
          <w:b/>
          <w:bCs/>
          <w:sz w:val="24"/>
          <w:szCs w:val="24"/>
        </w:rPr>
        <w:t xml:space="preserve">El mercado del alquiler en España recrudeció sus desequilibrios a lo largo de 2024: la demanda siguió creciendo, mientras la oferta se contrajo, lo que </w:t>
      </w:r>
      <w:r w:rsidR="00B05D15">
        <w:rPr>
          <w:b/>
          <w:bCs/>
          <w:sz w:val="24"/>
          <w:szCs w:val="24"/>
        </w:rPr>
        <w:t>redunda en los precios tan elevados de la vivienda.</w:t>
      </w:r>
    </w:p>
    <w:p w14:paraId="482EE9DD" w14:textId="5E8B7F15" w:rsidR="0022421F" w:rsidRPr="00626CA9" w:rsidRDefault="00B05D15" w:rsidP="00626CA9">
      <w:pPr>
        <w:jc w:val="center"/>
        <w:rPr>
          <w:b/>
          <w:bCs/>
          <w:sz w:val="24"/>
          <w:szCs w:val="24"/>
        </w:rPr>
      </w:pPr>
      <w:r>
        <w:rPr>
          <w:b/>
          <w:bCs/>
          <w:sz w:val="24"/>
          <w:szCs w:val="24"/>
        </w:rPr>
        <w:t xml:space="preserve">Barcelona es la provincia </w:t>
      </w:r>
      <w:r w:rsidR="00634EE4">
        <w:rPr>
          <w:b/>
          <w:bCs/>
          <w:sz w:val="24"/>
          <w:szCs w:val="24"/>
        </w:rPr>
        <w:t xml:space="preserve">donde más creció la presión, alcanzando los 421 interesados por vivienda, </w:t>
      </w:r>
      <w:r w:rsidR="006B4CDE">
        <w:rPr>
          <w:b/>
          <w:bCs/>
          <w:sz w:val="24"/>
          <w:szCs w:val="24"/>
        </w:rPr>
        <w:t>y donde más se redujo la oferta, con una bajada de más de 37.000 inmuebles, lo que la sitúa como la provincia más cara del país.</w:t>
      </w:r>
    </w:p>
    <w:p w14:paraId="47BDE79E" w14:textId="1D387B61" w:rsidR="00D85790" w:rsidRPr="00626CA9" w:rsidRDefault="009660B4" w:rsidP="00626CA9">
      <w:pPr>
        <w:jc w:val="center"/>
        <w:rPr>
          <w:b/>
          <w:bCs/>
          <w:sz w:val="24"/>
          <w:szCs w:val="24"/>
        </w:rPr>
      </w:pPr>
      <w:r>
        <w:rPr>
          <w:b/>
          <w:bCs/>
          <w:sz w:val="24"/>
          <w:szCs w:val="24"/>
        </w:rPr>
        <w:t xml:space="preserve">La declaración de zonas tensionadas en Cataluña y </w:t>
      </w:r>
      <w:r w:rsidR="00A11023">
        <w:rPr>
          <w:b/>
          <w:bCs/>
          <w:sz w:val="24"/>
          <w:szCs w:val="24"/>
        </w:rPr>
        <w:t>la intención de extenderlas al</w:t>
      </w:r>
      <w:r>
        <w:rPr>
          <w:b/>
          <w:bCs/>
          <w:sz w:val="24"/>
          <w:szCs w:val="24"/>
        </w:rPr>
        <w:t xml:space="preserve"> País Vasco ha disparado la presión de la demanda en provincias como Girona, Tarragona, Vizcaya o Álava.</w:t>
      </w:r>
    </w:p>
    <w:p w14:paraId="628E07E4" w14:textId="66199346" w:rsidR="00FB4CB7" w:rsidRDefault="00344EC2" w:rsidP="00626CA9">
      <w:pPr>
        <w:jc w:val="center"/>
        <w:rPr>
          <w:b/>
          <w:bCs/>
          <w:sz w:val="24"/>
          <w:szCs w:val="24"/>
        </w:rPr>
      </w:pPr>
      <w:r>
        <w:rPr>
          <w:b/>
          <w:bCs/>
          <w:sz w:val="24"/>
          <w:szCs w:val="24"/>
        </w:rPr>
        <w:t>El alquiler supera los 1.000€ de media en nueve provincias, incluidas algunas como Baleares</w:t>
      </w:r>
      <w:r w:rsidR="007B4A90">
        <w:rPr>
          <w:b/>
          <w:bCs/>
          <w:sz w:val="24"/>
          <w:szCs w:val="24"/>
        </w:rPr>
        <w:t>, Madrid o Málaga.</w:t>
      </w:r>
    </w:p>
    <w:p w14:paraId="2472D395" w14:textId="6E438410" w:rsidR="007B4A90" w:rsidRDefault="007B4A90" w:rsidP="00626CA9">
      <w:pPr>
        <w:jc w:val="center"/>
        <w:rPr>
          <w:b/>
          <w:bCs/>
          <w:sz w:val="24"/>
          <w:szCs w:val="24"/>
        </w:rPr>
      </w:pPr>
      <w:r>
        <w:rPr>
          <w:b/>
          <w:bCs/>
          <w:sz w:val="24"/>
          <w:szCs w:val="24"/>
        </w:rPr>
        <w:t>El mercado está equilibrado y los precios son más asequibles en regiones como Castilla y León, Castilla-La Mancha, Aragón o Extremadura.</w:t>
      </w:r>
    </w:p>
    <w:p w14:paraId="254D2468" w14:textId="07405BB2" w:rsidR="00F96D52" w:rsidRPr="00B93553" w:rsidRDefault="00B93553" w:rsidP="00B93553">
      <w:pPr>
        <w:rPr>
          <w:b/>
          <w:bCs/>
          <w:sz w:val="24"/>
          <w:szCs w:val="24"/>
        </w:rPr>
      </w:pPr>
      <w:r>
        <w:rPr>
          <w:noProof/>
        </w:rPr>
        <mc:AlternateContent>
          <mc:Choice Requires="wps">
            <w:drawing>
              <wp:anchor distT="0" distB="0" distL="114300" distR="114300" simplePos="0" relativeHeight="251658241" behindDoc="0" locked="0" layoutInCell="1" allowOverlap="1" wp14:anchorId="5893B6E4" wp14:editId="7027AA38">
                <wp:simplePos x="0" y="0"/>
                <wp:positionH relativeFrom="margin">
                  <wp:posOffset>5714</wp:posOffset>
                </wp:positionH>
                <wp:positionV relativeFrom="paragraph">
                  <wp:posOffset>80644</wp:posOffset>
                </wp:positionV>
                <wp:extent cx="5381625" cy="19050"/>
                <wp:effectExtent l="0" t="0" r="28575" b="19050"/>
                <wp:wrapNone/>
                <wp:docPr id="1624443959" name="Conector recto 1"/>
                <wp:cNvGraphicFramePr/>
                <a:graphic xmlns:a="http://schemas.openxmlformats.org/drawingml/2006/main">
                  <a:graphicData uri="http://schemas.microsoft.com/office/word/2010/wordprocessingShape">
                    <wps:wsp>
                      <wps:cNvCnPr/>
                      <wps:spPr>
                        <a:xfrm flipV="1">
                          <a:off x="0" y="0"/>
                          <a:ext cx="5381625" cy="19050"/>
                        </a:xfrm>
                        <a:prstGeom prst="line">
                          <a:avLst/>
                        </a:prstGeom>
                        <a:ln w="19050">
                          <a:solidFill>
                            <a:srgbClr val="FF5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CD64524"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6.35pt" to="424.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" strokecolor="#ff5a00" strokeweight="1.5pt">
                <v:stroke joinstyle="miter"/>
                <w10:wrap anchorx="margin"/>
              </v:line>
            </w:pict>
          </mc:Fallback>
        </mc:AlternateContent>
      </w:r>
    </w:p>
    <w:p w14:paraId="7C16CF35" w14:textId="51749AC9" w:rsidR="00DE74D0" w:rsidRDefault="007421CF" w:rsidP="00676D16">
      <w:pPr>
        <w:jc w:val="both"/>
      </w:pPr>
      <w:r w:rsidRPr="002C6722">
        <w:rPr>
          <w:color w:val="ADADAD" w:themeColor="background2" w:themeShade="BF"/>
        </w:rPr>
        <w:t xml:space="preserve">Madrid, </w:t>
      </w:r>
      <w:r w:rsidR="002B49E7">
        <w:rPr>
          <w:color w:val="ADADAD" w:themeColor="background2" w:themeShade="BF"/>
        </w:rPr>
        <w:t>30</w:t>
      </w:r>
      <w:r w:rsidRPr="002C6722">
        <w:rPr>
          <w:color w:val="ADADAD" w:themeColor="background2" w:themeShade="BF"/>
        </w:rPr>
        <w:t xml:space="preserve"> de </w:t>
      </w:r>
      <w:r w:rsidR="002B49E7">
        <w:rPr>
          <w:color w:val="ADADAD" w:themeColor="background2" w:themeShade="BF"/>
        </w:rPr>
        <w:t>enero</w:t>
      </w:r>
      <w:r w:rsidRPr="002C6722">
        <w:rPr>
          <w:color w:val="ADADAD" w:themeColor="background2" w:themeShade="BF"/>
        </w:rPr>
        <w:t xml:space="preserve"> de 202</w:t>
      </w:r>
      <w:r w:rsidR="002B49E7">
        <w:rPr>
          <w:color w:val="ADADAD" w:themeColor="background2" w:themeShade="BF"/>
        </w:rPr>
        <w:t>5</w:t>
      </w:r>
      <w:r w:rsidRPr="002C6722">
        <w:rPr>
          <w:color w:val="ADADAD" w:themeColor="background2" w:themeShade="BF"/>
        </w:rPr>
        <w:t xml:space="preserve">. </w:t>
      </w:r>
      <w:r w:rsidR="00AE6D7F">
        <w:t>La presión</w:t>
      </w:r>
      <w:r w:rsidR="002B49E7">
        <w:t xml:space="preserve"> del alquiler batió todos sus récords en 202</w:t>
      </w:r>
      <w:r w:rsidR="00AE6D7F">
        <w:t>4</w:t>
      </w:r>
      <w:r w:rsidR="002B49E7">
        <w:t xml:space="preserve">. </w:t>
      </w:r>
      <w:r w:rsidR="00924BAF">
        <w:t xml:space="preserve">De media, </w:t>
      </w:r>
      <w:r w:rsidR="00AE6D7F" w:rsidRPr="00922703">
        <w:rPr>
          <w:b/>
          <w:bCs/>
        </w:rPr>
        <w:t>124 personas contacta</w:t>
      </w:r>
      <w:r w:rsidR="00490C8B" w:rsidRPr="00922703">
        <w:rPr>
          <w:b/>
          <w:bCs/>
        </w:rPr>
        <w:t>ro</w:t>
      </w:r>
      <w:r w:rsidR="00AE6D7F" w:rsidRPr="00922703">
        <w:rPr>
          <w:b/>
          <w:bCs/>
        </w:rPr>
        <w:t>n con cada vivienda que sal</w:t>
      </w:r>
      <w:r w:rsidR="00490C8B" w:rsidRPr="00922703">
        <w:rPr>
          <w:b/>
          <w:bCs/>
        </w:rPr>
        <w:t>ió</w:t>
      </w:r>
      <w:r w:rsidR="00AE6D7F" w:rsidRPr="00922703">
        <w:rPr>
          <w:b/>
          <w:bCs/>
        </w:rPr>
        <w:t xml:space="preserve"> al mercado en un plazo de diez días</w:t>
      </w:r>
      <w:r w:rsidR="00AE6D7F">
        <w:t xml:space="preserve">. </w:t>
      </w:r>
      <w:r w:rsidR="00250C57">
        <w:t xml:space="preserve">Por comparar, en 2023 eran 45. Mientras, </w:t>
      </w:r>
      <w:r w:rsidR="00250C57" w:rsidRPr="00922703">
        <w:rPr>
          <w:b/>
          <w:bCs/>
        </w:rPr>
        <w:t xml:space="preserve">la oferta de inmuebles disponibles se ha desplomado, con una caída </w:t>
      </w:r>
      <w:r w:rsidR="00C92B0F" w:rsidRPr="00922703">
        <w:rPr>
          <w:b/>
          <w:bCs/>
        </w:rPr>
        <w:t>de 96.512</w:t>
      </w:r>
      <w:r w:rsidR="00C92B0F">
        <w:t xml:space="preserve"> en tan solo un año. </w:t>
      </w:r>
      <w:r w:rsidR="0016554E">
        <w:t xml:space="preserve">La consecuencia de este creciente desajuste entre oferta y demanda es </w:t>
      </w:r>
      <w:r w:rsidR="00DE74D0">
        <w:t xml:space="preserve">el inevitable aumento de los precios: </w:t>
      </w:r>
      <w:r w:rsidR="00DE74D0" w:rsidRPr="00922703">
        <w:rPr>
          <w:b/>
          <w:bCs/>
        </w:rPr>
        <w:t>los inquilinos españoles pagan 1.118€ por un alquiler</w:t>
      </w:r>
      <w:r w:rsidR="00A65C32">
        <w:t>, una subida interanual del 11,2%.</w:t>
      </w:r>
    </w:p>
    <w:p w14:paraId="429D2458" w14:textId="414123C0" w:rsidR="00A65C32" w:rsidRDefault="00BB75C7" w:rsidP="00676D16">
      <w:pPr>
        <w:jc w:val="both"/>
      </w:pPr>
      <w:r>
        <w:t xml:space="preserve">Así se desprende del </w:t>
      </w:r>
      <w:r w:rsidRPr="00922703">
        <w:rPr>
          <w:b/>
          <w:bCs/>
        </w:rPr>
        <w:t>Barómetro del Alquiler de 2024</w:t>
      </w:r>
      <w:r>
        <w:t xml:space="preserve">, un estudio en el que el </w:t>
      </w:r>
      <w:hyperlink r:id="rId11" w:history="1">
        <w:r w:rsidRPr="00261FE5">
          <w:rPr>
            <w:rStyle w:val="Hipervnculo"/>
            <w:b/>
            <w:bCs/>
          </w:rPr>
          <w:t>Observatorio del Alquiler</w:t>
        </w:r>
      </w:hyperlink>
      <w:r>
        <w:t xml:space="preserve"> de la </w:t>
      </w:r>
      <w:r w:rsidRPr="00922703">
        <w:rPr>
          <w:b/>
          <w:bCs/>
        </w:rPr>
        <w:t>Fundación Alquiler Seguro</w:t>
      </w:r>
      <w:r>
        <w:t xml:space="preserve"> y la </w:t>
      </w:r>
      <w:r w:rsidRPr="00922703">
        <w:rPr>
          <w:b/>
          <w:bCs/>
        </w:rPr>
        <w:t>Universidad Rey Juan Carlos</w:t>
      </w:r>
      <w:r>
        <w:t xml:space="preserve"> hace un balance del estado del mercado del alquiler y de las relaciones entre las variables de oferta, demanda y precio durante este último año.</w:t>
      </w:r>
    </w:p>
    <w:p w14:paraId="67695E9E" w14:textId="0CA6AA10" w:rsidR="00BA7B16" w:rsidRPr="00EB7C16" w:rsidRDefault="00BA7B16" w:rsidP="00676D16">
      <w:pPr>
        <w:jc w:val="both"/>
        <w:rPr>
          <w:b/>
          <w:color w:val="FF5A00"/>
        </w:rPr>
      </w:pPr>
      <w:r w:rsidRPr="00EB7C16">
        <w:rPr>
          <w:b/>
          <w:color w:val="FF5A00"/>
        </w:rPr>
        <w:t xml:space="preserve">LA PRESIÓN DE LA DEMANDA SE DISPARA </w:t>
      </w:r>
      <w:r w:rsidR="00CF3D12" w:rsidRPr="00EB7C16">
        <w:rPr>
          <w:b/>
          <w:color w:val="FF5A00"/>
        </w:rPr>
        <w:t xml:space="preserve">EN </w:t>
      </w:r>
      <w:r w:rsidR="00CB7FAA" w:rsidRPr="00EB7C16">
        <w:rPr>
          <w:b/>
          <w:color w:val="FF5A00"/>
        </w:rPr>
        <w:t>LAS ZONAS TENSIONADAS</w:t>
      </w:r>
    </w:p>
    <w:p w14:paraId="32BB35FB" w14:textId="7D0308BB" w:rsidR="00CF3D12" w:rsidRDefault="00C61582" w:rsidP="00676D16">
      <w:pPr>
        <w:jc w:val="both"/>
      </w:pPr>
      <w:r>
        <w:t>La presión del alquiler mide el número de contactos que recibe cada profesional o particular que saca una vivienda al mercado en un plazo de diez días.</w:t>
      </w:r>
      <w:r w:rsidR="0027496B">
        <w:t xml:space="preserve"> La media nacional de interesados por vivienda ascendió en 2024 a 124, aunque existen grandes diferencias entre provincias donde la presión </w:t>
      </w:r>
      <w:r w:rsidR="00AF5D8D">
        <w:t>se encuentra disparada y zonas donde la oferta y la demanda se encuentran en una situación de equilibrio.</w:t>
      </w:r>
    </w:p>
    <w:p w14:paraId="6952270D" w14:textId="06A5C634" w:rsidR="00AF5D8D" w:rsidRDefault="00540204" w:rsidP="00676D16">
      <w:pPr>
        <w:jc w:val="both"/>
      </w:pPr>
      <w:r>
        <w:lastRenderedPageBreak/>
        <w:t xml:space="preserve">Barcelona es, con diferencia, </w:t>
      </w:r>
      <w:r w:rsidRPr="00261FE5">
        <w:rPr>
          <w:b/>
          <w:bCs/>
        </w:rPr>
        <w:t>la provincia con mayor nivel de presión, con una media de 421 interesados por inmueble en un plazo de diez días</w:t>
      </w:r>
      <w:r>
        <w:t xml:space="preserve">. </w:t>
      </w:r>
      <w:r w:rsidR="00AD2B7C">
        <w:t>El año pasado, la cifra era de 81</w:t>
      </w:r>
      <w:r w:rsidR="00CB7FAA">
        <w:t xml:space="preserve">, ya de por sí elevada. Este incremento refleja las tensiones que ha generado en el mercado barcelonés la entrada en vigor de </w:t>
      </w:r>
      <w:r w:rsidR="00E54FC8">
        <w:t xml:space="preserve">la </w:t>
      </w:r>
      <w:r w:rsidR="00E54FC8" w:rsidRPr="00E22376">
        <w:rPr>
          <w:b/>
          <w:bCs/>
        </w:rPr>
        <w:t>zona tensionada</w:t>
      </w:r>
      <w:r w:rsidR="00E54FC8">
        <w:t xml:space="preserve"> que afecta a 2</w:t>
      </w:r>
      <w:r w:rsidR="00EA7204">
        <w:t>71</w:t>
      </w:r>
      <w:r w:rsidR="0058196C">
        <w:t xml:space="preserve"> municipios catalanes. La limitación de los precios </w:t>
      </w:r>
      <w:r w:rsidR="00A753D2">
        <w:t xml:space="preserve">ha sacudido el alquiler en esta provincia, ahondando aún más en la competencia que encuentran los inquilinos para encontrar una vivienda y en </w:t>
      </w:r>
      <w:r w:rsidR="00BB5719">
        <w:t>el desequilibrio entre la oferta y la demanda.</w:t>
      </w:r>
    </w:p>
    <w:p w14:paraId="528898F5" w14:textId="69C7D503" w:rsidR="00BB5719" w:rsidRDefault="00BC39E2" w:rsidP="00676D16">
      <w:pPr>
        <w:jc w:val="both"/>
      </w:pPr>
      <w:r>
        <w:t xml:space="preserve">El </w:t>
      </w:r>
      <w:r w:rsidRPr="00E22376">
        <w:rPr>
          <w:b/>
          <w:bCs/>
        </w:rPr>
        <w:t>efecto centrífugo de lo sucedido en Barcelona se extiende también a otras provincias de su entorno</w:t>
      </w:r>
      <w:r>
        <w:t xml:space="preserve">, donde también se aplican las medidas vigentes en las zonas declaradas tensionadas. Así, </w:t>
      </w:r>
      <w:r w:rsidR="004755C0">
        <w:t xml:space="preserve">en </w:t>
      </w:r>
      <w:r w:rsidR="004755C0" w:rsidRPr="00E22376">
        <w:rPr>
          <w:b/>
          <w:bCs/>
        </w:rPr>
        <w:t>Girona</w:t>
      </w:r>
      <w:r w:rsidR="004755C0">
        <w:t xml:space="preserve"> y en </w:t>
      </w:r>
      <w:r w:rsidR="004755C0" w:rsidRPr="00E22376">
        <w:rPr>
          <w:b/>
          <w:bCs/>
        </w:rPr>
        <w:t>Tarragona</w:t>
      </w:r>
      <w:r w:rsidR="004755C0">
        <w:t xml:space="preserve"> la presión también ha subido por encima de los 100 interesados por oferta en 10 días. </w:t>
      </w:r>
      <w:r w:rsidR="00A74AD2">
        <w:t xml:space="preserve">En la primera, el número de contactos que recibe una vivienda que sale al mercado ha pasado de los </w:t>
      </w:r>
      <w:r w:rsidR="00D0260C">
        <w:t>32 de 2023 a los 1</w:t>
      </w:r>
      <w:r w:rsidR="00EF2332">
        <w:t>04 de 2024</w:t>
      </w:r>
      <w:r w:rsidR="002A43A6">
        <w:t>, mientras que, en la segunda, el incremento ha sido de 13 a 92.</w:t>
      </w:r>
    </w:p>
    <w:p w14:paraId="6B5CFF25" w14:textId="498A6A1F" w:rsidR="002A43A6" w:rsidRDefault="002A43A6" w:rsidP="00676D16">
      <w:pPr>
        <w:jc w:val="both"/>
      </w:pPr>
      <w:r>
        <w:t xml:space="preserve">En el </w:t>
      </w:r>
      <w:r w:rsidRPr="00471873">
        <w:rPr>
          <w:b/>
          <w:bCs/>
        </w:rPr>
        <w:t>País Vasco</w:t>
      </w:r>
      <w:r>
        <w:t xml:space="preserve">, por su parte, la situación también se ha recrudecido. Aquí, tan solo el municipio de Rentería ha sido reconocido como zona tensionada, si bien </w:t>
      </w:r>
      <w:r w:rsidRPr="00471873">
        <w:rPr>
          <w:b/>
          <w:bCs/>
        </w:rPr>
        <w:t xml:space="preserve">las autoridades autonómicas ya han </w:t>
      </w:r>
      <w:r w:rsidR="00E2516A" w:rsidRPr="00471873">
        <w:rPr>
          <w:b/>
          <w:bCs/>
        </w:rPr>
        <w:t>anunciado que planean extender la medida a otras localidades</w:t>
      </w:r>
      <w:r w:rsidR="00E2516A">
        <w:t xml:space="preserve"> próximamente, incluidas las tres capitales. Est</w:t>
      </w:r>
      <w:r w:rsidR="00734A8A">
        <w:t xml:space="preserve">as declaraciones han </w:t>
      </w:r>
      <w:r w:rsidR="00B704F8">
        <w:t>tenido un gran impacto negativo</w:t>
      </w:r>
      <w:r w:rsidR="00734A8A">
        <w:t xml:space="preserve"> en la región, contribuyendo a disparar la </w:t>
      </w:r>
      <w:r w:rsidR="00471873">
        <w:t>presión</w:t>
      </w:r>
      <w:r w:rsidR="00734A8A">
        <w:t xml:space="preserve"> en las tres provincias.</w:t>
      </w:r>
    </w:p>
    <w:p w14:paraId="4E32D863" w14:textId="60D38DA4" w:rsidR="00676D16" w:rsidRDefault="00E90868" w:rsidP="007421CF">
      <w:pPr>
        <w:jc w:val="both"/>
      </w:pPr>
      <w:r w:rsidRPr="00471873">
        <w:rPr>
          <w:b/>
          <w:bCs/>
        </w:rPr>
        <w:t>Vizcaya se sitúa como la segunda provincia con mayor nivel de presión en el alquiler, con 191 contactos por vivienda</w:t>
      </w:r>
      <w:r w:rsidR="005F485E">
        <w:t xml:space="preserve">, frente a los 43 del año pasado. El crecimiento también ha sido muy significativo en </w:t>
      </w:r>
      <w:r w:rsidR="005F485E" w:rsidRPr="00471873">
        <w:rPr>
          <w:b/>
          <w:bCs/>
        </w:rPr>
        <w:t>Álava</w:t>
      </w:r>
      <w:r w:rsidR="005F485E">
        <w:t xml:space="preserve">, que ha pasado de </w:t>
      </w:r>
      <w:r w:rsidR="00695752">
        <w:t xml:space="preserve">26 interesados en 2023 a un total de 111. En </w:t>
      </w:r>
      <w:r w:rsidR="00695752" w:rsidRPr="00471873">
        <w:rPr>
          <w:b/>
          <w:bCs/>
        </w:rPr>
        <w:t>Guipúzcoa</w:t>
      </w:r>
      <w:r w:rsidR="00695752">
        <w:t xml:space="preserve"> también ha aumentado la presión, con una subida </w:t>
      </w:r>
      <w:r w:rsidR="000865BC">
        <w:t>de 31 a 95.</w:t>
      </w:r>
    </w:p>
    <w:p w14:paraId="6F947757" w14:textId="6866E950" w:rsidR="000865BC" w:rsidRDefault="004A3381" w:rsidP="007421CF">
      <w:pPr>
        <w:jc w:val="both"/>
      </w:pPr>
      <w:r>
        <w:t xml:space="preserve">Además de estas provincias de Cataluña y el País Vasco, la presión del alquiler también se encuentra en niveles muy </w:t>
      </w:r>
      <w:r w:rsidR="00D71048">
        <w:t>altos de desequilibrio en otras zonas</w:t>
      </w:r>
      <w:r w:rsidR="00B90CC3">
        <w:t>, especialmente en las grandes ciudades y las áreas costeras con mayor peso del turismo. Se trata de lu</w:t>
      </w:r>
      <w:r w:rsidR="00F6454D">
        <w:t xml:space="preserve">gares como </w:t>
      </w:r>
      <w:r w:rsidR="00F6454D" w:rsidRPr="00471873">
        <w:rPr>
          <w:b/>
          <w:bCs/>
        </w:rPr>
        <w:t>Valencia</w:t>
      </w:r>
      <w:r w:rsidR="00F6454D">
        <w:t xml:space="preserve"> (125 interesados por vivienda), </w:t>
      </w:r>
      <w:r w:rsidR="00F6454D" w:rsidRPr="00471873">
        <w:rPr>
          <w:b/>
          <w:bCs/>
        </w:rPr>
        <w:t>Baleares</w:t>
      </w:r>
      <w:r w:rsidR="00F6454D">
        <w:t xml:space="preserve"> (124), </w:t>
      </w:r>
      <w:r w:rsidR="00F6454D" w:rsidRPr="00471873">
        <w:rPr>
          <w:b/>
          <w:bCs/>
        </w:rPr>
        <w:t>Madrid</w:t>
      </w:r>
      <w:r w:rsidR="00F6454D">
        <w:t xml:space="preserve"> (109), </w:t>
      </w:r>
      <w:r w:rsidR="00170DB8" w:rsidRPr="00471873">
        <w:rPr>
          <w:b/>
          <w:bCs/>
        </w:rPr>
        <w:t>Santa Cruz de Tenerife</w:t>
      </w:r>
      <w:r w:rsidR="00170DB8">
        <w:t xml:space="preserve"> (94), </w:t>
      </w:r>
      <w:r w:rsidR="00170DB8" w:rsidRPr="00471873">
        <w:rPr>
          <w:b/>
          <w:bCs/>
        </w:rPr>
        <w:t>Las Palmas</w:t>
      </w:r>
      <w:r w:rsidR="00170DB8">
        <w:t xml:space="preserve"> (90), </w:t>
      </w:r>
      <w:r w:rsidR="00170DB8" w:rsidRPr="00471873">
        <w:rPr>
          <w:b/>
          <w:bCs/>
        </w:rPr>
        <w:t>Alicante</w:t>
      </w:r>
      <w:r w:rsidR="00170DB8">
        <w:t xml:space="preserve"> (84), </w:t>
      </w:r>
      <w:r w:rsidR="00170DB8" w:rsidRPr="00471873">
        <w:rPr>
          <w:b/>
          <w:bCs/>
        </w:rPr>
        <w:t>Sevilla</w:t>
      </w:r>
      <w:r w:rsidR="00170DB8">
        <w:t xml:space="preserve"> (</w:t>
      </w:r>
      <w:r w:rsidR="001F7F99">
        <w:t xml:space="preserve">73), </w:t>
      </w:r>
      <w:r w:rsidR="001F7F99" w:rsidRPr="00471873">
        <w:rPr>
          <w:b/>
          <w:bCs/>
        </w:rPr>
        <w:t>Málaga</w:t>
      </w:r>
      <w:r w:rsidR="001F7F99">
        <w:t xml:space="preserve"> (71), </w:t>
      </w:r>
      <w:r w:rsidR="001F7F99" w:rsidRPr="00471873">
        <w:rPr>
          <w:b/>
          <w:bCs/>
        </w:rPr>
        <w:t>Guadalajara</w:t>
      </w:r>
      <w:r w:rsidR="001F7F99">
        <w:t xml:space="preserve"> (69) o </w:t>
      </w:r>
      <w:r w:rsidR="001F7F99" w:rsidRPr="00471873">
        <w:rPr>
          <w:b/>
          <w:bCs/>
        </w:rPr>
        <w:t>A Coruña</w:t>
      </w:r>
      <w:r w:rsidR="001F7F99">
        <w:t xml:space="preserve"> (62).</w:t>
      </w:r>
    </w:p>
    <w:p w14:paraId="010BD704" w14:textId="77777777" w:rsidR="003B2DCF" w:rsidRDefault="003B2DCF" w:rsidP="007421CF">
      <w:pPr>
        <w:jc w:val="both"/>
      </w:pPr>
    </w:p>
    <w:p w14:paraId="5F00E1E7" w14:textId="77777777" w:rsidR="003B2DCF" w:rsidRDefault="003B2DCF" w:rsidP="007421CF">
      <w:pPr>
        <w:jc w:val="both"/>
      </w:pPr>
    </w:p>
    <w:p w14:paraId="26E2257E" w14:textId="77777777" w:rsidR="003B2DCF" w:rsidRDefault="003B2DCF" w:rsidP="007421CF">
      <w:pPr>
        <w:jc w:val="both"/>
      </w:pPr>
    </w:p>
    <w:p w14:paraId="3EB2C9BB" w14:textId="77777777" w:rsidR="003B2DCF" w:rsidRDefault="003B2DCF" w:rsidP="007421CF">
      <w:pPr>
        <w:jc w:val="both"/>
      </w:pPr>
    </w:p>
    <w:p w14:paraId="3A104F88" w14:textId="77777777" w:rsidR="003B2DCF" w:rsidRDefault="003B2DCF" w:rsidP="007421CF">
      <w:pPr>
        <w:jc w:val="both"/>
      </w:pPr>
    </w:p>
    <w:p w14:paraId="789E2673" w14:textId="77777777" w:rsidR="003B2DCF" w:rsidRDefault="003B2DCF" w:rsidP="007421CF">
      <w:pPr>
        <w:jc w:val="both"/>
      </w:pPr>
    </w:p>
    <w:p w14:paraId="41DEF74B" w14:textId="77777777" w:rsidR="003B2DCF" w:rsidRDefault="003B2DCF" w:rsidP="007421CF">
      <w:pPr>
        <w:jc w:val="both"/>
      </w:pPr>
    </w:p>
    <w:p w14:paraId="236ECA20" w14:textId="77777777" w:rsidR="003B2DCF" w:rsidRDefault="003B2DCF" w:rsidP="007421CF">
      <w:pPr>
        <w:jc w:val="both"/>
      </w:pPr>
    </w:p>
    <w:p w14:paraId="5C8F922D" w14:textId="28CC180B" w:rsidR="003B2DCF" w:rsidRPr="00C113FB" w:rsidRDefault="00C113FB" w:rsidP="00C113FB">
      <w:pPr>
        <w:jc w:val="center"/>
        <w:rPr>
          <w:b/>
          <w:bCs/>
        </w:rPr>
      </w:pPr>
      <w:r w:rsidRPr="00C113FB">
        <w:rPr>
          <w:b/>
          <w:bCs/>
        </w:rPr>
        <w:lastRenderedPageBreak/>
        <w:t>Aumento de la presión en algunas provincias de Cataluña y el País Vasco</w:t>
      </w:r>
    </w:p>
    <w:p w14:paraId="6E7081F8" w14:textId="46AA8AA4" w:rsidR="001675DB" w:rsidRPr="001675DB" w:rsidRDefault="001675DB" w:rsidP="001675DB">
      <w:pPr>
        <w:jc w:val="both"/>
      </w:pPr>
      <w:r w:rsidRPr="001675DB">
        <w:rPr>
          <w:noProof/>
        </w:rPr>
        <w:drawing>
          <wp:inline distT="0" distB="0" distL="0" distR="0" wp14:anchorId="4464E9F7" wp14:editId="773B835F">
            <wp:extent cx="5400040" cy="4029075"/>
            <wp:effectExtent l="0" t="0" r="0" b="9525"/>
            <wp:docPr id="1681562584"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62584" name="Imagen 6" descr="Interfaz de usuario gráfic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029075"/>
                    </a:xfrm>
                    <a:prstGeom prst="rect">
                      <a:avLst/>
                    </a:prstGeom>
                    <a:noFill/>
                    <a:ln>
                      <a:noFill/>
                    </a:ln>
                  </pic:spPr>
                </pic:pic>
              </a:graphicData>
            </a:graphic>
          </wp:inline>
        </w:drawing>
      </w:r>
    </w:p>
    <w:p w14:paraId="4ED6B72A" w14:textId="77777777" w:rsidR="001675DB" w:rsidRDefault="001675DB" w:rsidP="007421CF">
      <w:pPr>
        <w:jc w:val="both"/>
      </w:pPr>
    </w:p>
    <w:p w14:paraId="1CB4414E" w14:textId="7973DB5F" w:rsidR="005F15F6" w:rsidRPr="008E69C9" w:rsidRDefault="0049762A" w:rsidP="007421CF">
      <w:pPr>
        <w:jc w:val="both"/>
        <w:rPr>
          <w:b/>
          <w:color w:val="FF5A00"/>
        </w:rPr>
      </w:pPr>
      <w:r w:rsidRPr="008E69C9">
        <w:rPr>
          <w:b/>
          <w:color w:val="FF5A00"/>
        </w:rPr>
        <w:t>CAÍDA DRAMÁTICA DE LA OFERTA: CASI 100.000 VIVIENDAS MENOS</w:t>
      </w:r>
    </w:p>
    <w:p w14:paraId="48F13959" w14:textId="7EB19D7B" w:rsidR="0049762A" w:rsidRPr="00471873" w:rsidRDefault="00F34F06" w:rsidP="007421CF">
      <w:pPr>
        <w:jc w:val="both"/>
        <w:rPr>
          <w:b/>
          <w:bCs/>
        </w:rPr>
      </w:pPr>
      <w:r>
        <w:t xml:space="preserve">La oferta disponible de vivienda en alquiler mantiene una tendencia a la baja desde hace años, que la incertidumbre jurídica y la entrada en vigor de medidas </w:t>
      </w:r>
      <w:r w:rsidR="004B3F66">
        <w:t xml:space="preserve">como las zonas tensionadas han agravado este año. En total, </w:t>
      </w:r>
      <w:r w:rsidR="004B3F66" w:rsidRPr="00471873">
        <w:rPr>
          <w:b/>
          <w:bCs/>
        </w:rPr>
        <w:t>en 2024 salieron al mercado 717.338 inmuebles</w:t>
      </w:r>
      <w:r w:rsidR="00B90AAA" w:rsidRPr="00471873">
        <w:rPr>
          <w:b/>
          <w:bCs/>
        </w:rPr>
        <w:t xml:space="preserve">, </w:t>
      </w:r>
      <w:r w:rsidR="00924DB2" w:rsidRPr="00471873">
        <w:rPr>
          <w:b/>
          <w:bCs/>
        </w:rPr>
        <w:t>96.512 menos que el año pasado.</w:t>
      </w:r>
    </w:p>
    <w:p w14:paraId="5A7F517D" w14:textId="5BD3BFA6" w:rsidR="00924DB2" w:rsidRDefault="005F760D" w:rsidP="007421CF">
      <w:pPr>
        <w:jc w:val="both"/>
      </w:pPr>
      <w:r>
        <w:t xml:space="preserve">El mayor desplome lo ha registrado la provincia de </w:t>
      </w:r>
      <w:r w:rsidRPr="00471873">
        <w:rPr>
          <w:b/>
          <w:bCs/>
        </w:rPr>
        <w:t>Barcelona</w:t>
      </w:r>
      <w:r w:rsidRPr="000A6776">
        <w:rPr>
          <w:b/>
        </w:rPr>
        <w:t xml:space="preserve">, donde la oferta ha </w:t>
      </w:r>
      <w:r w:rsidR="00683206" w:rsidRPr="000A6776">
        <w:rPr>
          <w:b/>
        </w:rPr>
        <w:t>disminuido en 37.043 viviendas</w:t>
      </w:r>
      <w:r w:rsidR="00683206">
        <w:t xml:space="preserve">, es decir, un 38,7% del total. </w:t>
      </w:r>
      <w:r w:rsidR="002F308F">
        <w:t xml:space="preserve">El control de los precios del alquiler ha desplomado la oferta en esta provincia, agravando una tendencia que ya se venía registrando desde hace años. Si en 2019 salieron al mercado barcelonés 170.764, es 2023 se redujeron a 132.259 y </w:t>
      </w:r>
      <w:r w:rsidR="002F308F" w:rsidRPr="002F308F">
        <w:t>este último año han caído a 95.216.</w:t>
      </w:r>
    </w:p>
    <w:p w14:paraId="79804E0E" w14:textId="6D38B0D0" w:rsidR="0092468B" w:rsidRDefault="006C77AF" w:rsidP="007421CF">
      <w:pPr>
        <w:jc w:val="both"/>
      </w:pPr>
      <w:r>
        <w:t xml:space="preserve">Además de en Barcelona, las mayores reducciones de oferta se han producido en provincias como </w:t>
      </w:r>
      <w:r w:rsidRPr="008B4634">
        <w:rPr>
          <w:b/>
        </w:rPr>
        <w:t>Alicante</w:t>
      </w:r>
      <w:r>
        <w:t xml:space="preserve"> (</w:t>
      </w:r>
      <w:r w:rsidR="00275580">
        <w:t xml:space="preserve">7.992 viviendas menos que en 2023), </w:t>
      </w:r>
      <w:r w:rsidR="00275580" w:rsidRPr="008B4634">
        <w:rPr>
          <w:b/>
        </w:rPr>
        <w:t>Asturias</w:t>
      </w:r>
      <w:r w:rsidR="00275580">
        <w:t xml:space="preserve"> (</w:t>
      </w:r>
      <w:r w:rsidR="006D1CAC">
        <w:t>-</w:t>
      </w:r>
      <w:r w:rsidR="00275580">
        <w:t xml:space="preserve">6.291), </w:t>
      </w:r>
      <w:r w:rsidR="00275580" w:rsidRPr="008B4634">
        <w:rPr>
          <w:b/>
        </w:rPr>
        <w:t>Vizcaya</w:t>
      </w:r>
      <w:r w:rsidR="00275580">
        <w:t xml:space="preserve"> (</w:t>
      </w:r>
      <w:r w:rsidR="006D1CAC">
        <w:t>-</w:t>
      </w:r>
      <w:r w:rsidR="00275580">
        <w:t>5.70</w:t>
      </w:r>
      <w:r w:rsidR="006D1CAC">
        <w:t>2</w:t>
      </w:r>
      <w:r w:rsidR="00275580">
        <w:t>)</w:t>
      </w:r>
      <w:r w:rsidR="006D1CAC">
        <w:t xml:space="preserve">, </w:t>
      </w:r>
      <w:r w:rsidR="006D1CAC" w:rsidRPr="008B4634">
        <w:rPr>
          <w:b/>
        </w:rPr>
        <w:t>Las Palmas</w:t>
      </w:r>
      <w:r w:rsidR="006D1CAC">
        <w:t xml:space="preserve"> (-3.995) o </w:t>
      </w:r>
      <w:r w:rsidR="006D1CAC" w:rsidRPr="008B4634">
        <w:rPr>
          <w:b/>
        </w:rPr>
        <w:t>Sevilla</w:t>
      </w:r>
      <w:r w:rsidR="006D1CAC">
        <w:t xml:space="preserve"> (-</w:t>
      </w:r>
      <w:r w:rsidR="002C7D77">
        <w:t>3.105).</w:t>
      </w:r>
    </w:p>
    <w:p w14:paraId="48FA5666" w14:textId="77777777" w:rsidR="00E559CC" w:rsidRDefault="00E559CC" w:rsidP="007421CF">
      <w:pPr>
        <w:jc w:val="both"/>
      </w:pPr>
    </w:p>
    <w:p w14:paraId="6A39DA74" w14:textId="77777777" w:rsidR="00E559CC" w:rsidRDefault="00E559CC" w:rsidP="007421CF">
      <w:pPr>
        <w:jc w:val="both"/>
      </w:pPr>
    </w:p>
    <w:p w14:paraId="3B166541" w14:textId="38C31CE2" w:rsidR="00E559CC" w:rsidRPr="00E559CC" w:rsidRDefault="00E559CC" w:rsidP="00E559CC">
      <w:pPr>
        <w:jc w:val="center"/>
        <w:rPr>
          <w:b/>
          <w:bCs/>
        </w:rPr>
      </w:pPr>
      <w:r w:rsidRPr="00E559CC">
        <w:rPr>
          <w:b/>
          <w:bCs/>
        </w:rPr>
        <w:lastRenderedPageBreak/>
        <w:t>Evolución de la oferta de viviendas en alquiler en España</w:t>
      </w:r>
    </w:p>
    <w:p w14:paraId="6A7B4E5E" w14:textId="77777777" w:rsidR="00E559CC" w:rsidRDefault="00E559CC" w:rsidP="007421CF">
      <w:pPr>
        <w:jc w:val="both"/>
      </w:pPr>
    </w:p>
    <w:p w14:paraId="5A444CA8" w14:textId="01309AD0" w:rsidR="002D205C" w:rsidRPr="002D205C" w:rsidRDefault="002D205C" w:rsidP="002D205C">
      <w:pPr>
        <w:jc w:val="both"/>
      </w:pPr>
      <w:r w:rsidRPr="002D205C">
        <w:rPr>
          <w:noProof/>
        </w:rPr>
        <w:drawing>
          <wp:inline distT="0" distB="0" distL="0" distR="0" wp14:anchorId="53EA301B" wp14:editId="41D27A1A">
            <wp:extent cx="5400040" cy="2886710"/>
            <wp:effectExtent l="0" t="0" r="0" b="8890"/>
            <wp:docPr id="822852025"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52025" name="Imagen 4" descr="Interfaz de usuario gráfica, Aplicación&#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886710"/>
                    </a:xfrm>
                    <a:prstGeom prst="rect">
                      <a:avLst/>
                    </a:prstGeom>
                    <a:noFill/>
                    <a:ln>
                      <a:noFill/>
                    </a:ln>
                  </pic:spPr>
                </pic:pic>
              </a:graphicData>
            </a:graphic>
          </wp:inline>
        </w:drawing>
      </w:r>
    </w:p>
    <w:p w14:paraId="3BCD385E" w14:textId="77777777" w:rsidR="002D205C" w:rsidRDefault="002D205C" w:rsidP="007421CF">
      <w:pPr>
        <w:jc w:val="both"/>
      </w:pPr>
    </w:p>
    <w:p w14:paraId="687A5E15" w14:textId="75A51AD3" w:rsidR="008E69C9" w:rsidRPr="00426F6F" w:rsidRDefault="007D1D83" w:rsidP="007421CF">
      <w:pPr>
        <w:jc w:val="both"/>
        <w:rPr>
          <w:b/>
          <w:color w:val="FF5A00"/>
        </w:rPr>
      </w:pPr>
      <w:r w:rsidRPr="00426F6F">
        <w:rPr>
          <w:b/>
          <w:color w:val="FF5A00"/>
        </w:rPr>
        <w:t>PRECIOS DE MÁS DE 1.000€ EN NUEVE PROVINCIAS</w:t>
      </w:r>
    </w:p>
    <w:p w14:paraId="43A767ED" w14:textId="3B07E142" w:rsidR="007D1D83" w:rsidRDefault="00AF0F90" w:rsidP="007421CF">
      <w:pPr>
        <w:jc w:val="both"/>
      </w:pPr>
      <w:r>
        <w:t xml:space="preserve">El desequilibrio entre una oferta menguante y una demanda creciente </w:t>
      </w:r>
      <w:r w:rsidR="00530ECB">
        <w:t xml:space="preserve">ha encarecido los precios del alquiler hasta niveles </w:t>
      </w:r>
      <w:proofErr w:type="gramStart"/>
      <w:r w:rsidR="00530ECB">
        <w:t>nunca antes</w:t>
      </w:r>
      <w:proofErr w:type="gramEnd"/>
      <w:r w:rsidR="00530ECB">
        <w:t xml:space="preserve"> registrados en la mayoría de las provincias de España</w:t>
      </w:r>
      <w:r w:rsidR="00530ECB" w:rsidRPr="004A4633">
        <w:rPr>
          <w:b/>
        </w:rPr>
        <w:t>. De media, los inquilinos españoles pagan 1.118€ por el arrendamiento de una vivienda.</w:t>
      </w:r>
      <w:r w:rsidR="00530ECB">
        <w:t xml:space="preserve"> </w:t>
      </w:r>
      <w:r w:rsidR="00165B3A">
        <w:t xml:space="preserve">Pese a que nueve provincias superan los 1.000€, </w:t>
      </w:r>
      <w:r w:rsidR="00E426CB">
        <w:t>la realidad es que existen grandes disparidades entre territorios, con algunas zonas donde acceder a un hogar resulta mucho más asequible.</w:t>
      </w:r>
    </w:p>
    <w:p w14:paraId="5942B2B2" w14:textId="3F4BC8F0" w:rsidR="00E426CB" w:rsidRDefault="00260B2A" w:rsidP="007421CF">
      <w:pPr>
        <w:jc w:val="both"/>
      </w:pPr>
      <w:r>
        <w:t xml:space="preserve">La provincia más cara para vivir de alquiler es </w:t>
      </w:r>
      <w:r w:rsidRPr="004A4633">
        <w:rPr>
          <w:b/>
        </w:rPr>
        <w:t>Barcelona</w:t>
      </w:r>
      <w:r>
        <w:t xml:space="preserve">, con una media </w:t>
      </w:r>
      <w:r w:rsidR="00043923">
        <w:t>d</w:t>
      </w:r>
      <w:r>
        <w:t>e 1.604€</w:t>
      </w:r>
      <w:r w:rsidR="00E55077">
        <w:t xml:space="preserve">, seguida de </w:t>
      </w:r>
      <w:r w:rsidR="00E55077" w:rsidRPr="004A4633">
        <w:rPr>
          <w:b/>
        </w:rPr>
        <w:t>Baleares</w:t>
      </w:r>
      <w:r w:rsidR="00E55077">
        <w:t>, con 1.598€</w:t>
      </w:r>
      <w:r w:rsidR="00B444FC">
        <w:t xml:space="preserve">, y </w:t>
      </w:r>
      <w:r w:rsidR="00B444FC" w:rsidRPr="004A4633">
        <w:rPr>
          <w:b/>
        </w:rPr>
        <w:t>Madrid</w:t>
      </w:r>
      <w:r w:rsidR="00B444FC">
        <w:t xml:space="preserve">, con 1.495€. Completan </w:t>
      </w:r>
      <w:r w:rsidR="00F55AA1">
        <w:t xml:space="preserve">la lista de lugares más caros para vivir de alquiler </w:t>
      </w:r>
      <w:r w:rsidR="00F55AA1" w:rsidRPr="004A4633">
        <w:rPr>
          <w:b/>
        </w:rPr>
        <w:t>Guipúzcoa</w:t>
      </w:r>
      <w:r w:rsidR="00F55AA1">
        <w:t xml:space="preserve"> (1.430€), </w:t>
      </w:r>
      <w:r w:rsidR="00F55AA1" w:rsidRPr="004A4633">
        <w:rPr>
          <w:b/>
        </w:rPr>
        <w:t>Vizcaya</w:t>
      </w:r>
      <w:r w:rsidR="00F55AA1">
        <w:t xml:space="preserve"> (1.232€), </w:t>
      </w:r>
      <w:r w:rsidR="00F55AA1" w:rsidRPr="004A4633">
        <w:rPr>
          <w:b/>
        </w:rPr>
        <w:t>Málaga</w:t>
      </w:r>
      <w:r w:rsidR="00F55AA1">
        <w:t xml:space="preserve"> (1.191€), </w:t>
      </w:r>
      <w:r w:rsidR="006C5F1E" w:rsidRPr="004A4633">
        <w:rPr>
          <w:b/>
        </w:rPr>
        <w:t>Las Palmas</w:t>
      </w:r>
      <w:r w:rsidR="006C5F1E">
        <w:t xml:space="preserve"> (1.070€), </w:t>
      </w:r>
      <w:r w:rsidR="006C5F1E" w:rsidRPr="004A4633">
        <w:rPr>
          <w:b/>
        </w:rPr>
        <w:t>Valencia</w:t>
      </w:r>
      <w:r w:rsidR="006C5F1E">
        <w:t xml:space="preserve"> (1.044€) y </w:t>
      </w:r>
      <w:r w:rsidR="006C5F1E" w:rsidRPr="004A4633">
        <w:rPr>
          <w:b/>
        </w:rPr>
        <w:t>Santa Cruz de Tenerife</w:t>
      </w:r>
      <w:r w:rsidR="006C5F1E">
        <w:t xml:space="preserve"> (1.031€). </w:t>
      </w:r>
    </w:p>
    <w:p w14:paraId="22972EDD" w14:textId="77777777" w:rsidR="0017309C" w:rsidRDefault="0017309C" w:rsidP="007421CF">
      <w:pPr>
        <w:jc w:val="both"/>
        <w:rPr>
          <w:noProof/>
        </w:rPr>
      </w:pPr>
    </w:p>
    <w:p w14:paraId="609AA8B5" w14:textId="77777777" w:rsidR="0017309C" w:rsidRDefault="0017309C" w:rsidP="007421CF">
      <w:pPr>
        <w:jc w:val="both"/>
        <w:rPr>
          <w:noProof/>
        </w:rPr>
      </w:pPr>
    </w:p>
    <w:p w14:paraId="491D3E7B" w14:textId="77777777" w:rsidR="0017309C" w:rsidRDefault="0017309C" w:rsidP="007421CF">
      <w:pPr>
        <w:jc w:val="both"/>
        <w:rPr>
          <w:noProof/>
        </w:rPr>
      </w:pPr>
    </w:p>
    <w:p w14:paraId="5E0BB845" w14:textId="77777777" w:rsidR="0017309C" w:rsidRDefault="0017309C" w:rsidP="007421CF">
      <w:pPr>
        <w:jc w:val="both"/>
        <w:rPr>
          <w:noProof/>
        </w:rPr>
      </w:pPr>
    </w:p>
    <w:p w14:paraId="29E173CB" w14:textId="77777777" w:rsidR="0017309C" w:rsidRDefault="0017309C" w:rsidP="007421CF">
      <w:pPr>
        <w:jc w:val="both"/>
        <w:rPr>
          <w:noProof/>
        </w:rPr>
      </w:pPr>
    </w:p>
    <w:p w14:paraId="05C78D66" w14:textId="77777777" w:rsidR="0017309C" w:rsidRDefault="0017309C" w:rsidP="007421CF">
      <w:pPr>
        <w:jc w:val="both"/>
        <w:rPr>
          <w:noProof/>
        </w:rPr>
      </w:pPr>
    </w:p>
    <w:p w14:paraId="28FF30A9" w14:textId="77777777" w:rsidR="0017309C" w:rsidRDefault="0017309C" w:rsidP="007421CF">
      <w:pPr>
        <w:jc w:val="both"/>
        <w:rPr>
          <w:noProof/>
        </w:rPr>
      </w:pPr>
    </w:p>
    <w:p w14:paraId="07DF4A73" w14:textId="6ADDCADC" w:rsidR="0017309C" w:rsidRPr="0017309C" w:rsidRDefault="0017309C" w:rsidP="0017309C">
      <w:pPr>
        <w:jc w:val="center"/>
        <w:rPr>
          <w:b/>
          <w:bCs/>
          <w:noProof/>
        </w:rPr>
      </w:pPr>
      <w:r w:rsidRPr="0017309C">
        <w:rPr>
          <w:b/>
          <w:bCs/>
          <w:noProof/>
        </w:rPr>
        <w:lastRenderedPageBreak/>
        <w:t>Pr</w:t>
      </w:r>
      <w:r>
        <w:rPr>
          <w:b/>
          <w:bCs/>
          <w:noProof/>
        </w:rPr>
        <w:t>ovincias por pr</w:t>
      </w:r>
      <w:r w:rsidRPr="0017309C">
        <w:rPr>
          <w:b/>
          <w:bCs/>
          <w:noProof/>
        </w:rPr>
        <w:t>ecio medio del alquiler en 2024</w:t>
      </w:r>
    </w:p>
    <w:p w14:paraId="1DF8A99B" w14:textId="430B6D68" w:rsidR="00EB7C16" w:rsidRDefault="00426F6F" w:rsidP="007421CF">
      <w:pPr>
        <w:jc w:val="both"/>
        <w:rPr>
          <w:b/>
          <w:color w:val="FF5A00"/>
        </w:rPr>
      </w:pPr>
      <w:r w:rsidRPr="00063C97">
        <w:rPr>
          <w:noProof/>
        </w:rPr>
        <w:drawing>
          <wp:inline distT="0" distB="0" distL="0" distR="0" wp14:anchorId="17ACA85D" wp14:editId="6B7E068F">
            <wp:extent cx="5400040" cy="3810635"/>
            <wp:effectExtent l="0" t="0" r="0" b="0"/>
            <wp:docPr id="1770626870" name="Imagen 10"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26870" name="Imagen 10" descr="Mapa&#10;&#10;Descripción generada automá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580"/>
                    <a:stretch/>
                  </pic:blipFill>
                  <pic:spPr bwMode="auto">
                    <a:xfrm>
                      <a:off x="0" y="0"/>
                      <a:ext cx="5400040" cy="3810635"/>
                    </a:xfrm>
                    <a:prstGeom prst="rect">
                      <a:avLst/>
                    </a:prstGeom>
                    <a:noFill/>
                    <a:ln>
                      <a:noFill/>
                    </a:ln>
                    <a:extLst>
                      <a:ext uri="{53640926-AAD7-44D8-BBD7-CCE9431645EC}">
                        <a14:shadowObscured xmlns:a14="http://schemas.microsoft.com/office/drawing/2010/main"/>
                      </a:ext>
                    </a:extLst>
                  </pic:spPr>
                </pic:pic>
              </a:graphicData>
            </a:graphic>
          </wp:inline>
        </w:drawing>
      </w:r>
    </w:p>
    <w:p w14:paraId="01B52BB2" w14:textId="041B19A5" w:rsidR="00EB7C16" w:rsidRDefault="00426F6F" w:rsidP="007421CF">
      <w:pPr>
        <w:jc w:val="both"/>
        <w:rPr>
          <w:b/>
          <w:color w:val="FF5A00"/>
        </w:rPr>
      </w:pPr>
      <w:r>
        <w:rPr>
          <w:b/>
          <w:color w:val="FF5A00"/>
        </w:rPr>
        <w:t>LAS ZONAS CON MERCADOS EQUILIBRADOS</w:t>
      </w:r>
    </w:p>
    <w:p w14:paraId="4DB7B8E8" w14:textId="64846E5B" w:rsidR="00426F6F" w:rsidRPr="007B4A90" w:rsidRDefault="00426F6F" w:rsidP="007421CF">
      <w:pPr>
        <w:jc w:val="both"/>
      </w:pPr>
      <w:r w:rsidRPr="00426F6F">
        <w:t xml:space="preserve">Pese a las crecientes dificultades que encuentran las familias y los jóvenes para acceder a una vivienda en alquiler, </w:t>
      </w:r>
      <w:r w:rsidRPr="00ED0D42">
        <w:rPr>
          <w:b/>
        </w:rPr>
        <w:t>el mercado español es muy heterogéneo</w:t>
      </w:r>
      <w:r w:rsidRPr="00426F6F">
        <w:t>, con zonas donde la presión se mantiene en niveles equilibrados y los precios son todavía asequibles.</w:t>
      </w:r>
      <w:r w:rsidR="00A11F92">
        <w:t xml:space="preserve">                                                                                                                                                                                                                                                                                                                                                                                                                                                                                                                                                                                                                                                                                                                                                                                                                                                                                                                                                                                                                                                                                                                                                                                                                                                                                                                                                                                                                                                                                                                                                                                                                                                                                                                                                                                                                                                                                                                                                                                                                                                                                                                                                                                                                                                                                                                                                                                                                                                                                                                                                                                                                                                                                                                                                                                                                                                                                                                                                                                                                                                                                                                                                                                                                                                                                                                                                                                                                                                                                                                                                                                                                                                                                           </w:t>
      </w:r>
    </w:p>
    <w:p w14:paraId="043C4691" w14:textId="71926D36" w:rsidR="00AE1FD4" w:rsidRDefault="00AE1C88" w:rsidP="00AE1C88">
      <w:pPr>
        <w:jc w:val="both"/>
      </w:pPr>
      <w:r>
        <w:t>En l</w:t>
      </w:r>
      <w:r w:rsidR="002F6015">
        <w:t xml:space="preserve">a mayoría de </w:t>
      </w:r>
      <w:proofErr w:type="gramStart"/>
      <w:r w:rsidR="002F6015">
        <w:t>provincias</w:t>
      </w:r>
      <w:proofErr w:type="gramEnd"/>
      <w:r w:rsidR="002F6015">
        <w:t xml:space="preserve"> del interior, de </w:t>
      </w:r>
      <w:r w:rsidR="002F6015" w:rsidRPr="00ED0D42">
        <w:rPr>
          <w:b/>
        </w:rPr>
        <w:t xml:space="preserve">comunidades autónomas como Castilla y León, Castilla-La Mancha, </w:t>
      </w:r>
      <w:r w:rsidR="000F3B52" w:rsidRPr="00ED0D42">
        <w:rPr>
          <w:b/>
        </w:rPr>
        <w:t>Extremadura, Aragón y La Rioja</w:t>
      </w:r>
      <w:r w:rsidR="00ED0D42">
        <w:t xml:space="preserve">, </w:t>
      </w:r>
      <w:r w:rsidR="000A1921">
        <w:t xml:space="preserve">la presión del alquiler se encuentra equilibrada, </w:t>
      </w:r>
      <w:r w:rsidR="00A1503F">
        <w:t>con una media de interesados por vivienda que oscila entre los 10 y los 15</w:t>
      </w:r>
      <w:r w:rsidR="00AE1FD4">
        <w:t>, lo que apunta a un mercado en el que la oferta y la demanda se encuentran equilibradas.</w:t>
      </w:r>
    </w:p>
    <w:p w14:paraId="3FA1B350" w14:textId="3660708D" w:rsidR="00AE1FD4" w:rsidRDefault="00240C6E" w:rsidP="00AE1C88">
      <w:pPr>
        <w:jc w:val="both"/>
      </w:pPr>
      <w:r>
        <w:t xml:space="preserve">Las provincias con los niveles más bajos de presión son </w:t>
      </w:r>
      <w:r w:rsidRPr="007F0709">
        <w:rPr>
          <w:b/>
        </w:rPr>
        <w:t>Badajoz</w:t>
      </w:r>
      <w:r>
        <w:t xml:space="preserve"> (8 interesados por vivienda), </w:t>
      </w:r>
      <w:r w:rsidRPr="007F0709">
        <w:rPr>
          <w:b/>
        </w:rPr>
        <w:t>Teruel</w:t>
      </w:r>
      <w:r>
        <w:t xml:space="preserve"> (8)</w:t>
      </w:r>
      <w:r w:rsidR="000043F4">
        <w:t xml:space="preserve">, </w:t>
      </w:r>
      <w:r w:rsidR="000043F4" w:rsidRPr="007F0709">
        <w:rPr>
          <w:b/>
        </w:rPr>
        <w:t>Cáceres</w:t>
      </w:r>
      <w:r w:rsidR="000043F4">
        <w:t xml:space="preserve"> (10), </w:t>
      </w:r>
      <w:r w:rsidR="000043F4" w:rsidRPr="007F0709">
        <w:rPr>
          <w:b/>
        </w:rPr>
        <w:t>Huesca</w:t>
      </w:r>
      <w:r w:rsidR="000043F4">
        <w:t xml:space="preserve"> (10), </w:t>
      </w:r>
      <w:r w:rsidR="000043F4" w:rsidRPr="007F0709">
        <w:rPr>
          <w:b/>
        </w:rPr>
        <w:t>Jaén</w:t>
      </w:r>
      <w:r w:rsidR="000043F4">
        <w:t xml:space="preserve"> (10), </w:t>
      </w:r>
      <w:r w:rsidR="000043F4" w:rsidRPr="007F0709">
        <w:rPr>
          <w:b/>
        </w:rPr>
        <w:t>Lugo</w:t>
      </w:r>
      <w:r w:rsidR="000043F4">
        <w:t xml:space="preserve"> (10)</w:t>
      </w:r>
      <w:r w:rsidR="00256AE7">
        <w:t xml:space="preserve">, </w:t>
      </w:r>
      <w:r w:rsidR="00256AE7" w:rsidRPr="007F0709">
        <w:rPr>
          <w:b/>
        </w:rPr>
        <w:t>Melilla</w:t>
      </w:r>
      <w:r w:rsidR="00256AE7">
        <w:t xml:space="preserve"> (10), </w:t>
      </w:r>
      <w:r w:rsidR="00256AE7" w:rsidRPr="007F0709">
        <w:rPr>
          <w:b/>
        </w:rPr>
        <w:t>Palencia</w:t>
      </w:r>
      <w:r w:rsidR="00256AE7">
        <w:t xml:space="preserve"> (11), </w:t>
      </w:r>
      <w:r w:rsidR="00256AE7" w:rsidRPr="007F0709">
        <w:rPr>
          <w:b/>
        </w:rPr>
        <w:t>Ourense</w:t>
      </w:r>
      <w:r w:rsidR="00256AE7">
        <w:t xml:space="preserve"> (11) y </w:t>
      </w:r>
      <w:r w:rsidR="00256AE7" w:rsidRPr="007F0709">
        <w:rPr>
          <w:b/>
        </w:rPr>
        <w:t>Zamora</w:t>
      </w:r>
      <w:r w:rsidR="00256AE7">
        <w:t xml:space="preserve"> (11).</w:t>
      </w:r>
      <w:r w:rsidR="000C5A5D">
        <w:t xml:space="preserve"> Algunas excepciones en estas regiones son </w:t>
      </w:r>
      <w:r w:rsidR="00564CE5" w:rsidRPr="007F0709">
        <w:rPr>
          <w:b/>
        </w:rPr>
        <w:t>Guadalajara</w:t>
      </w:r>
      <w:r w:rsidR="00564CE5">
        <w:t xml:space="preserve"> (69) o </w:t>
      </w:r>
      <w:r w:rsidR="00564CE5" w:rsidRPr="007F0709">
        <w:rPr>
          <w:b/>
        </w:rPr>
        <w:t>Zaragoza</w:t>
      </w:r>
      <w:r w:rsidR="00564CE5">
        <w:t xml:space="preserve"> (55), que despuntan por encima de sus provincias vecinas. </w:t>
      </w:r>
    </w:p>
    <w:p w14:paraId="68DB6DD6" w14:textId="6DD3BD64" w:rsidR="009325F2" w:rsidRDefault="00256AE7" w:rsidP="00FE3B7D">
      <w:pPr>
        <w:jc w:val="both"/>
      </w:pPr>
      <w:r>
        <w:t xml:space="preserve">En cuanto a los precios, </w:t>
      </w:r>
      <w:r w:rsidR="000C5A5D">
        <w:t>por lo general e</w:t>
      </w:r>
      <w:r w:rsidR="00564CE5">
        <w:t xml:space="preserve">n estas zonas se mantienen más bajos y accesibles, muy lejos de los valores prohibitivos de otros lugares. Las provincias más baratas son </w:t>
      </w:r>
      <w:r w:rsidR="00564CE5" w:rsidRPr="007F0709">
        <w:rPr>
          <w:b/>
        </w:rPr>
        <w:t>Teruel</w:t>
      </w:r>
      <w:r w:rsidR="00564CE5">
        <w:t xml:space="preserve"> (484€), </w:t>
      </w:r>
      <w:r w:rsidR="00894B0A" w:rsidRPr="007513E7">
        <w:rPr>
          <w:b/>
        </w:rPr>
        <w:t>Ciudad Real</w:t>
      </w:r>
      <w:r w:rsidR="00894B0A">
        <w:t xml:space="preserve"> (496€), </w:t>
      </w:r>
      <w:r w:rsidR="00894B0A" w:rsidRPr="007513E7">
        <w:rPr>
          <w:b/>
        </w:rPr>
        <w:t>Zamora</w:t>
      </w:r>
      <w:r w:rsidR="00894B0A">
        <w:t xml:space="preserve"> (520€), </w:t>
      </w:r>
      <w:r w:rsidR="00292593" w:rsidRPr="007513E7">
        <w:rPr>
          <w:b/>
        </w:rPr>
        <w:t>Palencia</w:t>
      </w:r>
      <w:r w:rsidR="00292593">
        <w:t xml:space="preserve"> (521€), </w:t>
      </w:r>
      <w:r w:rsidR="00292593" w:rsidRPr="007513E7">
        <w:rPr>
          <w:b/>
        </w:rPr>
        <w:t>Jaén</w:t>
      </w:r>
      <w:r w:rsidR="00292593">
        <w:t xml:space="preserve"> (540€), </w:t>
      </w:r>
      <w:r w:rsidR="00292593" w:rsidRPr="007513E7">
        <w:rPr>
          <w:b/>
        </w:rPr>
        <w:t>Lugo</w:t>
      </w:r>
      <w:r w:rsidR="00292593">
        <w:t xml:space="preserve"> (543€) o </w:t>
      </w:r>
      <w:r w:rsidR="00292593" w:rsidRPr="007513E7">
        <w:rPr>
          <w:b/>
        </w:rPr>
        <w:t>Badajoz</w:t>
      </w:r>
      <w:r w:rsidR="00292593">
        <w:t xml:space="preserve"> (</w:t>
      </w:r>
      <w:r w:rsidR="00235CBF">
        <w:t xml:space="preserve">550€). </w:t>
      </w:r>
      <w:r w:rsidR="00235CBF" w:rsidRPr="007513E7">
        <w:rPr>
          <w:b/>
        </w:rPr>
        <w:t>Una excepción es Segovia</w:t>
      </w:r>
      <w:r w:rsidR="00235CBF">
        <w:t xml:space="preserve">, donde el precio medio del alquiler asciende a los </w:t>
      </w:r>
      <w:r w:rsidR="00C52F17">
        <w:t>873€.</w:t>
      </w:r>
    </w:p>
    <w:p w14:paraId="35C9073B" w14:textId="77777777" w:rsidR="00481932" w:rsidRPr="00481932" w:rsidRDefault="00481932" w:rsidP="008B27C4">
      <w:pPr>
        <w:jc w:val="both"/>
      </w:pPr>
    </w:p>
    <w:p w14:paraId="790F807C" w14:textId="77777777" w:rsidR="00EB64F5" w:rsidRPr="00AC1A9D" w:rsidRDefault="00EB64F5" w:rsidP="00EB64F5">
      <w:pPr>
        <w:pBdr>
          <w:top w:val="single" w:sz="4" w:space="1" w:color="FF5A00"/>
        </w:pBdr>
        <w:jc w:val="both"/>
        <w:rPr>
          <w:rFonts w:ascii="Gill Sans Nova Light" w:hAnsi="Gill Sans Nova Light" w:cs="Arial"/>
          <w:color w:val="FF5A00"/>
          <w:sz w:val="20"/>
        </w:rPr>
      </w:pPr>
      <w:bookmarkStart w:id="0" w:name="_Hlk113896170"/>
      <w:r w:rsidRPr="00AC6AC9">
        <w:rPr>
          <w:rFonts w:ascii="Gill Sans Nova Light" w:hAnsi="Gill Sans Nova Light" w:cs="Arial"/>
          <w:sz w:val="20"/>
        </w:rPr>
        <w:t>Acerca de la</w:t>
      </w:r>
      <w:r w:rsidRPr="00AC6AC9">
        <w:rPr>
          <w:rFonts w:ascii="Gill Sans Nova Light" w:hAnsi="Gill Sans Nova Light" w:cs="Arial"/>
          <w:b/>
          <w:color w:val="1E6BAF"/>
          <w:sz w:val="20"/>
        </w:rPr>
        <w:t xml:space="preserve"> </w:t>
      </w:r>
      <w:r w:rsidRPr="00AC6AC9">
        <w:rPr>
          <w:rFonts w:ascii="Gill Sans Nova Light" w:hAnsi="Gill Sans Nova Light" w:cs="Arial"/>
          <w:b/>
          <w:color w:val="FF5A00"/>
          <w:sz w:val="20"/>
        </w:rPr>
        <w:t>Fundación Alquiler Seguro</w:t>
      </w:r>
      <w:r w:rsidRPr="00AC6AC9">
        <w:rPr>
          <w:rFonts w:ascii="Gill Sans Nova Light" w:hAnsi="Gill Sans Nova Light" w:cs="Arial"/>
          <w:sz w:val="20"/>
        </w:rPr>
        <w:t xml:space="preserve"> | </w:t>
      </w:r>
      <w:hyperlink r:id="rId15" w:history="1">
        <w:r w:rsidRPr="00AC1A9D">
          <w:rPr>
            <w:rStyle w:val="Hipervnculo"/>
            <w:rFonts w:ascii="Gill Sans Nova Light" w:hAnsi="Gill Sans Nova Light" w:cs="Arial"/>
            <w:color w:val="FF5A00"/>
            <w:sz w:val="20"/>
          </w:rPr>
          <w:t>fundacionalquilerseguro.org</w:t>
        </w:r>
      </w:hyperlink>
    </w:p>
    <w:p w14:paraId="62C10A75" w14:textId="77777777" w:rsidR="00EB64F5" w:rsidRPr="00AC1A9D" w:rsidRDefault="00EB64F5" w:rsidP="00EB64F5">
      <w:pPr>
        <w:pBdr>
          <w:top w:val="single" w:sz="4" w:space="1" w:color="FF5A00"/>
        </w:pBdr>
        <w:jc w:val="both"/>
        <w:rPr>
          <w:rFonts w:ascii="Gilroy-Regular" w:hAnsi="Gilroy-Regular" w:cs="Arial"/>
          <w:color w:val="000000"/>
          <w:sz w:val="18"/>
          <w:szCs w:val="18"/>
        </w:rPr>
      </w:pPr>
      <w:bookmarkStart w:id="1" w:name="_Hlk114649558"/>
      <w:bookmarkEnd w:id="0"/>
      <w:r w:rsidRPr="00AC1A9D">
        <w:rPr>
          <w:rFonts w:ascii="Gilroy-Regular" w:hAnsi="Gilroy-Regular" w:cs="Arial"/>
          <w:color w:val="000000"/>
          <w:sz w:val="18"/>
          <w:szCs w:val="18"/>
        </w:rPr>
        <w:t xml:space="preserve">El </w:t>
      </w:r>
      <w:r w:rsidRPr="00AC1A9D">
        <w:rPr>
          <w:rFonts w:ascii="Gilroy-Regular" w:hAnsi="Gilroy-Regular" w:cs="Arial"/>
          <w:color w:val="FF5A00"/>
          <w:sz w:val="18"/>
          <w:szCs w:val="18"/>
        </w:rPr>
        <w:t xml:space="preserve">Departamento de Estudios de la Fundación Alquiler Seguro </w:t>
      </w:r>
      <w:r w:rsidRPr="00AC1A9D">
        <w:rPr>
          <w:rFonts w:ascii="Gilroy-Regular" w:hAnsi="Gilroy-Regular" w:cs="Arial"/>
          <w:color w:val="000000"/>
          <w:sz w:val="18"/>
          <w:szCs w:val="18"/>
        </w:rPr>
        <w:t xml:space="preserve">cuenta con un profundo conocimiento </w:t>
      </w:r>
      <w:r>
        <w:rPr>
          <w:rFonts w:ascii="Gilroy-Regular" w:hAnsi="Gilroy-Regular" w:cs="Arial"/>
          <w:color w:val="000000"/>
          <w:sz w:val="18"/>
          <w:szCs w:val="18"/>
        </w:rPr>
        <w:t>en</w:t>
      </w:r>
      <w:r w:rsidRPr="00AC1A9D">
        <w:rPr>
          <w:rFonts w:ascii="Gilroy-Regular" w:hAnsi="Gilroy-Regular" w:cs="Arial"/>
          <w:color w:val="000000"/>
          <w:sz w:val="18"/>
          <w:szCs w:val="18"/>
        </w:rPr>
        <w:t xml:space="preserve"> el sector de los arrendamientos. Su principal objetivo es facilitar información y dotar de transparencia a un mercado tradicionalmente opaco para promover su desarrollo y profesionalización. La dilatada experiencia de Alquiler Seguro en el sector</w:t>
      </w:r>
      <w:r>
        <w:rPr>
          <w:rFonts w:ascii="Gilroy-Regular" w:hAnsi="Gilroy-Regular" w:cs="Arial"/>
          <w:color w:val="000000"/>
          <w:sz w:val="18"/>
          <w:szCs w:val="18"/>
        </w:rPr>
        <w:t>,</w:t>
      </w:r>
      <w:r w:rsidRPr="00AC1A9D">
        <w:rPr>
          <w:rFonts w:ascii="Gilroy-Regular" w:hAnsi="Gilroy-Regular" w:cs="Arial"/>
          <w:color w:val="000000"/>
          <w:sz w:val="18"/>
          <w:szCs w:val="18"/>
        </w:rPr>
        <w:t xml:space="preserve"> sumado a la consulta y análisis de datos propios y de fuentes externas, son las bases de los estudios del Departamento </w:t>
      </w:r>
      <w:proofErr w:type="gramStart"/>
      <w:r w:rsidRPr="00AC1A9D">
        <w:rPr>
          <w:rFonts w:ascii="Gilroy-Regular" w:hAnsi="Gilroy-Regular" w:cs="Arial"/>
          <w:color w:val="000000"/>
          <w:sz w:val="18"/>
          <w:szCs w:val="18"/>
        </w:rPr>
        <w:t>que</w:t>
      </w:r>
      <w:proofErr w:type="gramEnd"/>
      <w:r w:rsidRPr="00AC1A9D">
        <w:rPr>
          <w:rFonts w:ascii="Gilroy-Regular" w:hAnsi="Gilroy-Regular" w:cs="Arial"/>
          <w:color w:val="000000"/>
          <w:sz w:val="18"/>
          <w:szCs w:val="18"/>
        </w:rPr>
        <w:t xml:space="preserve"> de forma periódica</w:t>
      </w:r>
      <w:r>
        <w:rPr>
          <w:rFonts w:ascii="Gilroy-Regular" w:hAnsi="Gilroy-Regular" w:cs="Arial"/>
          <w:color w:val="000000"/>
          <w:sz w:val="18"/>
          <w:szCs w:val="18"/>
        </w:rPr>
        <w:t>,</w:t>
      </w:r>
      <w:r w:rsidRPr="00AC1A9D">
        <w:rPr>
          <w:rFonts w:ascii="Gilroy-Regular" w:hAnsi="Gilroy-Regular" w:cs="Arial"/>
          <w:color w:val="000000"/>
          <w:sz w:val="18"/>
          <w:szCs w:val="18"/>
        </w:rPr>
        <w:t xml:space="preserve"> publica documentos de interés para su consulta.</w:t>
      </w:r>
    </w:p>
    <w:bookmarkEnd w:id="1"/>
    <w:p w14:paraId="773CF853" w14:textId="31FAC066" w:rsidR="00EB64F5" w:rsidRDefault="00EB64F5" w:rsidP="004F1B47">
      <w:pPr>
        <w:pBdr>
          <w:top w:val="single" w:sz="4" w:space="1" w:color="FF5A00"/>
        </w:pBdr>
        <w:jc w:val="both"/>
        <w:rPr>
          <w:rFonts w:ascii="Gilroy-Regular" w:hAnsi="Gilroy-Regular" w:cs="Arial"/>
          <w:color w:val="000000"/>
          <w:sz w:val="18"/>
          <w:szCs w:val="18"/>
        </w:rPr>
      </w:pPr>
      <w:r w:rsidRPr="00AC1A9D">
        <w:rPr>
          <w:rFonts w:ascii="Gilroy-Regular" w:hAnsi="Gilroy-Regular" w:cs="Arial"/>
          <w:color w:val="FF5A00"/>
          <w:sz w:val="18"/>
          <w:szCs w:val="18"/>
        </w:rPr>
        <w:t xml:space="preserve">Fundación Alquiler Seguro </w:t>
      </w:r>
      <w:r w:rsidRPr="00AC1A9D">
        <w:rPr>
          <w:rFonts w:ascii="Gilroy-Regular" w:hAnsi="Gilroy-Regular" w:cs="Arial"/>
          <w:color w:val="000000"/>
          <w:sz w:val="18"/>
          <w:szCs w:val="18"/>
        </w:rPr>
        <w:t>tiene como objetivo integrar y gestionar todos los esfuerzos solidarios que Alquiler Seguro Grupo lleva realizando desde sus comienzos con especial sensibilidad en las soluciones habitacionales para personas en riesgo de exclusión social.</w:t>
      </w:r>
    </w:p>
    <w:p w14:paraId="4A454446" w14:textId="22CAF5C8" w:rsidR="00342807" w:rsidRDefault="00342807" w:rsidP="00342807">
      <w:pPr>
        <w:shd w:val="clear" w:color="auto" w:fill="FFFFFF"/>
        <w:spacing w:after="225" w:line="240" w:lineRule="auto"/>
        <w:jc w:val="right"/>
        <w:rPr>
          <w:rFonts w:ascii="Gilroy" w:eastAsia="Times New Roman" w:hAnsi="Gilroy" w:cs="Arial"/>
          <w:b/>
          <w:bCs/>
          <w:color w:val="A4A3A3"/>
          <w:sz w:val="28"/>
          <w:szCs w:val="32"/>
          <w:lang w:eastAsia="es-ES"/>
        </w:rPr>
      </w:pPr>
      <w:r>
        <w:rPr>
          <w:rFonts w:ascii="Gilroy" w:eastAsia="Times New Roman" w:hAnsi="Gilroy" w:cs="Arial"/>
          <w:b/>
          <w:bCs/>
          <w:color w:val="A4A3A3"/>
          <w:sz w:val="28"/>
          <w:szCs w:val="32"/>
          <w:lang w:eastAsia="es-ES"/>
        </w:rPr>
        <w:t>DEPARTAMENTO DE COMUNICACIÓN</w:t>
      </w:r>
    </w:p>
    <w:p w14:paraId="5E59166E" w14:textId="77777777" w:rsidR="00342807" w:rsidRDefault="00342807" w:rsidP="0034280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Gerardo Neistat 650 954 488</w:t>
      </w:r>
    </w:p>
    <w:p w14:paraId="1ABE7479" w14:textId="77777777" w:rsidR="00342807" w:rsidRDefault="00342807" w:rsidP="0034280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Jorge Matute 606 358 732</w:t>
      </w:r>
    </w:p>
    <w:p w14:paraId="594C9F02" w14:textId="60851D50" w:rsidR="00342807" w:rsidRDefault="00342807" w:rsidP="004F1B4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 xml:space="preserve">Lucas Tarancón </w:t>
      </w:r>
      <w:r w:rsidR="00CF4D7F">
        <w:rPr>
          <w:rFonts w:ascii="Gilroy" w:eastAsia="Times New Roman" w:hAnsi="Gilroy" w:cs="Arial"/>
          <w:color w:val="A4A3A3"/>
          <w:sz w:val="28"/>
          <w:szCs w:val="32"/>
          <w:lang w:eastAsia="es-ES"/>
        </w:rPr>
        <w:t xml:space="preserve">658 </w:t>
      </w:r>
      <w:r w:rsidR="00143687">
        <w:rPr>
          <w:rFonts w:ascii="Gilroy" w:eastAsia="Times New Roman" w:hAnsi="Gilroy" w:cs="Arial"/>
          <w:color w:val="A4A3A3"/>
          <w:sz w:val="28"/>
          <w:szCs w:val="32"/>
          <w:lang w:eastAsia="es-ES"/>
        </w:rPr>
        <w:t>157 488</w:t>
      </w:r>
    </w:p>
    <w:p w14:paraId="471967AD" w14:textId="441C0FD7" w:rsidR="002B6644" w:rsidRDefault="002B6644" w:rsidP="004F1B47">
      <w:pPr>
        <w:shd w:val="clear" w:color="auto" w:fill="FFFFFF"/>
        <w:spacing w:after="0" w:line="240" w:lineRule="auto"/>
        <w:jc w:val="right"/>
        <w:rPr>
          <w:rFonts w:ascii="Gilroy" w:eastAsia="Times New Roman" w:hAnsi="Gilroy" w:cs="Arial"/>
          <w:color w:val="A4A3A3"/>
          <w:sz w:val="28"/>
          <w:szCs w:val="32"/>
          <w:lang w:eastAsia="es-ES"/>
        </w:rPr>
      </w:pPr>
      <w:r>
        <w:rPr>
          <w:rFonts w:ascii="Gilroy" w:eastAsia="Times New Roman" w:hAnsi="Gilroy" w:cs="Arial"/>
          <w:color w:val="A4A3A3"/>
          <w:sz w:val="28"/>
          <w:szCs w:val="32"/>
          <w:lang w:eastAsia="es-ES"/>
        </w:rPr>
        <w:t xml:space="preserve">Virginia Carrasco </w:t>
      </w:r>
      <w:r w:rsidR="000A2B14">
        <w:rPr>
          <w:rFonts w:ascii="Gilroy" w:eastAsia="Times New Roman" w:hAnsi="Gilroy" w:cs="Arial"/>
          <w:color w:val="A4A3A3"/>
          <w:sz w:val="28"/>
          <w:szCs w:val="32"/>
          <w:lang w:eastAsia="es-ES"/>
        </w:rPr>
        <w:t>651 518 997</w:t>
      </w:r>
    </w:p>
    <w:p w14:paraId="05C772DF" w14:textId="77777777" w:rsidR="004F1B47" w:rsidRDefault="004F1B47" w:rsidP="004F1B47">
      <w:pPr>
        <w:shd w:val="clear" w:color="auto" w:fill="FFFFFF"/>
        <w:spacing w:after="0" w:line="240" w:lineRule="auto"/>
        <w:jc w:val="right"/>
        <w:rPr>
          <w:rFonts w:ascii="Gilroy" w:eastAsia="Times New Roman" w:hAnsi="Gilroy" w:cs="Arial"/>
          <w:color w:val="A4A3A3"/>
          <w:sz w:val="28"/>
          <w:szCs w:val="32"/>
          <w:lang w:eastAsia="es-ES"/>
        </w:rPr>
      </w:pPr>
    </w:p>
    <w:p w14:paraId="5DB38013" w14:textId="338E0500" w:rsidR="00AA5C00" w:rsidRPr="004F1B47" w:rsidRDefault="002E0516" w:rsidP="004F1B47">
      <w:pPr>
        <w:shd w:val="clear" w:color="auto" w:fill="FFFFFF"/>
        <w:spacing w:after="225" w:line="240" w:lineRule="auto"/>
        <w:jc w:val="right"/>
        <w:rPr>
          <w:rFonts w:ascii="Gilroy Bold" w:hAnsi="Gilroy Bold"/>
          <w:color w:val="FF5100"/>
          <w:sz w:val="36"/>
          <w:szCs w:val="36"/>
        </w:rPr>
      </w:pPr>
      <w:r>
        <w:rPr>
          <w:rFonts w:ascii="Gilroy" w:eastAsia="Times New Roman" w:hAnsi="Gilroy" w:cs="Arial"/>
          <w:color w:val="A4A3A3"/>
          <w:sz w:val="28"/>
          <w:szCs w:val="32"/>
          <w:lang w:eastAsia="es-ES"/>
        </w:rPr>
        <w:t>noticias</w:t>
      </w:r>
      <w:r w:rsidR="00342807" w:rsidRPr="004F1B47">
        <w:rPr>
          <w:rFonts w:ascii="Gilroy" w:eastAsia="Times New Roman" w:hAnsi="Gilroy" w:cs="Arial"/>
          <w:color w:val="A4A3A3"/>
          <w:sz w:val="28"/>
          <w:szCs w:val="32"/>
          <w:lang w:eastAsia="es-ES"/>
        </w:rPr>
        <w:t>@</w:t>
      </w:r>
      <w:r>
        <w:rPr>
          <w:rFonts w:ascii="Gilroy" w:eastAsia="Times New Roman" w:hAnsi="Gilroy" w:cs="Arial"/>
          <w:color w:val="A4A3A3"/>
          <w:sz w:val="28"/>
          <w:szCs w:val="32"/>
          <w:lang w:eastAsia="es-ES"/>
        </w:rPr>
        <w:t>fundacion</w:t>
      </w:r>
      <w:r w:rsidR="00342807" w:rsidRPr="004F1B47">
        <w:rPr>
          <w:rFonts w:ascii="Gilroy" w:eastAsia="Times New Roman" w:hAnsi="Gilroy" w:cs="Arial"/>
          <w:color w:val="A4A3A3"/>
          <w:sz w:val="28"/>
          <w:szCs w:val="32"/>
          <w:lang w:eastAsia="es-ES"/>
        </w:rPr>
        <w:t>alquilerseguro.es</w:t>
      </w:r>
    </w:p>
    <w:sectPr w:rsidR="00AA5C00" w:rsidRPr="004F1B47" w:rsidSect="006607C9">
      <w:headerReference w:type="default" r:id="rId16"/>
      <w:footerReference w:type="default" r:id="rId17"/>
      <w:pgSz w:w="11906" w:h="16838"/>
      <w:pgMar w:top="2694" w:right="1701" w:bottom="1417" w:left="1701"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D57D" w14:textId="77777777" w:rsidR="00F7411F" w:rsidRDefault="00F7411F" w:rsidP="0027186E">
      <w:pPr>
        <w:spacing w:after="0" w:line="240" w:lineRule="auto"/>
      </w:pPr>
      <w:r>
        <w:separator/>
      </w:r>
    </w:p>
  </w:endnote>
  <w:endnote w:type="continuationSeparator" w:id="0">
    <w:p w14:paraId="1632BC94" w14:textId="77777777" w:rsidR="00F7411F" w:rsidRDefault="00F7411F" w:rsidP="0027186E">
      <w:pPr>
        <w:spacing w:after="0" w:line="240" w:lineRule="auto"/>
      </w:pPr>
      <w:r>
        <w:continuationSeparator/>
      </w:r>
    </w:p>
  </w:endnote>
  <w:endnote w:type="continuationNotice" w:id="1">
    <w:p w14:paraId="4D0E3213" w14:textId="77777777" w:rsidR="00F7411F" w:rsidRDefault="00F74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Nova Light">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Gilroy-Regular">
    <w:altName w:val="Calibri"/>
    <w:charset w:val="00"/>
    <w:family w:val="auto"/>
    <w:pitch w:val="variable"/>
    <w:sig w:usb0="00000207" w:usb1="00000000" w:usb2="00000000" w:usb3="00000000" w:csb0="00000097" w:csb1="00000000"/>
  </w:font>
  <w:font w:name="Gilroy">
    <w:altName w:val="Calibri"/>
    <w:panose1 w:val="00000000000000000000"/>
    <w:charset w:val="00"/>
    <w:family w:val="modern"/>
    <w:notTrueType/>
    <w:pitch w:val="variable"/>
    <w:sig w:usb0="00000207" w:usb1="00000000" w:usb2="00000000" w:usb3="00000000" w:csb0="00000097" w:csb1="00000000"/>
  </w:font>
  <w:font w:name="Gilroy Bold">
    <w:altName w:val="Calibri"/>
    <w:panose1 w:val="00000000000000000000"/>
    <w:charset w:val="00"/>
    <w:family w:val="modern"/>
    <w:notTrueType/>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3"/>
      <w:gridCol w:w="222"/>
      <w:gridCol w:w="1566"/>
      <w:gridCol w:w="1461"/>
      <w:gridCol w:w="1608"/>
      <w:gridCol w:w="1417"/>
      <w:gridCol w:w="1355"/>
    </w:tblGrid>
    <w:tr w:rsidR="00C90E53" w14:paraId="2418BA68" w14:textId="77777777">
      <w:trPr>
        <w:jc w:val="center"/>
      </w:trPr>
      <w:tc>
        <w:tcPr>
          <w:tcW w:w="2153" w:type="dxa"/>
        </w:tcPr>
        <w:p w14:paraId="3277FB1D" w14:textId="77777777" w:rsidR="006607C9" w:rsidRDefault="006607C9" w:rsidP="006607C9">
          <w:pPr>
            <w:pStyle w:val="Piedepgina"/>
            <w:tabs>
              <w:tab w:val="clear" w:pos="4252"/>
              <w:tab w:val="clear" w:pos="8504"/>
              <w:tab w:val="right" w:pos="3579"/>
            </w:tabs>
            <w:rPr>
              <w:noProof/>
            </w:rPr>
          </w:pPr>
          <w:r>
            <w:rPr>
              <w:noProof/>
            </w:rPr>
            <w:drawing>
              <wp:inline distT="0" distB="0" distL="0" distR="0" wp14:anchorId="63B3DD5A" wp14:editId="063FC108">
                <wp:extent cx="956347" cy="420370"/>
                <wp:effectExtent l="0" t="0" r="0" b="0"/>
                <wp:docPr id="999781710" name="Imagen 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45542" name="Imagen 7"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62126" cy="422910"/>
                        </a:xfrm>
                        <a:prstGeom prst="rect">
                          <a:avLst/>
                        </a:prstGeom>
                      </pic:spPr>
                    </pic:pic>
                  </a:graphicData>
                </a:graphic>
              </wp:inline>
            </w:drawing>
          </w:r>
        </w:p>
      </w:tc>
      <w:tc>
        <w:tcPr>
          <w:tcW w:w="222" w:type="dxa"/>
        </w:tcPr>
        <w:p w14:paraId="3FE95982" w14:textId="77777777" w:rsidR="006607C9" w:rsidRDefault="006607C9" w:rsidP="006607C9">
          <w:pPr>
            <w:pStyle w:val="Piedepgina"/>
            <w:tabs>
              <w:tab w:val="clear" w:pos="4252"/>
              <w:tab w:val="clear" w:pos="8504"/>
              <w:tab w:val="right" w:pos="3579"/>
            </w:tabs>
            <w:jc w:val="center"/>
            <w:rPr>
              <w:noProof/>
            </w:rPr>
          </w:pPr>
        </w:p>
      </w:tc>
      <w:tc>
        <w:tcPr>
          <w:tcW w:w="1566" w:type="dxa"/>
          <w:vAlign w:val="center"/>
        </w:tcPr>
        <w:p w14:paraId="761B9F20" w14:textId="42BEBDD4" w:rsidR="006607C9" w:rsidRDefault="006704E8" w:rsidP="006607C9">
          <w:pPr>
            <w:pStyle w:val="Piedepgina"/>
            <w:tabs>
              <w:tab w:val="clear" w:pos="4252"/>
              <w:tab w:val="clear" w:pos="8504"/>
              <w:tab w:val="right" w:pos="3579"/>
            </w:tabs>
            <w:jc w:val="center"/>
          </w:pPr>
          <w:r>
            <w:rPr>
              <w:noProof/>
            </w:rPr>
            <w:drawing>
              <wp:inline distT="0" distB="0" distL="0" distR="0" wp14:anchorId="2A855711" wp14:editId="5869F3FA">
                <wp:extent cx="594484" cy="234462"/>
                <wp:effectExtent l="0" t="0" r="0" b="0"/>
                <wp:docPr id="1830970847" name="Imagen 5" descr="AENO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ENOR - YouTube"/>
                        <pic:cNvPicPr>
                          <a:picLocks noChangeAspect="1" noChangeArrowheads="1"/>
                        </pic:cNvPicPr>
                      </pic:nvPicPr>
                      <pic:blipFill rotWithShape="1">
                        <a:blip r:embed="rId2">
                          <a:extLst>
                            <a:ext uri="{28A0092B-C50C-407E-A947-70E740481C1C}">
                              <a14:useLocalDpi xmlns:a14="http://schemas.microsoft.com/office/drawing/2010/main" val="0"/>
                            </a:ext>
                          </a:extLst>
                        </a:blip>
                        <a:srcRect t="29506" b="28364"/>
                        <a:stretch/>
                      </pic:blipFill>
                      <pic:spPr bwMode="auto">
                        <a:xfrm>
                          <a:off x="0" y="0"/>
                          <a:ext cx="610360" cy="2407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461" w:type="dxa"/>
          <w:vAlign w:val="center"/>
        </w:tcPr>
        <w:p w14:paraId="1CB472BB"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56396BE9" wp14:editId="73EDBA8F">
                <wp:extent cx="623059" cy="151795"/>
                <wp:effectExtent l="0" t="0" r="5715" b="635"/>
                <wp:docPr id="702516501" name="Imagen 702516501" descr="ST Sociedad de Tasación - SIMA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Sociedad de Tasación - SIMAEXP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984" cy="159573"/>
                        </a:xfrm>
                        <a:prstGeom prst="rect">
                          <a:avLst/>
                        </a:prstGeom>
                        <a:noFill/>
                        <a:ln>
                          <a:noFill/>
                        </a:ln>
                      </pic:spPr>
                    </pic:pic>
                  </a:graphicData>
                </a:graphic>
              </wp:inline>
            </w:drawing>
          </w:r>
        </w:p>
      </w:tc>
      <w:tc>
        <w:tcPr>
          <w:tcW w:w="1608" w:type="dxa"/>
          <w:vAlign w:val="center"/>
        </w:tcPr>
        <w:p w14:paraId="51A23D2F"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021AF5E4" wp14:editId="5F57DBB5">
                <wp:extent cx="702945" cy="150487"/>
                <wp:effectExtent l="0" t="0" r="0" b="2540"/>
                <wp:docPr id="5651218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2158" cy="154600"/>
                        </a:xfrm>
                        <a:prstGeom prst="rect">
                          <a:avLst/>
                        </a:prstGeom>
                        <a:noFill/>
                      </pic:spPr>
                    </pic:pic>
                  </a:graphicData>
                </a:graphic>
              </wp:inline>
            </w:drawing>
          </w:r>
        </w:p>
      </w:tc>
      <w:tc>
        <w:tcPr>
          <w:tcW w:w="1417" w:type="dxa"/>
          <w:vAlign w:val="center"/>
        </w:tcPr>
        <w:p w14:paraId="58121854" w14:textId="77777777" w:rsidR="006607C9" w:rsidRDefault="006607C9" w:rsidP="006607C9">
          <w:pPr>
            <w:pStyle w:val="Piedepgina"/>
            <w:tabs>
              <w:tab w:val="clear" w:pos="4252"/>
              <w:tab w:val="clear" w:pos="8504"/>
              <w:tab w:val="right" w:pos="3579"/>
            </w:tabs>
            <w:jc w:val="center"/>
          </w:pPr>
          <w:r>
            <w:rPr>
              <w:noProof/>
            </w:rPr>
            <w:drawing>
              <wp:inline distT="0" distB="0" distL="0" distR="0" wp14:anchorId="48948B38" wp14:editId="09616B89">
                <wp:extent cx="581028" cy="221274"/>
                <wp:effectExtent l="0" t="0" r="0" b="7620"/>
                <wp:docPr id="834090694"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6753" name="Imagen 5" descr="Forma&#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311" cy="236996"/>
                        </a:xfrm>
                        <a:prstGeom prst="rect">
                          <a:avLst/>
                        </a:prstGeom>
                        <a:noFill/>
                      </pic:spPr>
                    </pic:pic>
                  </a:graphicData>
                </a:graphic>
              </wp:inline>
            </w:drawing>
          </w:r>
        </w:p>
      </w:tc>
      <w:tc>
        <w:tcPr>
          <w:tcW w:w="1355" w:type="dxa"/>
          <w:vAlign w:val="center"/>
        </w:tcPr>
        <w:p w14:paraId="13094B90" w14:textId="2D935A21" w:rsidR="00C90E53" w:rsidRPr="00C90E53" w:rsidRDefault="00C90E53" w:rsidP="00C90E53">
          <w:pPr>
            <w:pStyle w:val="Piedepgina"/>
            <w:tabs>
              <w:tab w:val="right" w:pos="3579"/>
            </w:tabs>
            <w:jc w:val="center"/>
            <w:rPr>
              <w:noProof/>
            </w:rPr>
          </w:pPr>
          <w:r w:rsidRPr="00C90E53">
            <w:rPr>
              <w:noProof/>
            </w:rPr>
            <w:drawing>
              <wp:anchor distT="0" distB="0" distL="114300" distR="114300" simplePos="0" relativeHeight="251658240" behindDoc="1" locked="0" layoutInCell="1" allowOverlap="1" wp14:anchorId="0B95F5F4" wp14:editId="43C625EA">
                <wp:simplePos x="0" y="0"/>
                <wp:positionH relativeFrom="column">
                  <wp:posOffset>321310</wp:posOffset>
                </wp:positionH>
                <wp:positionV relativeFrom="paragraph">
                  <wp:posOffset>112395</wp:posOffset>
                </wp:positionV>
                <wp:extent cx="417195" cy="123825"/>
                <wp:effectExtent l="0" t="0" r="1905" b="9525"/>
                <wp:wrapNone/>
                <wp:docPr id="213784886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7195" cy="123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3C29B4" w14:textId="220A98D5" w:rsidR="006607C9" w:rsidRDefault="006607C9" w:rsidP="006607C9">
          <w:pPr>
            <w:pStyle w:val="Piedepgina"/>
            <w:tabs>
              <w:tab w:val="clear" w:pos="4252"/>
              <w:tab w:val="clear" w:pos="8504"/>
              <w:tab w:val="right" w:pos="3579"/>
            </w:tabs>
            <w:jc w:val="center"/>
          </w:pPr>
        </w:p>
      </w:tc>
    </w:tr>
  </w:tbl>
  <w:p w14:paraId="28B4057B" w14:textId="35C4678C" w:rsidR="003C5A23" w:rsidRDefault="003C5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60CD" w14:textId="77777777" w:rsidR="00F7411F" w:rsidRDefault="00F7411F" w:rsidP="0027186E">
      <w:pPr>
        <w:spacing w:after="0" w:line="240" w:lineRule="auto"/>
      </w:pPr>
      <w:r>
        <w:separator/>
      </w:r>
    </w:p>
  </w:footnote>
  <w:footnote w:type="continuationSeparator" w:id="0">
    <w:p w14:paraId="1D5EEE30" w14:textId="77777777" w:rsidR="00F7411F" w:rsidRDefault="00F7411F" w:rsidP="0027186E">
      <w:pPr>
        <w:spacing w:after="0" w:line="240" w:lineRule="auto"/>
      </w:pPr>
      <w:r>
        <w:continuationSeparator/>
      </w:r>
    </w:p>
  </w:footnote>
  <w:footnote w:type="continuationNotice" w:id="1">
    <w:p w14:paraId="203AE9BF" w14:textId="77777777" w:rsidR="00F7411F" w:rsidRDefault="00F74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1"/>
      <w:gridCol w:w="2701"/>
      <w:gridCol w:w="3386"/>
    </w:tblGrid>
    <w:tr w:rsidR="006607C9" w14:paraId="696226A8" w14:textId="77777777" w:rsidTr="006607C9">
      <w:trPr>
        <w:jc w:val="center"/>
      </w:trPr>
      <w:tc>
        <w:tcPr>
          <w:tcW w:w="3411" w:type="dxa"/>
          <w:vAlign w:val="center"/>
        </w:tcPr>
        <w:p w14:paraId="43BFDAC8" w14:textId="76D69F20" w:rsidR="006607C9" w:rsidRDefault="006607C9" w:rsidP="006607C9">
          <w:pPr>
            <w:pStyle w:val="Encabezado"/>
          </w:pPr>
          <w:r>
            <w:rPr>
              <w:noProof/>
            </w:rPr>
            <w:drawing>
              <wp:inline distT="0" distB="0" distL="0" distR="0" wp14:anchorId="7571F84F" wp14:editId="304FE384">
                <wp:extent cx="1755232" cy="771525"/>
                <wp:effectExtent l="0" t="0" r="0" b="0"/>
                <wp:docPr id="716422868" name="Imagen 3"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22868" name="Imagen 3"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9073" cy="777609"/>
                        </a:xfrm>
                        <a:prstGeom prst="rect">
                          <a:avLst/>
                        </a:prstGeom>
                      </pic:spPr>
                    </pic:pic>
                  </a:graphicData>
                </a:graphic>
              </wp:inline>
            </w:drawing>
          </w:r>
        </w:p>
      </w:tc>
      <w:tc>
        <w:tcPr>
          <w:tcW w:w="2701" w:type="dxa"/>
          <w:vAlign w:val="center"/>
        </w:tcPr>
        <w:p w14:paraId="32391595" w14:textId="77777777" w:rsidR="006607C9" w:rsidRDefault="006607C9" w:rsidP="006607C9">
          <w:pPr>
            <w:pStyle w:val="Encabezado"/>
          </w:pPr>
        </w:p>
      </w:tc>
      <w:tc>
        <w:tcPr>
          <w:tcW w:w="3386" w:type="dxa"/>
          <w:vAlign w:val="center"/>
        </w:tcPr>
        <w:p w14:paraId="52FDB052" w14:textId="0389587C" w:rsidR="006607C9" w:rsidRDefault="006607C9" w:rsidP="006607C9">
          <w:pPr>
            <w:pStyle w:val="Encabezado"/>
            <w:jc w:val="both"/>
          </w:pPr>
        </w:p>
      </w:tc>
    </w:tr>
  </w:tbl>
  <w:p w14:paraId="5D2F10A0" w14:textId="391CB732" w:rsidR="00E924DC" w:rsidRDefault="00E924DC">
    <w:pPr>
      <w:pStyle w:val="Encabezado"/>
    </w:pP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11AD"/>
    <w:multiLevelType w:val="hybridMultilevel"/>
    <w:tmpl w:val="1C3691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909723A"/>
    <w:multiLevelType w:val="hybridMultilevel"/>
    <w:tmpl w:val="B8B8F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AF2FF2"/>
    <w:multiLevelType w:val="multilevel"/>
    <w:tmpl w:val="08BC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84DCE"/>
    <w:multiLevelType w:val="hybridMultilevel"/>
    <w:tmpl w:val="2EA00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D7517D"/>
    <w:multiLevelType w:val="multilevel"/>
    <w:tmpl w:val="CBB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D4A57"/>
    <w:multiLevelType w:val="hybridMultilevel"/>
    <w:tmpl w:val="7944C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06C280B"/>
    <w:multiLevelType w:val="multilevel"/>
    <w:tmpl w:val="D05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664A0"/>
    <w:multiLevelType w:val="multilevel"/>
    <w:tmpl w:val="1C3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65470">
    <w:abstractNumId w:val="5"/>
  </w:num>
  <w:num w:numId="2" w16cid:durableId="1134101751">
    <w:abstractNumId w:val="1"/>
  </w:num>
  <w:num w:numId="3" w16cid:durableId="1027607397">
    <w:abstractNumId w:val="3"/>
  </w:num>
  <w:num w:numId="4" w16cid:durableId="117383681">
    <w:abstractNumId w:val="0"/>
  </w:num>
  <w:num w:numId="5" w16cid:durableId="714112894">
    <w:abstractNumId w:val="2"/>
  </w:num>
  <w:num w:numId="6" w16cid:durableId="101999418">
    <w:abstractNumId w:val="4"/>
  </w:num>
  <w:num w:numId="7" w16cid:durableId="291593585">
    <w:abstractNumId w:val="6"/>
  </w:num>
  <w:num w:numId="8" w16cid:durableId="4518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F1"/>
    <w:rsid w:val="00000337"/>
    <w:rsid w:val="00000B7D"/>
    <w:rsid w:val="00001F1C"/>
    <w:rsid w:val="00002619"/>
    <w:rsid w:val="000033C3"/>
    <w:rsid w:val="000043F4"/>
    <w:rsid w:val="00004ACC"/>
    <w:rsid w:val="00005272"/>
    <w:rsid w:val="00005BA7"/>
    <w:rsid w:val="000079D1"/>
    <w:rsid w:val="00007D30"/>
    <w:rsid w:val="00011326"/>
    <w:rsid w:val="0001223E"/>
    <w:rsid w:val="00012E36"/>
    <w:rsid w:val="00013D58"/>
    <w:rsid w:val="000154B3"/>
    <w:rsid w:val="000159C7"/>
    <w:rsid w:val="00015A71"/>
    <w:rsid w:val="000169EA"/>
    <w:rsid w:val="0001777A"/>
    <w:rsid w:val="00021885"/>
    <w:rsid w:val="000230C7"/>
    <w:rsid w:val="00023791"/>
    <w:rsid w:val="00023DB4"/>
    <w:rsid w:val="00024F0C"/>
    <w:rsid w:val="00024F77"/>
    <w:rsid w:val="00025FC4"/>
    <w:rsid w:val="00026B07"/>
    <w:rsid w:val="000270BE"/>
    <w:rsid w:val="0002766D"/>
    <w:rsid w:val="00030CBF"/>
    <w:rsid w:val="00031389"/>
    <w:rsid w:val="000327AF"/>
    <w:rsid w:val="00032F1F"/>
    <w:rsid w:val="00033607"/>
    <w:rsid w:val="000347E6"/>
    <w:rsid w:val="00034F65"/>
    <w:rsid w:val="00035321"/>
    <w:rsid w:val="00035895"/>
    <w:rsid w:val="000365E2"/>
    <w:rsid w:val="00040126"/>
    <w:rsid w:val="00040F78"/>
    <w:rsid w:val="00041C97"/>
    <w:rsid w:val="0004336D"/>
    <w:rsid w:val="00043923"/>
    <w:rsid w:val="00043C2F"/>
    <w:rsid w:val="000440B4"/>
    <w:rsid w:val="000535F9"/>
    <w:rsid w:val="00053664"/>
    <w:rsid w:val="00053B90"/>
    <w:rsid w:val="000552C3"/>
    <w:rsid w:val="000560A9"/>
    <w:rsid w:val="00056DCC"/>
    <w:rsid w:val="0006087E"/>
    <w:rsid w:val="0006178E"/>
    <w:rsid w:val="000618AF"/>
    <w:rsid w:val="000631E0"/>
    <w:rsid w:val="00063C97"/>
    <w:rsid w:val="0006433F"/>
    <w:rsid w:val="00064D17"/>
    <w:rsid w:val="00065530"/>
    <w:rsid w:val="000662EE"/>
    <w:rsid w:val="00066622"/>
    <w:rsid w:val="0006745E"/>
    <w:rsid w:val="00070DC8"/>
    <w:rsid w:val="00072068"/>
    <w:rsid w:val="000744C1"/>
    <w:rsid w:val="00074966"/>
    <w:rsid w:val="000754FA"/>
    <w:rsid w:val="000757B3"/>
    <w:rsid w:val="00075FDD"/>
    <w:rsid w:val="0008082B"/>
    <w:rsid w:val="00080848"/>
    <w:rsid w:val="000820D5"/>
    <w:rsid w:val="000849CA"/>
    <w:rsid w:val="00085605"/>
    <w:rsid w:val="000858AC"/>
    <w:rsid w:val="00085B1F"/>
    <w:rsid w:val="000865BC"/>
    <w:rsid w:val="00086FF3"/>
    <w:rsid w:val="000877C1"/>
    <w:rsid w:val="00090659"/>
    <w:rsid w:val="000907F4"/>
    <w:rsid w:val="0009083E"/>
    <w:rsid w:val="0009119B"/>
    <w:rsid w:val="00091D2E"/>
    <w:rsid w:val="00093BC5"/>
    <w:rsid w:val="00093E3D"/>
    <w:rsid w:val="000959B2"/>
    <w:rsid w:val="00095A4A"/>
    <w:rsid w:val="00096D3F"/>
    <w:rsid w:val="000A0B11"/>
    <w:rsid w:val="000A1921"/>
    <w:rsid w:val="000A2B14"/>
    <w:rsid w:val="000A42EE"/>
    <w:rsid w:val="000A6776"/>
    <w:rsid w:val="000A7023"/>
    <w:rsid w:val="000A7F3E"/>
    <w:rsid w:val="000A7F78"/>
    <w:rsid w:val="000B0E19"/>
    <w:rsid w:val="000B1138"/>
    <w:rsid w:val="000B11D8"/>
    <w:rsid w:val="000B2615"/>
    <w:rsid w:val="000B60C6"/>
    <w:rsid w:val="000B68C2"/>
    <w:rsid w:val="000C2BA7"/>
    <w:rsid w:val="000C2D0D"/>
    <w:rsid w:val="000C4540"/>
    <w:rsid w:val="000C55D4"/>
    <w:rsid w:val="000C5A5D"/>
    <w:rsid w:val="000C6C18"/>
    <w:rsid w:val="000C6FF1"/>
    <w:rsid w:val="000D05CC"/>
    <w:rsid w:val="000D21A3"/>
    <w:rsid w:val="000D34B3"/>
    <w:rsid w:val="000D42FF"/>
    <w:rsid w:val="000D560A"/>
    <w:rsid w:val="000D7232"/>
    <w:rsid w:val="000E011F"/>
    <w:rsid w:val="000E4559"/>
    <w:rsid w:val="000E7587"/>
    <w:rsid w:val="000E78CF"/>
    <w:rsid w:val="000F20D8"/>
    <w:rsid w:val="000F22C4"/>
    <w:rsid w:val="000F37CA"/>
    <w:rsid w:val="000F3B52"/>
    <w:rsid w:val="001024E3"/>
    <w:rsid w:val="00102608"/>
    <w:rsid w:val="00103109"/>
    <w:rsid w:val="0010771E"/>
    <w:rsid w:val="00112050"/>
    <w:rsid w:val="00113273"/>
    <w:rsid w:val="00115A8D"/>
    <w:rsid w:val="00116F2E"/>
    <w:rsid w:val="00121349"/>
    <w:rsid w:val="00121D85"/>
    <w:rsid w:val="001222A2"/>
    <w:rsid w:val="00122440"/>
    <w:rsid w:val="00124AA8"/>
    <w:rsid w:val="001253A2"/>
    <w:rsid w:val="001254B5"/>
    <w:rsid w:val="0012607E"/>
    <w:rsid w:val="0013438A"/>
    <w:rsid w:val="001369DB"/>
    <w:rsid w:val="001370B5"/>
    <w:rsid w:val="00142D20"/>
    <w:rsid w:val="00143041"/>
    <w:rsid w:val="00143687"/>
    <w:rsid w:val="00147B98"/>
    <w:rsid w:val="00147E06"/>
    <w:rsid w:val="00153434"/>
    <w:rsid w:val="0015395B"/>
    <w:rsid w:val="00153FC0"/>
    <w:rsid w:val="00154CB8"/>
    <w:rsid w:val="001565A2"/>
    <w:rsid w:val="00156D59"/>
    <w:rsid w:val="00160101"/>
    <w:rsid w:val="00160B72"/>
    <w:rsid w:val="00161BD6"/>
    <w:rsid w:val="00163566"/>
    <w:rsid w:val="0016554E"/>
    <w:rsid w:val="00165877"/>
    <w:rsid w:val="00165B3A"/>
    <w:rsid w:val="001672C2"/>
    <w:rsid w:val="001675DB"/>
    <w:rsid w:val="00167E4F"/>
    <w:rsid w:val="001700A2"/>
    <w:rsid w:val="00170694"/>
    <w:rsid w:val="001707B2"/>
    <w:rsid w:val="00170815"/>
    <w:rsid w:val="00170857"/>
    <w:rsid w:val="00170DB8"/>
    <w:rsid w:val="00171BE3"/>
    <w:rsid w:val="00173044"/>
    <w:rsid w:val="0017309C"/>
    <w:rsid w:val="00173BA4"/>
    <w:rsid w:val="001740E1"/>
    <w:rsid w:val="001741C8"/>
    <w:rsid w:val="001769CD"/>
    <w:rsid w:val="00176B89"/>
    <w:rsid w:val="00176D6B"/>
    <w:rsid w:val="00176EFA"/>
    <w:rsid w:val="001777B3"/>
    <w:rsid w:val="00181762"/>
    <w:rsid w:val="0018288E"/>
    <w:rsid w:val="00182C7E"/>
    <w:rsid w:val="00183A22"/>
    <w:rsid w:val="00183E4C"/>
    <w:rsid w:val="00184407"/>
    <w:rsid w:val="00184B88"/>
    <w:rsid w:val="00184DE0"/>
    <w:rsid w:val="00185A52"/>
    <w:rsid w:val="00187252"/>
    <w:rsid w:val="0019004D"/>
    <w:rsid w:val="0019292F"/>
    <w:rsid w:val="00192B2E"/>
    <w:rsid w:val="001947E2"/>
    <w:rsid w:val="00195D66"/>
    <w:rsid w:val="00195F4D"/>
    <w:rsid w:val="00196CDE"/>
    <w:rsid w:val="001A39B3"/>
    <w:rsid w:val="001A4A53"/>
    <w:rsid w:val="001A6E01"/>
    <w:rsid w:val="001B18D1"/>
    <w:rsid w:val="001B1EE3"/>
    <w:rsid w:val="001B22DE"/>
    <w:rsid w:val="001B3536"/>
    <w:rsid w:val="001B6F2C"/>
    <w:rsid w:val="001B7422"/>
    <w:rsid w:val="001C0270"/>
    <w:rsid w:val="001C0753"/>
    <w:rsid w:val="001C133E"/>
    <w:rsid w:val="001C3F44"/>
    <w:rsid w:val="001C44E1"/>
    <w:rsid w:val="001C6E82"/>
    <w:rsid w:val="001D1726"/>
    <w:rsid w:val="001D2C2E"/>
    <w:rsid w:val="001D3B43"/>
    <w:rsid w:val="001D3CD6"/>
    <w:rsid w:val="001D402B"/>
    <w:rsid w:val="001D44FC"/>
    <w:rsid w:val="001D5D35"/>
    <w:rsid w:val="001D6AE4"/>
    <w:rsid w:val="001D6E40"/>
    <w:rsid w:val="001D71F4"/>
    <w:rsid w:val="001D7453"/>
    <w:rsid w:val="001E07E9"/>
    <w:rsid w:val="001E10B0"/>
    <w:rsid w:val="001E29ED"/>
    <w:rsid w:val="001E472F"/>
    <w:rsid w:val="001E68A2"/>
    <w:rsid w:val="001E68EE"/>
    <w:rsid w:val="001E6ACC"/>
    <w:rsid w:val="001E78C6"/>
    <w:rsid w:val="001F57EC"/>
    <w:rsid w:val="001F7F99"/>
    <w:rsid w:val="00200C9D"/>
    <w:rsid w:val="00201CE1"/>
    <w:rsid w:val="00202A2B"/>
    <w:rsid w:val="002068CE"/>
    <w:rsid w:val="0020772D"/>
    <w:rsid w:val="00207A73"/>
    <w:rsid w:val="00207E96"/>
    <w:rsid w:val="002111EF"/>
    <w:rsid w:val="0021402B"/>
    <w:rsid w:val="002148D2"/>
    <w:rsid w:val="00214FFA"/>
    <w:rsid w:val="002156EB"/>
    <w:rsid w:val="00215874"/>
    <w:rsid w:val="00215FCD"/>
    <w:rsid w:val="002173A4"/>
    <w:rsid w:val="002219CA"/>
    <w:rsid w:val="00222282"/>
    <w:rsid w:val="0022421F"/>
    <w:rsid w:val="002242C4"/>
    <w:rsid w:val="00226CD8"/>
    <w:rsid w:val="002329FC"/>
    <w:rsid w:val="00233BC6"/>
    <w:rsid w:val="00234087"/>
    <w:rsid w:val="00234222"/>
    <w:rsid w:val="00235CBF"/>
    <w:rsid w:val="0023602E"/>
    <w:rsid w:val="002360CB"/>
    <w:rsid w:val="0023670D"/>
    <w:rsid w:val="00236798"/>
    <w:rsid w:val="00240C6E"/>
    <w:rsid w:val="002415CB"/>
    <w:rsid w:val="00241F5A"/>
    <w:rsid w:val="002431B1"/>
    <w:rsid w:val="002433D1"/>
    <w:rsid w:val="0024379A"/>
    <w:rsid w:val="00244F7B"/>
    <w:rsid w:val="00245070"/>
    <w:rsid w:val="00245823"/>
    <w:rsid w:val="00245AFA"/>
    <w:rsid w:val="002462A2"/>
    <w:rsid w:val="00250C57"/>
    <w:rsid w:val="0025118D"/>
    <w:rsid w:val="002514AC"/>
    <w:rsid w:val="002521A3"/>
    <w:rsid w:val="00252BBE"/>
    <w:rsid w:val="00255BD2"/>
    <w:rsid w:val="00256AE7"/>
    <w:rsid w:val="0025767C"/>
    <w:rsid w:val="00260B2A"/>
    <w:rsid w:val="00261FE5"/>
    <w:rsid w:val="002628E3"/>
    <w:rsid w:val="00262ADF"/>
    <w:rsid w:val="00267AE3"/>
    <w:rsid w:val="0027186E"/>
    <w:rsid w:val="00271FBC"/>
    <w:rsid w:val="0027293C"/>
    <w:rsid w:val="0027296E"/>
    <w:rsid w:val="00272ABC"/>
    <w:rsid w:val="00272D00"/>
    <w:rsid w:val="002740BD"/>
    <w:rsid w:val="0027496B"/>
    <w:rsid w:val="00275580"/>
    <w:rsid w:val="00280273"/>
    <w:rsid w:val="00282B92"/>
    <w:rsid w:val="00285C44"/>
    <w:rsid w:val="002861A6"/>
    <w:rsid w:val="00286695"/>
    <w:rsid w:val="00287075"/>
    <w:rsid w:val="00291D81"/>
    <w:rsid w:val="00291F77"/>
    <w:rsid w:val="00292593"/>
    <w:rsid w:val="00292794"/>
    <w:rsid w:val="00295D78"/>
    <w:rsid w:val="00297854"/>
    <w:rsid w:val="002A041C"/>
    <w:rsid w:val="002A0D76"/>
    <w:rsid w:val="002A0FE2"/>
    <w:rsid w:val="002A118C"/>
    <w:rsid w:val="002A2E07"/>
    <w:rsid w:val="002A43A6"/>
    <w:rsid w:val="002A4FA4"/>
    <w:rsid w:val="002A630A"/>
    <w:rsid w:val="002A6494"/>
    <w:rsid w:val="002A65DD"/>
    <w:rsid w:val="002A7C10"/>
    <w:rsid w:val="002B0839"/>
    <w:rsid w:val="002B272E"/>
    <w:rsid w:val="002B2A58"/>
    <w:rsid w:val="002B2AE9"/>
    <w:rsid w:val="002B2C83"/>
    <w:rsid w:val="002B407F"/>
    <w:rsid w:val="002B49E7"/>
    <w:rsid w:val="002B5C80"/>
    <w:rsid w:val="002B6644"/>
    <w:rsid w:val="002B6B03"/>
    <w:rsid w:val="002B6B44"/>
    <w:rsid w:val="002C122E"/>
    <w:rsid w:val="002C1B98"/>
    <w:rsid w:val="002C3FE5"/>
    <w:rsid w:val="002C4EAD"/>
    <w:rsid w:val="002C6722"/>
    <w:rsid w:val="002C7233"/>
    <w:rsid w:val="002C7D77"/>
    <w:rsid w:val="002D0255"/>
    <w:rsid w:val="002D0C51"/>
    <w:rsid w:val="002D205C"/>
    <w:rsid w:val="002D3436"/>
    <w:rsid w:val="002D57C0"/>
    <w:rsid w:val="002D5DB2"/>
    <w:rsid w:val="002D7599"/>
    <w:rsid w:val="002E0516"/>
    <w:rsid w:val="002E05AA"/>
    <w:rsid w:val="002E0C72"/>
    <w:rsid w:val="002E1304"/>
    <w:rsid w:val="002E46C4"/>
    <w:rsid w:val="002E49A4"/>
    <w:rsid w:val="002F1D22"/>
    <w:rsid w:val="002F27B5"/>
    <w:rsid w:val="002F2BAC"/>
    <w:rsid w:val="002F308F"/>
    <w:rsid w:val="002F36DC"/>
    <w:rsid w:val="002F4B08"/>
    <w:rsid w:val="002F4E8A"/>
    <w:rsid w:val="002F6015"/>
    <w:rsid w:val="002F729B"/>
    <w:rsid w:val="002F7B22"/>
    <w:rsid w:val="003023B3"/>
    <w:rsid w:val="00304D18"/>
    <w:rsid w:val="00307DF1"/>
    <w:rsid w:val="0031143E"/>
    <w:rsid w:val="00316C2C"/>
    <w:rsid w:val="00317B22"/>
    <w:rsid w:val="0032084B"/>
    <w:rsid w:val="00321EC0"/>
    <w:rsid w:val="00325EB2"/>
    <w:rsid w:val="00327B81"/>
    <w:rsid w:val="003304DC"/>
    <w:rsid w:val="003305B5"/>
    <w:rsid w:val="00333802"/>
    <w:rsid w:val="0033618E"/>
    <w:rsid w:val="0033645F"/>
    <w:rsid w:val="00336FD4"/>
    <w:rsid w:val="00340FBF"/>
    <w:rsid w:val="00342807"/>
    <w:rsid w:val="00344EC2"/>
    <w:rsid w:val="00345B12"/>
    <w:rsid w:val="00345CD7"/>
    <w:rsid w:val="00345DA5"/>
    <w:rsid w:val="00346086"/>
    <w:rsid w:val="00346292"/>
    <w:rsid w:val="00346367"/>
    <w:rsid w:val="003478F8"/>
    <w:rsid w:val="00351A51"/>
    <w:rsid w:val="00352776"/>
    <w:rsid w:val="00352EA2"/>
    <w:rsid w:val="00353067"/>
    <w:rsid w:val="003537C5"/>
    <w:rsid w:val="00353BDD"/>
    <w:rsid w:val="00354E24"/>
    <w:rsid w:val="00355DA5"/>
    <w:rsid w:val="003615FA"/>
    <w:rsid w:val="00361E43"/>
    <w:rsid w:val="003625AD"/>
    <w:rsid w:val="00362FAE"/>
    <w:rsid w:val="00365E92"/>
    <w:rsid w:val="00366032"/>
    <w:rsid w:val="00367638"/>
    <w:rsid w:val="00367F6D"/>
    <w:rsid w:val="003706CD"/>
    <w:rsid w:val="00371617"/>
    <w:rsid w:val="00372B9E"/>
    <w:rsid w:val="00373709"/>
    <w:rsid w:val="00373A28"/>
    <w:rsid w:val="00375ACD"/>
    <w:rsid w:val="00375EBC"/>
    <w:rsid w:val="0037729B"/>
    <w:rsid w:val="00377E3B"/>
    <w:rsid w:val="00381013"/>
    <w:rsid w:val="003824E3"/>
    <w:rsid w:val="00382DD6"/>
    <w:rsid w:val="003838DC"/>
    <w:rsid w:val="00383A65"/>
    <w:rsid w:val="003846E3"/>
    <w:rsid w:val="00384931"/>
    <w:rsid w:val="0038596A"/>
    <w:rsid w:val="00386D84"/>
    <w:rsid w:val="0039043E"/>
    <w:rsid w:val="00390656"/>
    <w:rsid w:val="00391419"/>
    <w:rsid w:val="0039256F"/>
    <w:rsid w:val="00392792"/>
    <w:rsid w:val="00395641"/>
    <w:rsid w:val="00395F42"/>
    <w:rsid w:val="00397999"/>
    <w:rsid w:val="003A06F7"/>
    <w:rsid w:val="003A0D41"/>
    <w:rsid w:val="003A2172"/>
    <w:rsid w:val="003A2F7D"/>
    <w:rsid w:val="003A3BDC"/>
    <w:rsid w:val="003A43B0"/>
    <w:rsid w:val="003A56DB"/>
    <w:rsid w:val="003A65F3"/>
    <w:rsid w:val="003A69A2"/>
    <w:rsid w:val="003A6AEE"/>
    <w:rsid w:val="003B0690"/>
    <w:rsid w:val="003B2DCF"/>
    <w:rsid w:val="003B4453"/>
    <w:rsid w:val="003B45C9"/>
    <w:rsid w:val="003C021D"/>
    <w:rsid w:val="003C04B6"/>
    <w:rsid w:val="003C0F27"/>
    <w:rsid w:val="003C1BD4"/>
    <w:rsid w:val="003C2FD2"/>
    <w:rsid w:val="003C3894"/>
    <w:rsid w:val="003C45E1"/>
    <w:rsid w:val="003C5A23"/>
    <w:rsid w:val="003C6170"/>
    <w:rsid w:val="003C6A1A"/>
    <w:rsid w:val="003D0FA8"/>
    <w:rsid w:val="003D12CD"/>
    <w:rsid w:val="003D21F4"/>
    <w:rsid w:val="003D3F94"/>
    <w:rsid w:val="003D6142"/>
    <w:rsid w:val="003D629E"/>
    <w:rsid w:val="003D6A1B"/>
    <w:rsid w:val="003D6B70"/>
    <w:rsid w:val="003E3164"/>
    <w:rsid w:val="003E3CD8"/>
    <w:rsid w:val="003E5889"/>
    <w:rsid w:val="003E5923"/>
    <w:rsid w:val="003E5F5F"/>
    <w:rsid w:val="003E746D"/>
    <w:rsid w:val="003F01FB"/>
    <w:rsid w:val="003F085B"/>
    <w:rsid w:val="003F1BAC"/>
    <w:rsid w:val="003F2A23"/>
    <w:rsid w:val="003F304F"/>
    <w:rsid w:val="003F542C"/>
    <w:rsid w:val="003F5A47"/>
    <w:rsid w:val="003F69AC"/>
    <w:rsid w:val="003F6DC5"/>
    <w:rsid w:val="003F7327"/>
    <w:rsid w:val="003F7E2E"/>
    <w:rsid w:val="00401091"/>
    <w:rsid w:val="00403636"/>
    <w:rsid w:val="004042F2"/>
    <w:rsid w:val="00404AF3"/>
    <w:rsid w:val="004078D5"/>
    <w:rsid w:val="00412575"/>
    <w:rsid w:val="00412DB4"/>
    <w:rsid w:val="00413F32"/>
    <w:rsid w:val="0041542A"/>
    <w:rsid w:val="00416797"/>
    <w:rsid w:val="00420268"/>
    <w:rsid w:val="004203C7"/>
    <w:rsid w:val="00421C33"/>
    <w:rsid w:val="00422F11"/>
    <w:rsid w:val="00423DE9"/>
    <w:rsid w:val="00426F6F"/>
    <w:rsid w:val="0042714F"/>
    <w:rsid w:val="0042733F"/>
    <w:rsid w:val="00430708"/>
    <w:rsid w:val="004319D4"/>
    <w:rsid w:val="00432061"/>
    <w:rsid w:val="00432BB4"/>
    <w:rsid w:val="0043512A"/>
    <w:rsid w:val="00437B97"/>
    <w:rsid w:val="004403D0"/>
    <w:rsid w:val="0044082F"/>
    <w:rsid w:val="00441C84"/>
    <w:rsid w:val="00442326"/>
    <w:rsid w:val="00443975"/>
    <w:rsid w:val="0044424D"/>
    <w:rsid w:val="00444253"/>
    <w:rsid w:val="0044503E"/>
    <w:rsid w:val="00446165"/>
    <w:rsid w:val="004466CB"/>
    <w:rsid w:val="00447E4B"/>
    <w:rsid w:val="00453669"/>
    <w:rsid w:val="0045457C"/>
    <w:rsid w:val="00454C23"/>
    <w:rsid w:val="00461254"/>
    <w:rsid w:val="00465954"/>
    <w:rsid w:val="00465C5D"/>
    <w:rsid w:val="0046649F"/>
    <w:rsid w:val="004677B2"/>
    <w:rsid w:val="004702E6"/>
    <w:rsid w:val="00470701"/>
    <w:rsid w:val="00470DDD"/>
    <w:rsid w:val="00471873"/>
    <w:rsid w:val="00472726"/>
    <w:rsid w:val="00473CF3"/>
    <w:rsid w:val="004755C0"/>
    <w:rsid w:val="004769C5"/>
    <w:rsid w:val="0047712F"/>
    <w:rsid w:val="00477667"/>
    <w:rsid w:val="004805D2"/>
    <w:rsid w:val="00480B7E"/>
    <w:rsid w:val="00481932"/>
    <w:rsid w:val="00481B6B"/>
    <w:rsid w:val="004820BD"/>
    <w:rsid w:val="004822F1"/>
    <w:rsid w:val="004822FD"/>
    <w:rsid w:val="004825D8"/>
    <w:rsid w:val="00482BC7"/>
    <w:rsid w:val="00482CB7"/>
    <w:rsid w:val="00483204"/>
    <w:rsid w:val="00484E0E"/>
    <w:rsid w:val="004851CC"/>
    <w:rsid w:val="00486615"/>
    <w:rsid w:val="00486696"/>
    <w:rsid w:val="00486725"/>
    <w:rsid w:val="00490C8B"/>
    <w:rsid w:val="004919ED"/>
    <w:rsid w:val="004968BE"/>
    <w:rsid w:val="00496C03"/>
    <w:rsid w:val="0049762A"/>
    <w:rsid w:val="004A0A9E"/>
    <w:rsid w:val="004A14FD"/>
    <w:rsid w:val="004A19AF"/>
    <w:rsid w:val="004A2231"/>
    <w:rsid w:val="004A3381"/>
    <w:rsid w:val="004A3CC5"/>
    <w:rsid w:val="004A435E"/>
    <w:rsid w:val="004A4633"/>
    <w:rsid w:val="004A46DC"/>
    <w:rsid w:val="004A5088"/>
    <w:rsid w:val="004A6324"/>
    <w:rsid w:val="004B0525"/>
    <w:rsid w:val="004B1A04"/>
    <w:rsid w:val="004B20DE"/>
    <w:rsid w:val="004B2864"/>
    <w:rsid w:val="004B33C7"/>
    <w:rsid w:val="004B3F66"/>
    <w:rsid w:val="004B49CF"/>
    <w:rsid w:val="004B7C34"/>
    <w:rsid w:val="004C01B4"/>
    <w:rsid w:val="004C1017"/>
    <w:rsid w:val="004C11E4"/>
    <w:rsid w:val="004C2138"/>
    <w:rsid w:val="004C2A2B"/>
    <w:rsid w:val="004C63C5"/>
    <w:rsid w:val="004C6621"/>
    <w:rsid w:val="004D1B01"/>
    <w:rsid w:val="004D27C4"/>
    <w:rsid w:val="004D37F8"/>
    <w:rsid w:val="004D3862"/>
    <w:rsid w:val="004D3DCF"/>
    <w:rsid w:val="004D3F1B"/>
    <w:rsid w:val="004D5E71"/>
    <w:rsid w:val="004D7D08"/>
    <w:rsid w:val="004E02C8"/>
    <w:rsid w:val="004E1739"/>
    <w:rsid w:val="004E33B5"/>
    <w:rsid w:val="004E3D2D"/>
    <w:rsid w:val="004E5328"/>
    <w:rsid w:val="004E5908"/>
    <w:rsid w:val="004E65BF"/>
    <w:rsid w:val="004E6733"/>
    <w:rsid w:val="004E7C3A"/>
    <w:rsid w:val="004F123B"/>
    <w:rsid w:val="004F1B47"/>
    <w:rsid w:val="004F2DF1"/>
    <w:rsid w:val="004F2FF1"/>
    <w:rsid w:val="004F428A"/>
    <w:rsid w:val="004F6CA1"/>
    <w:rsid w:val="004F72D4"/>
    <w:rsid w:val="00500D3E"/>
    <w:rsid w:val="00502258"/>
    <w:rsid w:val="0050468D"/>
    <w:rsid w:val="0050478A"/>
    <w:rsid w:val="0050772E"/>
    <w:rsid w:val="00510553"/>
    <w:rsid w:val="00512BF5"/>
    <w:rsid w:val="00515CC5"/>
    <w:rsid w:val="00515E09"/>
    <w:rsid w:val="005166DE"/>
    <w:rsid w:val="00517348"/>
    <w:rsid w:val="00517507"/>
    <w:rsid w:val="005209B7"/>
    <w:rsid w:val="00520F62"/>
    <w:rsid w:val="00521BA3"/>
    <w:rsid w:val="00527C6C"/>
    <w:rsid w:val="00530ECB"/>
    <w:rsid w:val="00533D0F"/>
    <w:rsid w:val="00534AA1"/>
    <w:rsid w:val="0053780A"/>
    <w:rsid w:val="00537B1C"/>
    <w:rsid w:val="00540204"/>
    <w:rsid w:val="0054422E"/>
    <w:rsid w:val="00544E6A"/>
    <w:rsid w:val="00544E7E"/>
    <w:rsid w:val="00545527"/>
    <w:rsid w:val="0055101F"/>
    <w:rsid w:val="00553F3A"/>
    <w:rsid w:val="005544FA"/>
    <w:rsid w:val="00554DAB"/>
    <w:rsid w:val="005550DA"/>
    <w:rsid w:val="00556555"/>
    <w:rsid w:val="00561B59"/>
    <w:rsid w:val="00564CE5"/>
    <w:rsid w:val="005713EA"/>
    <w:rsid w:val="0057263B"/>
    <w:rsid w:val="0057291D"/>
    <w:rsid w:val="00573F6D"/>
    <w:rsid w:val="00574C0E"/>
    <w:rsid w:val="00576991"/>
    <w:rsid w:val="0058196C"/>
    <w:rsid w:val="0058230C"/>
    <w:rsid w:val="00583CC9"/>
    <w:rsid w:val="00583DB8"/>
    <w:rsid w:val="00583FB5"/>
    <w:rsid w:val="00584010"/>
    <w:rsid w:val="00584A48"/>
    <w:rsid w:val="005860DA"/>
    <w:rsid w:val="005913EB"/>
    <w:rsid w:val="00591970"/>
    <w:rsid w:val="005919EA"/>
    <w:rsid w:val="005939B7"/>
    <w:rsid w:val="005952FB"/>
    <w:rsid w:val="00596D5C"/>
    <w:rsid w:val="00597538"/>
    <w:rsid w:val="005A1264"/>
    <w:rsid w:val="005A1F68"/>
    <w:rsid w:val="005A3616"/>
    <w:rsid w:val="005A56D7"/>
    <w:rsid w:val="005B0DBB"/>
    <w:rsid w:val="005B175F"/>
    <w:rsid w:val="005B375C"/>
    <w:rsid w:val="005B4DEE"/>
    <w:rsid w:val="005C069A"/>
    <w:rsid w:val="005C1AFA"/>
    <w:rsid w:val="005C1FAB"/>
    <w:rsid w:val="005C2A03"/>
    <w:rsid w:val="005C3DB6"/>
    <w:rsid w:val="005C4DBD"/>
    <w:rsid w:val="005C5B2B"/>
    <w:rsid w:val="005C7192"/>
    <w:rsid w:val="005D0781"/>
    <w:rsid w:val="005D3F49"/>
    <w:rsid w:val="005D49A8"/>
    <w:rsid w:val="005D49F9"/>
    <w:rsid w:val="005E0A06"/>
    <w:rsid w:val="005E0E65"/>
    <w:rsid w:val="005E39FB"/>
    <w:rsid w:val="005E4273"/>
    <w:rsid w:val="005E5B59"/>
    <w:rsid w:val="005E6F4D"/>
    <w:rsid w:val="005E7162"/>
    <w:rsid w:val="005F104C"/>
    <w:rsid w:val="005F15F6"/>
    <w:rsid w:val="005F485E"/>
    <w:rsid w:val="005F4906"/>
    <w:rsid w:val="005F6ED0"/>
    <w:rsid w:val="005F760D"/>
    <w:rsid w:val="00602B17"/>
    <w:rsid w:val="0060322E"/>
    <w:rsid w:val="006048A9"/>
    <w:rsid w:val="0060721B"/>
    <w:rsid w:val="00611C06"/>
    <w:rsid w:val="00614BA4"/>
    <w:rsid w:val="00614BC9"/>
    <w:rsid w:val="00616340"/>
    <w:rsid w:val="00616D9C"/>
    <w:rsid w:val="006170D0"/>
    <w:rsid w:val="006179BB"/>
    <w:rsid w:val="006201A7"/>
    <w:rsid w:val="006212E9"/>
    <w:rsid w:val="00621824"/>
    <w:rsid w:val="00622321"/>
    <w:rsid w:val="00623F9E"/>
    <w:rsid w:val="00625154"/>
    <w:rsid w:val="00625A9B"/>
    <w:rsid w:val="006268BB"/>
    <w:rsid w:val="00626AE3"/>
    <w:rsid w:val="00626CA9"/>
    <w:rsid w:val="00627644"/>
    <w:rsid w:val="00627650"/>
    <w:rsid w:val="00627D6F"/>
    <w:rsid w:val="00631936"/>
    <w:rsid w:val="006322DF"/>
    <w:rsid w:val="0063249B"/>
    <w:rsid w:val="00632865"/>
    <w:rsid w:val="006329D2"/>
    <w:rsid w:val="00633E70"/>
    <w:rsid w:val="006347CA"/>
    <w:rsid w:val="00634EE4"/>
    <w:rsid w:val="00637410"/>
    <w:rsid w:val="006406D7"/>
    <w:rsid w:val="006408CA"/>
    <w:rsid w:val="00640AF3"/>
    <w:rsid w:val="0064254D"/>
    <w:rsid w:val="00644B1E"/>
    <w:rsid w:val="006464A7"/>
    <w:rsid w:val="00647A3F"/>
    <w:rsid w:val="00650C71"/>
    <w:rsid w:val="00651057"/>
    <w:rsid w:val="00651161"/>
    <w:rsid w:val="00651368"/>
    <w:rsid w:val="006532D9"/>
    <w:rsid w:val="00654F1D"/>
    <w:rsid w:val="00655AED"/>
    <w:rsid w:val="00656FA7"/>
    <w:rsid w:val="00657089"/>
    <w:rsid w:val="00657E14"/>
    <w:rsid w:val="00660728"/>
    <w:rsid w:val="006607C9"/>
    <w:rsid w:val="0066082E"/>
    <w:rsid w:val="006615AF"/>
    <w:rsid w:val="00661877"/>
    <w:rsid w:val="00661F13"/>
    <w:rsid w:val="00662627"/>
    <w:rsid w:val="0066468C"/>
    <w:rsid w:val="006662B9"/>
    <w:rsid w:val="006704E8"/>
    <w:rsid w:val="0067152E"/>
    <w:rsid w:val="006716DE"/>
    <w:rsid w:val="00672A20"/>
    <w:rsid w:val="006737C8"/>
    <w:rsid w:val="006738D2"/>
    <w:rsid w:val="0067446B"/>
    <w:rsid w:val="006744C3"/>
    <w:rsid w:val="00676D16"/>
    <w:rsid w:val="0067746F"/>
    <w:rsid w:val="00677ECA"/>
    <w:rsid w:val="00677F9D"/>
    <w:rsid w:val="00683206"/>
    <w:rsid w:val="00690E14"/>
    <w:rsid w:val="0069112B"/>
    <w:rsid w:val="0069187D"/>
    <w:rsid w:val="00695752"/>
    <w:rsid w:val="00697240"/>
    <w:rsid w:val="0069788E"/>
    <w:rsid w:val="006A11B7"/>
    <w:rsid w:val="006A1B47"/>
    <w:rsid w:val="006A2318"/>
    <w:rsid w:val="006A27BF"/>
    <w:rsid w:val="006A327D"/>
    <w:rsid w:val="006A69A0"/>
    <w:rsid w:val="006B1F52"/>
    <w:rsid w:val="006B432D"/>
    <w:rsid w:val="006B4CDE"/>
    <w:rsid w:val="006B6172"/>
    <w:rsid w:val="006B729A"/>
    <w:rsid w:val="006C1440"/>
    <w:rsid w:val="006C23A0"/>
    <w:rsid w:val="006C3D1B"/>
    <w:rsid w:val="006C3E46"/>
    <w:rsid w:val="006C5E57"/>
    <w:rsid w:val="006C5F1E"/>
    <w:rsid w:val="006C77AF"/>
    <w:rsid w:val="006C7C53"/>
    <w:rsid w:val="006D1CAC"/>
    <w:rsid w:val="006D358D"/>
    <w:rsid w:val="006D3A86"/>
    <w:rsid w:val="006D3C40"/>
    <w:rsid w:val="006D4289"/>
    <w:rsid w:val="006D4F4E"/>
    <w:rsid w:val="006D6AA3"/>
    <w:rsid w:val="006D7144"/>
    <w:rsid w:val="006D78EB"/>
    <w:rsid w:val="006E51D0"/>
    <w:rsid w:val="006E51FA"/>
    <w:rsid w:val="006E5AA9"/>
    <w:rsid w:val="006E5C07"/>
    <w:rsid w:val="006E692E"/>
    <w:rsid w:val="006E6DE5"/>
    <w:rsid w:val="006E799F"/>
    <w:rsid w:val="006E7B1B"/>
    <w:rsid w:val="006F0BB9"/>
    <w:rsid w:val="006F39CC"/>
    <w:rsid w:val="006F427F"/>
    <w:rsid w:val="006F4936"/>
    <w:rsid w:val="006F672F"/>
    <w:rsid w:val="006F730C"/>
    <w:rsid w:val="007006ED"/>
    <w:rsid w:val="00701210"/>
    <w:rsid w:val="00701E1C"/>
    <w:rsid w:val="00702B2B"/>
    <w:rsid w:val="00703242"/>
    <w:rsid w:val="007045FF"/>
    <w:rsid w:val="007141D1"/>
    <w:rsid w:val="007159D9"/>
    <w:rsid w:val="00715DC1"/>
    <w:rsid w:val="00720AD3"/>
    <w:rsid w:val="00720C09"/>
    <w:rsid w:val="00722DD6"/>
    <w:rsid w:val="0072302F"/>
    <w:rsid w:val="00724A83"/>
    <w:rsid w:val="00725961"/>
    <w:rsid w:val="00727805"/>
    <w:rsid w:val="0073158F"/>
    <w:rsid w:val="0073226A"/>
    <w:rsid w:val="007333BA"/>
    <w:rsid w:val="00733860"/>
    <w:rsid w:val="00733F43"/>
    <w:rsid w:val="00734A8A"/>
    <w:rsid w:val="0073685D"/>
    <w:rsid w:val="00740FE2"/>
    <w:rsid w:val="007421CF"/>
    <w:rsid w:val="00742D7E"/>
    <w:rsid w:val="00743816"/>
    <w:rsid w:val="0074468D"/>
    <w:rsid w:val="00744847"/>
    <w:rsid w:val="00745D6A"/>
    <w:rsid w:val="007467C0"/>
    <w:rsid w:val="00747440"/>
    <w:rsid w:val="00747733"/>
    <w:rsid w:val="007513E7"/>
    <w:rsid w:val="00755966"/>
    <w:rsid w:val="00756BEF"/>
    <w:rsid w:val="00757A98"/>
    <w:rsid w:val="0076148B"/>
    <w:rsid w:val="00762ABB"/>
    <w:rsid w:val="007644E6"/>
    <w:rsid w:val="00764C95"/>
    <w:rsid w:val="0077066D"/>
    <w:rsid w:val="007720EC"/>
    <w:rsid w:val="007745D9"/>
    <w:rsid w:val="0077471F"/>
    <w:rsid w:val="00775801"/>
    <w:rsid w:val="0077588A"/>
    <w:rsid w:val="00780804"/>
    <w:rsid w:val="00781070"/>
    <w:rsid w:val="007817B4"/>
    <w:rsid w:val="00783297"/>
    <w:rsid w:val="00783DE6"/>
    <w:rsid w:val="00784C8A"/>
    <w:rsid w:val="0078503A"/>
    <w:rsid w:val="0078591E"/>
    <w:rsid w:val="007866CE"/>
    <w:rsid w:val="007868DA"/>
    <w:rsid w:val="007914CE"/>
    <w:rsid w:val="00792A9E"/>
    <w:rsid w:val="007930A2"/>
    <w:rsid w:val="007934B7"/>
    <w:rsid w:val="00796E39"/>
    <w:rsid w:val="00797F17"/>
    <w:rsid w:val="007A0749"/>
    <w:rsid w:val="007A26D2"/>
    <w:rsid w:val="007A4337"/>
    <w:rsid w:val="007A4812"/>
    <w:rsid w:val="007A4D01"/>
    <w:rsid w:val="007A5872"/>
    <w:rsid w:val="007B0943"/>
    <w:rsid w:val="007B0D6E"/>
    <w:rsid w:val="007B11B9"/>
    <w:rsid w:val="007B1575"/>
    <w:rsid w:val="007B15F7"/>
    <w:rsid w:val="007B3D41"/>
    <w:rsid w:val="007B4A90"/>
    <w:rsid w:val="007B66E0"/>
    <w:rsid w:val="007C14A1"/>
    <w:rsid w:val="007C3466"/>
    <w:rsid w:val="007C459D"/>
    <w:rsid w:val="007C64F4"/>
    <w:rsid w:val="007C6AD1"/>
    <w:rsid w:val="007C6F3D"/>
    <w:rsid w:val="007D0D5F"/>
    <w:rsid w:val="007D1D83"/>
    <w:rsid w:val="007D39BD"/>
    <w:rsid w:val="007D692C"/>
    <w:rsid w:val="007D72B5"/>
    <w:rsid w:val="007D7545"/>
    <w:rsid w:val="007E09D6"/>
    <w:rsid w:val="007E3C04"/>
    <w:rsid w:val="007E7D70"/>
    <w:rsid w:val="007F0709"/>
    <w:rsid w:val="007F3613"/>
    <w:rsid w:val="007F5214"/>
    <w:rsid w:val="007F66C4"/>
    <w:rsid w:val="008014EE"/>
    <w:rsid w:val="00801E0E"/>
    <w:rsid w:val="00801FE8"/>
    <w:rsid w:val="00802D9F"/>
    <w:rsid w:val="00805186"/>
    <w:rsid w:val="0080716D"/>
    <w:rsid w:val="00807B50"/>
    <w:rsid w:val="0081025F"/>
    <w:rsid w:val="0081148F"/>
    <w:rsid w:val="0081378C"/>
    <w:rsid w:val="008140B4"/>
    <w:rsid w:val="008154B5"/>
    <w:rsid w:val="008159DB"/>
    <w:rsid w:val="00817643"/>
    <w:rsid w:val="00822888"/>
    <w:rsid w:val="00822944"/>
    <w:rsid w:val="00822AB7"/>
    <w:rsid w:val="0083093E"/>
    <w:rsid w:val="008336C3"/>
    <w:rsid w:val="008353EC"/>
    <w:rsid w:val="00835978"/>
    <w:rsid w:val="008368A1"/>
    <w:rsid w:val="00836971"/>
    <w:rsid w:val="008438F7"/>
    <w:rsid w:val="00846480"/>
    <w:rsid w:val="00850C03"/>
    <w:rsid w:val="00856439"/>
    <w:rsid w:val="0085709C"/>
    <w:rsid w:val="00857551"/>
    <w:rsid w:val="008602FF"/>
    <w:rsid w:val="008614DB"/>
    <w:rsid w:val="00861F53"/>
    <w:rsid w:val="00862381"/>
    <w:rsid w:val="00862E2A"/>
    <w:rsid w:val="00865186"/>
    <w:rsid w:val="0086645C"/>
    <w:rsid w:val="008724EB"/>
    <w:rsid w:val="00875201"/>
    <w:rsid w:val="00875C18"/>
    <w:rsid w:val="00877DFC"/>
    <w:rsid w:val="00880591"/>
    <w:rsid w:val="008813C8"/>
    <w:rsid w:val="008819BD"/>
    <w:rsid w:val="008819DC"/>
    <w:rsid w:val="00881C75"/>
    <w:rsid w:val="0089228D"/>
    <w:rsid w:val="00893915"/>
    <w:rsid w:val="00894B0A"/>
    <w:rsid w:val="00894CC6"/>
    <w:rsid w:val="0089615D"/>
    <w:rsid w:val="00896221"/>
    <w:rsid w:val="008964B4"/>
    <w:rsid w:val="008972CA"/>
    <w:rsid w:val="008A07ED"/>
    <w:rsid w:val="008A0C55"/>
    <w:rsid w:val="008A0CEC"/>
    <w:rsid w:val="008A2CD3"/>
    <w:rsid w:val="008A3654"/>
    <w:rsid w:val="008A38E4"/>
    <w:rsid w:val="008A443F"/>
    <w:rsid w:val="008A5261"/>
    <w:rsid w:val="008A721A"/>
    <w:rsid w:val="008B045E"/>
    <w:rsid w:val="008B1893"/>
    <w:rsid w:val="008B2377"/>
    <w:rsid w:val="008B279F"/>
    <w:rsid w:val="008B27C4"/>
    <w:rsid w:val="008B2A46"/>
    <w:rsid w:val="008B37FD"/>
    <w:rsid w:val="008B4634"/>
    <w:rsid w:val="008B5456"/>
    <w:rsid w:val="008B75D5"/>
    <w:rsid w:val="008C0167"/>
    <w:rsid w:val="008C1F32"/>
    <w:rsid w:val="008C2DEA"/>
    <w:rsid w:val="008C5124"/>
    <w:rsid w:val="008C6480"/>
    <w:rsid w:val="008C6FF5"/>
    <w:rsid w:val="008D042F"/>
    <w:rsid w:val="008D188C"/>
    <w:rsid w:val="008D2034"/>
    <w:rsid w:val="008D2402"/>
    <w:rsid w:val="008D2431"/>
    <w:rsid w:val="008D31F3"/>
    <w:rsid w:val="008D3C33"/>
    <w:rsid w:val="008D4C58"/>
    <w:rsid w:val="008D4E53"/>
    <w:rsid w:val="008D65E9"/>
    <w:rsid w:val="008D66A4"/>
    <w:rsid w:val="008D6D06"/>
    <w:rsid w:val="008E0502"/>
    <w:rsid w:val="008E1D7B"/>
    <w:rsid w:val="008E2364"/>
    <w:rsid w:val="008E308A"/>
    <w:rsid w:val="008E69C9"/>
    <w:rsid w:val="008F0ED4"/>
    <w:rsid w:val="008F15C0"/>
    <w:rsid w:val="008F3157"/>
    <w:rsid w:val="009027E6"/>
    <w:rsid w:val="00903A3A"/>
    <w:rsid w:val="00903FA5"/>
    <w:rsid w:val="00904264"/>
    <w:rsid w:val="00906429"/>
    <w:rsid w:val="00906920"/>
    <w:rsid w:val="0091138D"/>
    <w:rsid w:val="009125E4"/>
    <w:rsid w:val="0091388A"/>
    <w:rsid w:val="00915900"/>
    <w:rsid w:val="00915C5C"/>
    <w:rsid w:val="00916745"/>
    <w:rsid w:val="0092117F"/>
    <w:rsid w:val="00922703"/>
    <w:rsid w:val="0092468B"/>
    <w:rsid w:val="00924A05"/>
    <w:rsid w:val="00924BAF"/>
    <w:rsid w:val="00924DB2"/>
    <w:rsid w:val="009258B3"/>
    <w:rsid w:val="00926EEA"/>
    <w:rsid w:val="00930607"/>
    <w:rsid w:val="0093111C"/>
    <w:rsid w:val="009314A6"/>
    <w:rsid w:val="009316F7"/>
    <w:rsid w:val="009325F2"/>
    <w:rsid w:val="00933734"/>
    <w:rsid w:val="00937CED"/>
    <w:rsid w:val="00937FCD"/>
    <w:rsid w:val="00942525"/>
    <w:rsid w:val="00943439"/>
    <w:rsid w:val="009436AD"/>
    <w:rsid w:val="00943AEF"/>
    <w:rsid w:val="00945248"/>
    <w:rsid w:val="00945561"/>
    <w:rsid w:val="0094556C"/>
    <w:rsid w:val="00950F86"/>
    <w:rsid w:val="00952801"/>
    <w:rsid w:val="009532A7"/>
    <w:rsid w:val="00954C71"/>
    <w:rsid w:val="00955DE7"/>
    <w:rsid w:val="00960EA5"/>
    <w:rsid w:val="0096165D"/>
    <w:rsid w:val="009622E0"/>
    <w:rsid w:val="009634EF"/>
    <w:rsid w:val="00964584"/>
    <w:rsid w:val="009647B6"/>
    <w:rsid w:val="009652B2"/>
    <w:rsid w:val="009660B4"/>
    <w:rsid w:val="00970A43"/>
    <w:rsid w:val="00971731"/>
    <w:rsid w:val="009719E3"/>
    <w:rsid w:val="00973FB5"/>
    <w:rsid w:val="00974204"/>
    <w:rsid w:val="00974720"/>
    <w:rsid w:val="009757DF"/>
    <w:rsid w:val="009774C2"/>
    <w:rsid w:val="00977CF8"/>
    <w:rsid w:val="009814E8"/>
    <w:rsid w:val="00981640"/>
    <w:rsid w:val="00981FD3"/>
    <w:rsid w:val="00983B12"/>
    <w:rsid w:val="00984325"/>
    <w:rsid w:val="009851CB"/>
    <w:rsid w:val="009871C9"/>
    <w:rsid w:val="0099043E"/>
    <w:rsid w:val="009913C3"/>
    <w:rsid w:val="00991D20"/>
    <w:rsid w:val="0099459F"/>
    <w:rsid w:val="009949CE"/>
    <w:rsid w:val="00995705"/>
    <w:rsid w:val="00997C0C"/>
    <w:rsid w:val="009A006B"/>
    <w:rsid w:val="009A1082"/>
    <w:rsid w:val="009A1B8E"/>
    <w:rsid w:val="009A3A47"/>
    <w:rsid w:val="009A3D90"/>
    <w:rsid w:val="009A4634"/>
    <w:rsid w:val="009A46AE"/>
    <w:rsid w:val="009A5E17"/>
    <w:rsid w:val="009A614A"/>
    <w:rsid w:val="009A618F"/>
    <w:rsid w:val="009B1307"/>
    <w:rsid w:val="009B28E6"/>
    <w:rsid w:val="009B5F15"/>
    <w:rsid w:val="009B6AF4"/>
    <w:rsid w:val="009C0697"/>
    <w:rsid w:val="009C2066"/>
    <w:rsid w:val="009C2941"/>
    <w:rsid w:val="009C32AA"/>
    <w:rsid w:val="009C370A"/>
    <w:rsid w:val="009C37BA"/>
    <w:rsid w:val="009C48C3"/>
    <w:rsid w:val="009C4C99"/>
    <w:rsid w:val="009C63E4"/>
    <w:rsid w:val="009C6486"/>
    <w:rsid w:val="009D0E54"/>
    <w:rsid w:val="009D21BC"/>
    <w:rsid w:val="009D3913"/>
    <w:rsid w:val="009D62D3"/>
    <w:rsid w:val="009D73B9"/>
    <w:rsid w:val="009E0746"/>
    <w:rsid w:val="009E0B89"/>
    <w:rsid w:val="009E272C"/>
    <w:rsid w:val="009E46DE"/>
    <w:rsid w:val="009E5191"/>
    <w:rsid w:val="009E6600"/>
    <w:rsid w:val="009E6D80"/>
    <w:rsid w:val="009E6DAA"/>
    <w:rsid w:val="009F1D9E"/>
    <w:rsid w:val="009F3F82"/>
    <w:rsid w:val="009F52BB"/>
    <w:rsid w:val="009F680F"/>
    <w:rsid w:val="00A01596"/>
    <w:rsid w:val="00A02097"/>
    <w:rsid w:val="00A02743"/>
    <w:rsid w:val="00A06304"/>
    <w:rsid w:val="00A06B8C"/>
    <w:rsid w:val="00A11023"/>
    <w:rsid w:val="00A11F92"/>
    <w:rsid w:val="00A1226C"/>
    <w:rsid w:val="00A12A38"/>
    <w:rsid w:val="00A1486D"/>
    <w:rsid w:val="00A14DD1"/>
    <w:rsid w:val="00A1503F"/>
    <w:rsid w:val="00A163A6"/>
    <w:rsid w:val="00A16559"/>
    <w:rsid w:val="00A2012E"/>
    <w:rsid w:val="00A21DC2"/>
    <w:rsid w:val="00A2269C"/>
    <w:rsid w:val="00A229E3"/>
    <w:rsid w:val="00A2302B"/>
    <w:rsid w:val="00A2698C"/>
    <w:rsid w:val="00A31318"/>
    <w:rsid w:val="00A32FBD"/>
    <w:rsid w:val="00A33B00"/>
    <w:rsid w:val="00A35115"/>
    <w:rsid w:val="00A36660"/>
    <w:rsid w:val="00A36671"/>
    <w:rsid w:val="00A37098"/>
    <w:rsid w:val="00A400C1"/>
    <w:rsid w:val="00A40CFE"/>
    <w:rsid w:val="00A41AA9"/>
    <w:rsid w:val="00A42AA6"/>
    <w:rsid w:val="00A42C8C"/>
    <w:rsid w:val="00A432E6"/>
    <w:rsid w:val="00A46C59"/>
    <w:rsid w:val="00A476A3"/>
    <w:rsid w:val="00A51C79"/>
    <w:rsid w:val="00A51DB3"/>
    <w:rsid w:val="00A52B42"/>
    <w:rsid w:val="00A54CDE"/>
    <w:rsid w:val="00A55D6B"/>
    <w:rsid w:val="00A56F71"/>
    <w:rsid w:val="00A572AA"/>
    <w:rsid w:val="00A57A5F"/>
    <w:rsid w:val="00A57B4B"/>
    <w:rsid w:val="00A60199"/>
    <w:rsid w:val="00A60230"/>
    <w:rsid w:val="00A606B4"/>
    <w:rsid w:val="00A618A1"/>
    <w:rsid w:val="00A62877"/>
    <w:rsid w:val="00A64FBF"/>
    <w:rsid w:val="00A65218"/>
    <w:rsid w:val="00A6562F"/>
    <w:rsid w:val="00A65C32"/>
    <w:rsid w:val="00A67F62"/>
    <w:rsid w:val="00A71B80"/>
    <w:rsid w:val="00A74AD2"/>
    <w:rsid w:val="00A753D2"/>
    <w:rsid w:val="00A75E4D"/>
    <w:rsid w:val="00A768A8"/>
    <w:rsid w:val="00A8215C"/>
    <w:rsid w:val="00A84980"/>
    <w:rsid w:val="00A86610"/>
    <w:rsid w:val="00A86E89"/>
    <w:rsid w:val="00A87699"/>
    <w:rsid w:val="00A87953"/>
    <w:rsid w:val="00A96213"/>
    <w:rsid w:val="00A96AF1"/>
    <w:rsid w:val="00AA20B2"/>
    <w:rsid w:val="00AA2B7D"/>
    <w:rsid w:val="00AA2FF6"/>
    <w:rsid w:val="00AA3714"/>
    <w:rsid w:val="00AA5C00"/>
    <w:rsid w:val="00AB0577"/>
    <w:rsid w:val="00AB3187"/>
    <w:rsid w:val="00AB3660"/>
    <w:rsid w:val="00AB3FE5"/>
    <w:rsid w:val="00AB7D1C"/>
    <w:rsid w:val="00AC0A2F"/>
    <w:rsid w:val="00AC1087"/>
    <w:rsid w:val="00AC1FB5"/>
    <w:rsid w:val="00AC2422"/>
    <w:rsid w:val="00AC2F46"/>
    <w:rsid w:val="00AC3547"/>
    <w:rsid w:val="00AC3F12"/>
    <w:rsid w:val="00AC4B1B"/>
    <w:rsid w:val="00AC65C7"/>
    <w:rsid w:val="00AC6AC9"/>
    <w:rsid w:val="00AC7098"/>
    <w:rsid w:val="00AC7EF1"/>
    <w:rsid w:val="00AD0B34"/>
    <w:rsid w:val="00AD2B7C"/>
    <w:rsid w:val="00AD3E88"/>
    <w:rsid w:val="00AD5DCC"/>
    <w:rsid w:val="00AD71D8"/>
    <w:rsid w:val="00AE01A4"/>
    <w:rsid w:val="00AE03C5"/>
    <w:rsid w:val="00AE09B9"/>
    <w:rsid w:val="00AE1C88"/>
    <w:rsid w:val="00AE1FD4"/>
    <w:rsid w:val="00AE36CA"/>
    <w:rsid w:val="00AE48EA"/>
    <w:rsid w:val="00AE49B4"/>
    <w:rsid w:val="00AE6346"/>
    <w:rsid w:val="00AE6D7F"/>
    <w:rsid w:val="00AF0F90"/>
    <w:rsid w:val="00AF2386"/>
    <w:rsid w:val="00AF37CE"/>
    <w:rsid w:val="00AF3C7B"/>
    <w:rsid w:val="00AF3EC1"/>
    <w:rsid w:val="00AF5D8D"/>
    <w:rsid w:val="00AF62F2"/>
    <w:rsid w:val="00AF67D9"/>
    <w:rsid w:val="00AF6B94"/>
    <w:rsid w:val="00B018F7"/>
    <w:rsid w:val="00B02238"/>
    <w:rsid w:val="00B03CDA"/>
    <w:rsid w:val="00B05C5E"/>
    <w:rsid w:val="00B05D15"/>
    <w:rsid w:val="00B133A6"/>
    <w:rsid w:val="00B147B0"/>
    <w:rsid w:val="00B22D95"/>
    <w:rsid w:val="00B23299"/>
    <w:rsid w:val="00B234C8"/>
    <w:rsid w:val="00B23C90"/>
    <w:rsid w:val="00B24345"/>
    <w:rsid w:val="00B2467A"/>
    <w:rsid w:val="00B253E7"/>
    <w:rsid w:val="00B26198"/>
    <w:rsid w:val="00B27E7E"/>
    <w:rsid w:val="00B301C7"/>
    <w:rsid w:val="00B31971"/>
    <w:rsid w:val="00B339AD"/>
    <w:rsid w:val="00B34CF8"/>
    <w:rsid w:val="00B3733A"/>
    <w:rsid w:val="00B40207"/>
    <w:rsid w:val="00B40D9E"/>
    <w:rsid w:val="00B41979"/>
    <w:rsid w:val="00B4240F"/>
    <w:rsid w:val="00B43CEA"/>
    <w:rsid w:val="00B444FC"/>
    <w:rsid w:val="00B46983"/>
    <w:rsid w:val="00B4725F"/>
    <w:rsid w:val="00B514AE"/>
    <w:rsid w:val="00B53C48"/>
    <w:rsid w:val="00B55530"/>
    <w:rsid w:val="00B557F8"/>
    <w:rsid w:val="00B55FF1"/>
    <w:rsid w:val="00B571D6"/>
    <w:rsid w:val="00B57C78"/>
    <w:rsid w:val="00B611C5"/>
    <w:rsid w:val="00B613A2"/>
    <w:rsid w:val="00B65ABA"/>
    <w:rsid w:val="00B704F8"/>
    <w:rsid w:val="00B712F5"/>
    <w:rsid w:val="00B71FB7"/>
    <w:rsid w:val="00B7347B"/>
    <w:rsid w:val="00B73B9C"/>
    <w:rsid w:val="00B7463C"/>
    <w:rsid w:val="00B75228"/>
    <w:rsid w:val="00B77210"/>
    <w:rsid w:val="00B819B8"/>
    <w:rsid w:val="00B8373F"/>
    <w:rsid w:val="00B8418F"/>
    <w:rsid w:val="00B86040"/>
    <w:rsid w:val="00B8712F"/>
    <w:rsid w:val="00B90AAA"/>
    <w:rsid w:val="00B90CC3"/>
    <w:rsid w:val="00B914A4"/>
    <w:rsid w:val="00B91F26"/>
    <w:rsid w:val="00B93553"/>
    <w:rsid w:val="00BA0A7E"/>
    <w:rsid w:val="00BA1135"/>
    <w:rsid w:val="00BA142D"/>
    <w:rsid w:val="00BA2DB3"/>
    <w:rsid w:val="00BA355D"/>
    <w:rsid w:val="00BA45F2"/>
    <w:rsid w:val="00BA7B16"/>
    <w:rsid w:val="00BB05EA"/>
    <w:rsid w:val="00BB15B7"/>
    <w:rsid w:val="00BB1B29"/>
    <w:rsid w:val="00BB1D41"/>
    <w:rsid w:val="00BB3F75"/>
    <w:rsid w:val="00BB4472"/>
    <w:rsid w:val="00BB5719"/>
    <w:rsid w:val="00BB5E77"/>
    <w:rsid w:val="00BB5E8D"/>
    <w:rsid w:val="00BB75C7"/>
    <w:rsid w:val="00BC1841"/>
    <w:rsid w:val="00BC2A2D"/>
    <w:rsid w:val="00BC3304"/>
    <w:rsid w:val="00BC39E2"/>
    <w:rsid w:val="00BC5BC2"/>
    <w:rsid w:val="00BC6DFC"/>
    <w:rsid w:val="00BC7809"/>
    <w:rsid w:val="00BD0963"/>
    <w:rsid w:val="00BD0C92"/>
    <w:rsid w:val="00BD0F20"/>
    <w:rsid w:val="00BD1166"/>
    <w:rsid w:val="00BD2227"/>
    <w:rsid w:val="00BD243B"/>
    <w:rsid w:val="00BD2933"/>
    <w:rsid w:val="00BD4773"/>
    <w:rsid w:val="00BD6D9A"/>
    <w:rsid w:val="00BD7894"/>
    <w:rsid w:val="00BD7B4D"/>
    <w:rsid w:val="00BE0DE8"/>
    <w:rsid w:val="00BE1030"/>
    <w:rsid w:val="00BE3A50"/>
    <w:rsid w:val="00BE556D"/>
    <w:rsid w:val="00BE5691"/>
    <w:rsid w:val="00BF06F6"/>
    <w:rsid w:val="00BF1A19"/>
    <w:rsid w:val="00BF5E98"/>
    <w:rsid w:val="00C0037B"/>
    <w:rsid w:val="00C0143B"/>
    <w:rsid w:val="00C014A4"/>
    <w:rsid w:val="00C023B5"/>
    <w:rsid w:val="00C02F23"/>
    <w:rsid w:val="00C04CA1"/>
    <w:rsid w:val="00C056A8"/>
    <w:rsid w:val="00C06A38"/>
    <w:rsid w:val="00C074F8"/>
    <w:rsid w:val="00C10841"/>
    <w:rsid w:val="00C113FB"/>
    <w:rsid w:val="00C12508"/>
    <w:rsid w:val="00C13289"/>
    <w:rsid w:val="00C13309"/>
    <w:rsid w:val="00C13391"/>
    <w:rsid w:val="00C1401C"/>
    <w:rsid w:val="00C14047"/>
    <w:rsid w:val="00C142B1"/>
    <w:rsid w:val="00C156C9"/>
    <w:rsid w:val="00C15F79"/>
    <w:rsid w:val="00C16B72"/>
    <w:rsid w:val="00C1753B"/>
    <w:rsid w:val="00C20553"/>
    <w:rsid w:val="00C20F5E"/>
    <w:rsid w:val="00C22391"/>
    <w:rsid w:val="00C22F33"/>
    <w:rsid w:val="00C2396A"/>
    <w:rsid w:val="00C240AF"/>
    <w:rsid w:val="00C2588E"/>
    <w:rsid w:val="00C26F11"/>
    <w:rsid w:val="00C27537"/>
    <w:rsid w:val="00C27F9D"/>
    <w:rsid w:val="00C32CA9"/>
    <w:rsid w:val="00C357C6"/>
    <w:rsid w:val="00C36DF4"/>
    <w:rsid w:val="00C3703E"/>
    <w:rsid w:val="00C37FC4"/>
    <w:rsid w:val="00C420D2"/>
    <w:rsid w:val="00C424E8"/>
    <w:rsid w:val="00C4365E"/>
    <w:rsid w:val="00C453B7"/>
    <w:rsid w:val="00C50E21"/>
    <w:rsid w:val="00C515D4"/>
    <w:rsid w:val="00C51ACF"/>
    <w:rsid w:val="00C5253B"/>
    <w:rsid w:val="00C52F17"/>
    <w:rsid w:val="00C5384F"/>
    <w:rsid w:val="00C53A3D"/>
    <w:rsid w:val="00C549FC"/>
    <w:rsid w:val="00C61432"/>
    <w:rsid w:val="00C61582"/>
    <w:rsid w:val="00C61B81"/>
    <w:rsid w:val="00C64854"/>
    <w:rsid w:val="00C64960"/>
    <w:rsid w:val="00C65C59"/>
    <w:rsid w:val="00C66311"/>
    <w:rsid w:val="00C674B0"/>
    <w:rsid w:val="00C70B3D"/>
    <w:rsid w:val="00C715D3"/>
    <w:rsid w:val="00C71B12"/>
    <w:rsid w:val="00C777A1"/>
    <w:rsid w:val="00C77E57"/>
    <w:rsid w:val="00C83246"/>
    <w:rsid w:val="00C85C48"/>
    <w:rsid w:val="00C87063"/>
    <w:rsid w:val="00C90E53"/>
    <w:rsid w:val="00C92B0F"/>
    <w:rsid w:val="00C92F2F"/>
    <w:rsid w:val="00C9447C"/>
    <w:rsid w:val="00C952E5"/>
    <w:rsid w:val="00CA185B"/>
    <w:rsid w:val="00CA188C"/>
    <w:rsid w:val="00CA293F"/>
    <w:rsid w:val="00CA2C06"/>
    <w:rsid w:val="00CA2C2A"/>
    <w:rsid w:val="00CA2EC6"/>
    <w:rsid w:val="00CA38A8"/>
    <w:rsid w:val="00CA4849"/>
    <w:rsid w:val="00CA63D3"/>
    <w:rsid w:val="00CA75E3"/>
    <w:rsid w:val="00CB025C"/>
    <w:rsid w:val="00CB0779"/>
    <w:rsid w:val="00CB0B97"/>
    <w:rsid w:val="00CB141F"/>
    <w:rsid w:val="00CB464D"/>
    <w:rsid w:val="00CB5545"/>
    <w:rsid w:val="00CB5A57"/>
    <w:rsid w:val="00CB70EC"/>
    <w:rsid w:val="00CB7FAA"/>
    <w:rsid w:val="00CC2A65"/>
    <w:rsid w:val="00CC2B80"/>
    <w:rsid w:val="00CC3855"/>
    <w:rsid w:val="00CC42A2"/>
    <w:rsid w:val="00CC7F21"/>
    <w:rsid w:val="00CD084F"/>
    <w:rsid w:val="00CD0CDF"/>
    <w:rsid w:val="00CD18F2"/>
    <w:rsid w:val="00CD1923"/>
    <w:rsid w:val="00CD49F8"/>
    <w:rsid w:val="00CD5131"/>
    <w:rsid w:val="00CD683C"/>
    <w:rsid w:val="00CD6F65"/>
    <w:rsid w:val="00CE0E54"/>
    <w:rsid w:val="00CE18CD"/>
    <w:rsid w:val="00CE1946"/>
    <w:rsid w:val="00CE265A"/>
    <w:rsid w:val="00CE2795"/>
    <w:rsid w:val="00CE32B1"/>
    <w:rsid w:val="00CE3819"/>
    <w:rsid w:val="00CE41BE"/>
    <w:rsid w:val="00CE4298"/>
    <w:rsid w:val="00CE4AB8"/>
    <w:rsid w:val="00CF0616"/>
    <w:rsid w:val="00CF0EB3"/>
    <w:rsid w:val="00CF1E81"/>
    <w:rsid w:val="00CF3D12"/>
    <w:rsid w:val="00CF4D7F"/>
    <w:rsid w:val="00CF5EFB"/>
    <w:rsid w:val="00CF6113"/>
    <w:rsid w:val="00CF7BE2"/>
    <w:rsid w:val="00D008A2"/>
    <w:rsid w:val="00D01EA6"/>
    <w:rsid w:val="00D02234"/>
    <w:rsid w:val="00D0260C"/>
    <w:rsid w:val="00D02FAD"/>
    <w:rsid w:val="00D04E7B"/>
    <w:rsid w:val="00D05866"/>
    <w:rsid w:val="00D05E99"/>
    <w:rsid w:val="00D072BE"/>
    <w:rsid w:val="00D11758"/>
    <w:rsid w:val="00D13574"/>
    <w:rsid w:val="00D14BC6"/>
    <w:rsid w:val="00D14F05"/>
    <w:rsid w:val="00D1687D"/>
    <w:rsid w:val="00D17626"/>
    <w:rsid w:val="00D22B1C"/>
    <w:rsid w:val="00D2313A"/>
    <w:rsid w:val="00D23871"/>
    <w:rsid w:val="00D24523"/>
    <w:rsid w:val="00D2659E"/>
    <w:rsid w:val="00D27758"/>
    <w:rsid w:val="00D309FB"/>
    <w:rsid w:val="00D31385"/>
    <w:rsid w:val="00D32619"/>
    <w:rsid w:val="00D32639"/>
    <w:rsid w:val="00D3386E"/>
    <w:rsid w:val="00D33D39"/>
    <w:rsid w:val="00D341A0"/>
    <w:rsid w:val="00D35EE8"/>
    <w:rsid w:val="00D36560"/>
    <w:rsid w:val="00D40900"/>
    <w:rsid w:val="00D41CF8"/>
    <w:rsid w:val="00D44221"/>
    <w:rsid w:val="00D44B0E"/>
    <w:rsid w:val="00D455FB"/>
    <w:rsid w:val="00D463CC"/>
    <w:rsid w:val="00D507FA"/>
    <w:rsid w:val="00D509ED"/>
    <w:rsid w:val="00D509FA"/>
    <w:rsid w:val="00D50A7A"/>
    <w:rsid w:val="00D51406"/>
    <w:rsid w:val="00D52DCE"/>
    <w:rsid w:val="00D535E2"/>
    <w:rsid w:val="00D55F89"/>
    <w:rsid w:val="00D5607D"/>
    <w:rsid w:val="00D56C1C"/>
    <w:rsid w:val="00D57F55"/>
    <w:rsid w:val="00D6233D"/>
    <w:rsid w:val="00D63FCA"/>
    <w:rsid w:val="00D645A3"/>
    <w:rsid w:val="00D649D5"/>
    <w:rsid w:val="00D65712"/>
    <w:rsid w:val="00D6605D"/>
    <w:rsid w:val="00D672DE"/>
    <w:rsid w:val="00D701D5"/>
    <w:rsid w:val="00D71048"/>
    <w:rsid w:val="00D7144E"/>
    <w:rsid w:val="00D7154D"/>
    <w:rsid w:val="00D7487D"/>
    <w:rsid w:val="00D7601C"/>
    <w:rsid w:val="00D77478"/>
    <w:rsid w:val="00D7772A"/>
    <w:rsid w:val="00D81B9E"/>
    <w:rsid w:val="00D836B4"/>
    <w:rsid w:val="00D836DC"/>
    <w:rsid w:val="00D83F5A"/>
    <w:rsid w:val="00D85790"/>
    <w:rsid w:val="00D9469B"/>
    <w:rsid w:val="00D97E7A"/>
    <w:rsid w:val="00DA010B"/>
    <w:rsid w:val="00DA12A1"/>
    <w:rsid w:val="00DA2C8B"/>
    <w:rsid w:val="00DA3547"/>
    <w:rsid w:val="00DA3B56"/>
    <w:rsid w:val="00DA7AD7"/>
    <w:rsid w:val="00DB0037"/>
    <w:rsid w:val="00DB0D7C"/>
    <w:rsid w:val="00DB25D0"/>
    <w:rsid w:val="00DB4879"/>
    <w:rsid w:val="00DB4FD2"/>
    <w:rsid w:val="00DB5AD7"/>
    <w:rsid w:val="00DB6545"/>
    <w:rsid w:val="00DB7CA5"/>
    <w:rsid w:val="00DC0F23"/>
    <w:rsid w:val="00DC1E5C"/>
    <w:rsid w:val="00DC1E73"/>
    <w:rsid w:val="00DC21CA"/>
    <w:rsid w:val="00DC29F7"/>
    <w:rsid w:val="00DC3167"/>
    <w:rsid w:val="00DC4344"/>
    <w:rsid w:val="00DC4B78"/>
    <w:rsid w:val="00DC562C"/>
    <w:rsid w:val="00DC5965"/>
    <w:rsid w:val="00DC675C"/>
    <w:rsid w:val="00DC725E"/>
    <w:rsid w:val="00DC7CC0"/>
    <w:rsid w:val="00DD02C7"/>
    <w:rsid w:val="00DD2A4A"/>
    <w:rsid w:val="00DD2ECC"/>
    <w:rsid w:val="00DD5546"/>
    <w:rsid w:val="00DE29D6"/>
    <w:rsid w:val="00DE4B13"/>
    <w:rsid w:val="00DE545B"/>
    <w:rsid w:val="00DE74D0"/>
    <w:rsid w:val="00DE77D1"/>
    <w:rsid w:val="00DE7E43"/>
    <w:rsid w:val="00DF0C7D"/>
    <w:rsid w:val="00DF1BA1"/>
    <w:rsid w:val="00DF2E67"/>
    <w:rsid w:val="00DF3536"/>
    <w:rsid w:val="00DF4160"/>
    <w:rsid w:val="00DF464C"/>
    <w:rsid w:val="00E007A6"/>
    <w:rsid w:val="00E057D7"/>
    <w:rsid w:val="00E079C6"/>
    <w:rsid w:val="00E11131"/>
    <w:rsid w:val="00E117AB"/>
    <w:rsid w:val="00E123E5"/>
    <w:rsid w:val="00E14B20"/>
    <w:rsid w:val="00E14F8C"/>
    <w:rsid w:val="00E159AE"/>
    <w:rsid w:val="00E15B4D"/>
    <w:rsid w:val="00E17F5A"/>
    <w:rsid w:val="00E210D4"/>
    <w:rsid w:val="00E22076"/>
    <w:rsid w:val="00E220C0"/>
    <w:rsid w:val="00E22376"/>
    <w:rsid w:val="00E225AA"/>
    <w:rsid w:val="00E2516A"/>
    <w:rsid w:val="00E252B5"/>
    <w:rsid w:val="00E2624B"/>
    <w:rsid w:val="00E26E5F"/>
    <w:rsid w:val="00E26F52"/>
    <w:rsid w:val="00E30670"/>
    <w:rsid w:val="00E33C3A"/>
    <w:rsid w:val="00E3440F"/>
    <w:rsid w:val="00E35A47"/>
    <w:rsid w:val="00E4035D"/>
    <w:rsid w:val="00E426CB"/>
    <w:rsid w:val="00E427D2"/>
    <w:rsid w:val="00E436B5"/>
    <w:rsid w:val="00E43F71"/>
    <w:rsid w:val="00E44043"/>
    <w:rsid w:val="00E44EA0"/>
    <w:rsid w:val="00E45D60"/>
    <w:rsid w:val="00E46CE8"/>
    <w:rsid w:val="00E46E25"/>
    <w:rsid w:val="00E47144"/>
    <w:rsid w:val="00E47B65"/>
    <w:rsid w:val="00E47F19"/>
    <w:rsid w:val="00E516AD"/>
    <w:rsid w:val="00E518B4"/>
    <w:rsid w:val="00E5225C"/>
    <w:rsid w:val="00E53344"/>
    <w:rsid w:val="00E54A79"/>
    <w:rsid w:val="00E54FC8"/>
    <w:rsid w:val="00E55077"/>
    <w:rsid w:val="00E55753"/>
    <w:rsid w:val="00E559CC"/>
    <w:rsid w:val="00E55B79"/>
    <w:rsid w:val="00E55F75"/>
    <w:rsid w:val="00E57305"/>
    <w:rsid w:val="00E607F0"/>
    <w:rsid w:val="00E60BB3"/>
    <w:rsid w:val="00E63175"/>
    <w:rsid w:val="00E637E3"/>
    <w:rsid w:val="00E63905"/>
    <w:rsid w:val="00E667AF"/>
    <w:rsid w:val="00E6782B"/>
    <w:rsid w:val="00E70E98"/>
    <w:rsid w:val="00E714A0"/>
    <w:rsid w:val="00E72510"/>
    <w:rsid w:val="00E7318B"/>
    <w:rsid w:val="00E7378D"/>
    <w:rsid w:val="00E739B9"/>
    <w:rsid w:val="00E82EE6"/>
    <w:rsid w:val="00E84465"/>
    <w:rsid w:val="00E85284"/>
    <w:rsid w:val="00E858F0"/>
    <w:rsid w:val="00E8755C"/>
    <w:rsid w:val="00E90868"/>
    <w:rsid w:val="00E924DC"/>
    <w:rsid w:val="00E92D31"/>
    <w:rsid w:val="00E9628E"/>
    <w:rsid w:val="00E97BAE"/>
    <w:rsid w:val="00EA14C7"/>
    <w:rsid w:val="00EA1A93"/>
    <w:rsid w:val="00EA2359"/>
    <w:rsid w:val="00EA3548"/>
    <w:rsid w:val="00EA42AA"/>
    <w:rsid w:val="00EA5D1C"/>
    <w:rsid w:val="00EA6944"/>
    <w:rsid w:val="00EA7204"/>
    <w:rsid w:val="00EB64F5"/>
    <w:rsid w:val="00EB6CA1"/>
    <w:rsid w:val="00EB6F27"/>
    <w:rsid w:val="00EB7C16"/>
    <w:rsid w:val="00EC0A68"/>
    <w:rsid w:val="00EC113B"/>
    <w:rsid w:val="00EC18C2"/>
    <w:rsid w:val="00EC1BFD"/>
    <w:rsid w:val="00EC1C07"/>
    <w:rsid w:val="00EC3D7A"/>
    <w:rsid w:val="00EC6683"/>
    <w:rsid w:val="00EC6CA0"/>
    <w:rsid w:val="00EC7EC7"/>
    <w:rsid w:val="00ED046E"/>
    <w:rsid w:val="00ED0AAE"/>
    <w:rsid w:val="00ED0BE2"/>
    <w:rsid w:val="00ED0D42"/>
    <w:rsid w:val="00ED1BC3"/>
    <w:rsid w:val="00ED217F"/>
    <w:rsid w:val="00ED2A0C"/>
    <w:rsid w:val="00ED328E"/>
    <w:rsid w:val="00ED3392"/>
    <w:rsid w:val="00ED3462"/>
    <w:rsid w:val="00ED36AB"/>
    <w:rsid w:val="00ED3979"/>
    <w:rsid w:val="00ED6D59"/>
    <w:rsid w:val="00EE12CD"/>
    <w:rsid w:val="00EE4228"/>
    <w:rsid w:val="00EE5884"/>
    <w:rsid w:val="00EE6CF0"/>
    <w:rsid w:val="00EE7C4A"/>
    <w:rsid w:val="00EE7C7E"/>
    <w:rsid w:val="00EF0D11"/>
    <w:rsid w:val="00EF202A"/>
    <w:rsid w:val="00EF2332"/>
    <w:rsid w:val="00EF2EAB"/>
    <w:rsid w:val="00EF6010"/>
    <w:rsid w:val="00EF6459"/>
    <w:rsid w:val="00EF7295"/>
    <w:rsid w:val="00EF7A8F"/>
    <w:rsid w:val="00EF7CE8"/>
    <w:rsid w:val="00F03A81"/>
    <w:rsid w:val="00F0424F"/>
    <w:rsid w:val="00F053E3"/>
    <w:rsid w:val="00F0592B"/>
    <w:rsid w:val="00F06549"/>
    <w:rsid w:val="00F07112"/>
    <w:rsid w:val="00F10EC4"/>
    <w:rsid w:val="00F13DF3"/>
    <w:rsid w:val="00F1401D"/>
    <w:rsid w:val="00F15D28"/>
    <w:rsid w:val="00F17ABE"/>
    <w:rsid w:val="00F235FB"/>
    <w:rsid w:val="00F2412D"/>
    <w:rsid w:val="00F25B95"/>
    <w:rsid w:val="00F2687B"/>
    <w:rsid w:val="00F33A05"/>
    <w:rsid w:val="00F33A0C"/>
    <w:rsid w:val="00F34AAD"/>
    <w:rsid w:val="00F34F06"/>
    <w:rsid w:val="00F352C1"/>
    <w:rsid w:val="00F3792A"/>
    <w:rsid w:val="00F4005A"/>
    <w:rsid w:val="00F4427A"/>
    <w:rsid w:val="00F448F0"/>
    <w:rsid w:val="00F467B7"/>
    <w:rsid w:val="00F470E2"/>
    <w:rsid w:val="00F50748"/>
    <w:rsid w:val="00F5193B"/>
    <w:rsid w:val="00F53880"/>
    <w:rsid w:val="00F5425C"/>
    <w:rsid w:val="00F552AE"/>
    <w:rsid w:val="00F55AA1"/>
    <w:rsid w:val="00F55D39"/>
    <w:rsid w:val="00F612F7"/>
    <w:rsid w:val="00F613E9"/>
    <w:rsid w:val="00F614C6"/>
    <w:rsid w:val="00F61ABE"/>
    <w:rsid w:val="00F637CF"/>
    <w:rsid w:val="00F6454D"/>
    <w:rsid w:val="00F64AE7"/>
    <w:rsid w:val="00F653AB"/>
    <w:rsid w:val="00F673CF"/>
    <w:rsid w:val="00F6780B"/>
    <w:rsid w:val="00F70240"/>
    <w:rsid w:val="00F7196D"/>
    <w:rsid w:val="00F720EC"/>
    <w:rsid w:val="00F72875"/>
    <w:rsid w:val="00F72B3A"/>
    <w:rsid w:val="00F7411F"/>
    <w:rsid w:val="00F741A1"/>
    <w:rsid w:val="00F75FAA"/>
    <w:rsid w:val="00F76BF8"/>
    <w:rsid w:val="00F773CD"/>
    <w:rsid w:val="00F80AF4"/>
    <w:rsid w:val="00F8106D"/>
    <w:rsid w:val="00F8207A"/>
    <w:rsid w:val="00F8263D"/>
    <w:rsid w:val="00F82F06"/>
    <w:rsid w:val="00F8350F"/>
    <w:rsid w:val="00F838D9"/>
    <w:rsid w:val="00F85C4B"/>
    <w:rsid w:val="00F868FC"/>
    <w:rsid w:val="00F91E90"/>
    <w:rsid w:val="00F928A3"/>
    <w:rsid w:val="00F92A51"/>
    <w:rsid w:val="00F949A1"/>
    <w:rsid w:val="00F95127"/>
    <w:rsid w:val="00F9568A"/>
    <w:rsid w:val="00F965AF"/>
    <w:rsid w:val="00F96D52"/>
    <w:rsid w:val="00F9787B"/>
    <w:rsid w:val="00FA019A"/>
    <w:rsid w:val="00FA2756"/>
    <w:rsid w:val="00FA2FB2"/>
    <w:rsid w:val="00FA61C0"/>
    <w:rsid w:val="00FA7E19"/>
    <w:rsid w:val="00FB200E"/>
    <w:rsid w:val="00FB41E1"/>
    <w:rsid w:val="00FB46B4"/>
    <w:rsid w:val="00FB4CB7"/>
    <w:rsid w:val="00FB60CF"/>
    <w:rsid w:val="00FB6631"/>
    <w:rsid w:val="00FC0D84"/>
    <w:rsid w:val="00FC2EE5"/>
    <w:rsid w:val="00FC2EF4"/>
    <w:rsid w:val="00FC2FE5"/>
    <w:rsid w:val="00FC31E3"/>
    <w:rsid w:val="00FC34E8"/>
    <w:rsid w:val="00FC54E1"/>
    <w:rsid w:val="00FC57E2"/>
    <w:rsid w:val="00FC5886"/>
    <w:rsid w:val="00FC6609"/>
    <w:rsid w:val="00FD1F03"/>
    <w:rsid w:val="00FD2D1E"/>
    <w:rsid w:val="00FD319E"/>
    <w:rsid w:val="00FD7BEC"/>
    <w:rsid w:val="00FE1ACC"/>
    <w:rsid w:val="00FE1FFB"/>
    <w:rsid w:val="00FE21DA"/>
    <w:rsid w:val="00FE2B23"/>
    <w:rsid w:val="00FE2E26"/>
    <w:rsid w:val="00FE3B7D"/>
    <w:rsid w:val="00FE6103"/>
    <w:rsid w:val="00FE74D3"/>
    <w:rsid w:val="00FE77C7"/>
    <w:rsid w:val="00FF00DE"/>
    <w:rsid w:val="00FF28E7"/>
    <w:rsid w:val="00FF4BB6"/>
    <w:rsid w:val="00FF60BB"/>
    <w:rsid w:val="00FF7E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0D8C"/>
  <w15:chartTrackingRefBased/>
  <w15:docId w15:val="{E604A844-7B31-417B-82E6-0052BE60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E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E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E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E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E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E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E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E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E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E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E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E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E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E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E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EF1"/>
    <w:rPr>
      <w:rFonts w:eastAsiaTheme="majorEastAsia" w:cstheme="majorBidi"/>
      <w:color w:val="272727" w:themeColor="text1" w:themeTint="D8"/>
    </w:rPr>
  </w:style>
  <w:style w:type="paragraph" w:styleId="Ttulo">
    <w:name w:val="Title"/>
    <w:basedOn w:val="Normal"/>
    <w:next w:val="Normal"/>
    <w:link w:val="TtuloCar"/>
    <w:uiPriority w:val="10"/>
    <w:qFormat/>
    <w:rsid w:val="00AC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E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E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E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EF1"/>
    <w:pPr>
      <w:spacing w:before="160"/>
      <w:jc w:val="center"/>
    </w:pPr>
    <w:rPr>
      <w:i/>
      <w:iCs/>
      <w:color w:val="404040" w:themeColor="text1" w:themeTint="BF"/>
    </w:rPr>
  </w:style>
  <w:style w:type="character" w:customStyle="1" w:styleId="CitaCar">
    <w:name w:val="Cita Car"/>
    <w:basedOn w:val="Fuentedeprrafopredeter"/>
    <w:link w:val="Cita"/>
    <w:uiPriority w:val="29"/>
    <w:rsid w:val="00AC7EF1"/>
    <w:rPr>
      <w:i/>
      <w:iCs/>
      <w:color w:val="404040" w:themeColor="text1" w:themeTint="BF"/>
    </w:rPr>
  </w:style>
  <w:style w:type="paragraph" w:styleId="Prrafodelista">
    <w:name w:val="List Paragraph"/>
    <w:basedOn w:val="Normal"/>
    <w:uiPriority w:val="34"/>
    <w:qFormat/>
    <w:rsid w:val="00AC7EF1"/>
    <w:pPr>
      <w:ind w:left="720"/>
      <w:contextualSpacing/>
    </w:pPr>
  </w:style>
  <w:style w:type="character" w:styleId="nfasisintenso">
    <w:name w:val="Intense Emphasis"/>
    <w:basedOn w:val="Fuentedeprrafopredeter"/>
    <w:uiPriority w:val="21"/>
    <w:qFormat/>
    <w:rsid w:val="00AC7EF1"/>
    <w:rPr>
      <w:i/>
      <w:iCs/>
      <w:color w:val="0F4761" w:themeColor="accent1" w:themeShade="BF"/>
    </w:rPr>
  </w:style>
  <w:style w:type="paragraph" w:styleId="Citadestacada">
    <w:name w:val="Intense Quote"/>
    <w:basedOn w:val="Normal"/>
    <w:next w:val="Normal"/>
    <w:link w:val="CitadestacadaCar"/>
    <w:uiPriority w:val="30"/>
    <w:qFormat/>
    <w:rsid w:val="00AC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EF1"/>
    <w:rPr>
      <w:i/>
      <w:iCs/>
      <w:color w:val="0F4761" w:themeColor="accent1" w:themeShade="BF"/>
    </w:rPr>
  </w:style>
  <w:style w:type="character" w:styleId="Referenciaintensa">
    <w:name w:val="Intense Reference"/>
    <w:basedOn w:val="Fuentedeprrafopredeter"/>
    <w:uiPriority w:val="32"/>
    <w:qFormat/>
    <w:rsid w:val="00AC7EF1"/>
    <w:rPr>
      <w:b/>
      <w:bCs/>
      <w:smallCaps/>
      <w:color w:val="0F4761" w:themeColor="accent1" w:themeShade="BF"/>
      <w:spacing w:val="5"/>
    </w:rPr>
  </w:style>
  <w:style w:type="paragraph" w:styleId="Encabezado">
    <w:name w:val="header"/>
    <w:basedOn w:val="Normal"/>
    <w:link w:val="EncabezadoCar"/>
    <w:uiPriority w:val="99"/>
    <w:unhideWhenUsed/>
    <w:rsid w:val="00271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86E"/>
  </w:style>
  <w:style w:type="paragraph" w:styleId="Piedepgina">
    <w:name w:val="footer"/>
    <w:basedOn w:val="Normal"/>
    <w:link w:val="PiedepginaCar"/>
    <w:uiPriority w:val="99"/>
    <w:unhideWhenUsed/>
    <w:rsid w:val="00271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86E"/>
  </w:style>
  <w:style w:type="character" w:styleId="Hipervnculo">
    <w:name w:val="Hyperlink"/>
    <w:uiPriority w:val="99"/>
    <w:unhideWhenUsed/>
    <w:rsid w:val="005D0781"/>
    <w:rPr>
      <w:color w:val="0000FF"/>
      <w:u w:val="single"/>
    </w:rPr>
  </w:style>
  <w:style w:type="paragraph" w:styleId="NormalWeb">
    <w:name w:val="Normal (Web)"/>
    <w:basedOn w:val="Normal"/>
    <w:uiPriority w:val="99"/>
    <w:unhideWhenUsed/>
    <w:rsid w:val="00534AA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Mencinsinresolver">
    <w:name w:val="Unresolved Mention"/>
    <w:basedOn w:val="Fuentedeprrafopredeter"/>
    <w:uiPriority w:val="99"/>
    <w:semiHidden/>
    <w:unhideWhenUsed/>
    <w:rsid w:val="000B68C2"/>
    <w:rPr>
      <w:color w:val="605E5C"/>
      <w:shd w:val="clear" w:color="auto" w:fill="E1DFDD"/>
    </w:rPr>
  </w:style>
  <w:style w:type="character" w:styleId="Textoennegrita">
    <w:name w:val="Strong"/>
    <w:basedOn w:val="Fuentedeprrafopredeter"/>
    <w:uiPriority w:val="22"/>
    <w:qFormat/>
    <w:rsid w:val="00862381"/>
    <w:rPr>
      <w:b/>
      <w:bCs/>
    </w:rPr>
  </w:style>
  <w:style w:type="character" w:customStyle="1" w:styleId="ui-provider">
    <w:name w:val="ui-provider"/>
    <w:basedOn w:val="Fuentedeprrafopredeter"/>
    <w:rsid w:val="00B57C78"/>
  </w:style>
  <w:style w:type="character" w:styleId="Refdecomentario">
    <w:name w:val="annotation reference"/>
    <w:basedOn w:val="Fuentedeprrafopredeter"/>
    <w:uiPriority w:val="99"/>
    <w:semiHidden/>
    <w:unhideWhenUsed/>
    <w:rsid w:val="00D836DC"/>
    <w:rPr>
      <w:sz w:val="16"/>
      <w:szCs w:val="16"/>
    </w:rPr>
  </w:style>
  <w:style w:type="paragraph" w:styleId="Textocomentario">
    <w:name w:val="annotation text"/>
    <w:basedOn w:val="Normal"/>
    <w:link w:val="TextocomentarioCar"/>
    <w:uiPriority w:val="99"/>
    <w:unhideWhenUsed/>
    <w:rsid w:val="00D836DC"/>
    <w:pPr>
      <w:spacing w:line="240" w:lineRule="auto"/>
    </w:pPr>
    <w:rPr>
      <w:sz w:val="20"/>
      <w:szCs w:val="20"/>
    </w:rPr>
  </w:style>
  <w:style w:type="character" w:customStyle="1" w:styleId="TextocomentarioCar">
    <w:name w:val="Texto comentario Car"/>
    <w:basedOn w:val="Fuentedeprrafopredeter"/>
    <w:link w:val="Textocomentario"/>
    <w:uiPriority w:val="99"/>
    <w:rsid w:val="00D836DC"/>
    <w:rPr>
      <w:sz w:val="20"/>
      <w:szCs w:val="20"/>
    </w:rPr>
  </w:style>
  <w:style w:type="paragraph" w:styleId="Asuntodelcomentario">
    <w:name w:val="annotation subject"/>
    <w:basedOn w:val="Textocomentario"/>
    <w:next w:val="Textocomentario"/>
    <w:link w:val="AsuntodelcomentarioCar"/>
    <w:uiPriority w:val="99"/>
    <w:semiHidden/>
    <w:unhideWhenUsed/>
    <w:rsid w:val="00D836DC"/>
    <w:rPr>
      <w:b/>
      <w:bCs/>
    </w:rPr>
  </w:style>
  <w:style w:type="character" w:customStyle="1" w:styleId="AsuntodelcomentarioCar">
    <w:name w:val="Asunto del comentario Car"/>
    <w:basedOn w:val="TextocomentarioCar"/>
    <w:link w:val="Asuntodelcomentario"/>
    <w:uiPriority w:val="99"/>
    <w:semiHidden/>
    <w:rsid w:val="00D836DC"/>
    <w:rPr>
      <w:b/>
      <w:bCs/>
      <w:sz w:val="20"/>
      <w:szCs w:val="20"/>
    </w:rPr>
  </w:style>
  <w:style w:type="table" w:styleId="Tablaconcuadrcula">
    <w:name w:val="Table Grid"/>
    <w:basedOn w:val="Tablanormal"/>
    <w:uiPriority w:val="39"/>
    <w:rsid w:val="0066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2028">
      <w:bodyDiv w:val="1"/>
      <w:marLeft w:val="0"/>
      <w:marRight w:val="0"/>
      <w:marTop w:val="0"/>
      <w:marBottom w:val="0"/>
      <w:divBdr>
        <w:top w:val="none" w:sz="0" w:space="0" w:color="auto"/>
        <w:left w:val="none" w:sz="0" w:space="0" w:color="auto"/>
        <w:bottom w:val="none" w:sz="0" w:space="0" w:color="auto"/>
        <w:right w:val="none" w:sz="0" w:space="0" w:color="auto"/>
      </w:divBdr>
    </w:div>
    <w:div w:id="208348954">
      <w:bodyDiv w:val="1"/>
      <w:marLeft w:val="0"/>
      <w:marRight w:val="0"/>
      <w:marTop w:val="0"/>
      <w:marBottom w:val="0"/>
      <w:divBdr>
        <w:top w:val="none" w:sz="0" w:space="0" w:color="auto"/>
        <w:left w:val="none" w:sz="0" w:space="0" w:color="auto"/>
        <w:bottom w:val="none" w:sz="0" w:space="0" w:color="auto"/>
        <w:right w:val="none" w:sz="0" w:space="0" w:color="auto"/>
      </w:divBdr>
    </w:div>
    <w:div w:id="226962549">
      <w:bodyDiv w:val="1"/>
      <w:marLeft w:val="0"/>
      <w:marRight w:val="0"/>
      <w:marTop w:val="0"/>
      <w:marBottom w:val="0"/>
      <w:divBdr>
        <w:top w:val="none" w:sz="0" w:space="0" w:color="auto"/>
        <w:left w:val="none" w:sz="0" w:space="0" w:color="auto"/>
        <w:bottom w:val="none" w:sz="0" w:space="0" w:color="auto"/>
        <w:right w:val="none" w:sz="0" w:space="0" w:color="auto"/>
      </w:divBdr>
    </w:div>
    <w:div w:id="240454052">
      <w:bodyDiv w:val="1"/>
      <w:marLeft w:val="0"/>
      <w:marRight w:val="0"/>
      <w:marTop w:val="0"/>
      <w:marBottom w:val="0"/>
      <w:divBdr>
        <w:top w:val="none" w:sz="0" w:space="0" w:color="auto"/>
        <w:left w:val="none" w:sz="0" w:space="0" w:color="auto"/>
        <w:bottom w:val="none" w:sz="0" w:space="0" w:color="auto"/>
        <w:right w:val="none" w:sz="0" w:space="0" w:color="auto"/>
      </w:divBdr>
    </w:div>
    <w:div w:id="257180555">
      <w:bodyDiv w:val="1"/>
      <w:marLeft w:val="0"/>
      <w:marRight w:val="0"/>
      <w:marTop w:val="0"/>
      <w:marBottom w:val="0"/>
      <w:divBdr>
        <w:top w:val="none" w:sz="0" w:space="0" w:color="auto"/>
        <w:left w:val="none" w:sz="0" w:space="0" w:color="auto"/>
        <w:bottom w:val="none" w:sz="0" w:space="0" w:color="auto"/>
        <w:right w:val="none" w:sz="0" w:space="0" w:color="auto"/>
      </w:divBdr>
    </w:div>
    <w:div w:id="274020737">
      <w:bodyDiv w:val="1"/>
      <w:marLeft w:val="0"/>
      <w:marRight w:val="0"/>
      <w:marTop w:val="0"/>
      <w:marBottom w:val="0"/>
      <w:divBdr>
        <w:top w:val="none" w:sz="0" w:space="0" w:color="auto"/>
        <w:left w:val="none" w:sz="0" w:space="0" w:color="auto"/>
        <w:bottom w:val="none" w:sz="0" w:space="0" w:color="auto"/>
        <w:right w:val="none" w:sz="0" w:space="0" w:color="auto"/>
      </w:divBdr>
    </w:div>
    <w:div w:id="291446900">
      <w:bodyDiv w:val="1"/>
      <w:marLeft w:val="0"/>
      <w:marRight w:val="0"/>
      <w:marTop w:val="0"/>
      <w:marBottom w:val="0"/>
      <w:divBdr>
        <w:top w:val="none" w:sz="0" w:space="0" w:color="auto"/>
        <w:left w:val="none" w:sz="0" w:space="0" w:color="auto"/>
        <w:bottom w:val="none" w:sz="0" w:space="0" w:color="auto"/>
        <w:right w:val="none" w:sz="0" w:space="0" w:color="auto"/>
      </w:divBdr>
    </w:div>
    <w:div w:id="313917766">
      <w:bodyDiv w:val="1"/>
      <w:marLeft w:val="0"/>
      <w:marRight w:val="0"/>
      <w:marTop w:val="0"/>
      <w:marBottom w:val="0"/>
      <w:divBdr>
        <w:top w:val="none" w:sz="0" w:space="0" w:color="auto"/>
        <w:left w:val="none" w:sz="0" w:space="0" w:color="auto"/>
        <w:bottom w:val="none" w:sz="0" w:space="0" w:color="auto"/>
        <w:right w:val="none" w:sz="0" w:space="0" w:color="auto"/>
      </w:divBdr>
    </w:div>
    <w:div w:id="328555552">
      <w:bodyDiv w:val="1"/>
      <w:marLeft w:val="0"/>
      <w:marRight w:val="0"/>
      <w:marTop w:val="0"/>
      <w:marBottom w:val="0"/>
      <w:divBdr>
        <w:top w:val="none" w:sz="0" w:space="0" w:color="auto"/>
        <w:left w:val="none" w:sz="0" w:space="0" w:color="auto"/>
        <w:bottom w:val="none" w:sz="0" w:space="0" w:color="auto"/>
        <w:right w:val="none" w:sz="0" w:space="0" w:color="auto"/>
      </w:divBdr>
    </w:div>
    <w:div w:id="330912728">
      <w:bodyDiv w:val="1"/>
      <w:marLeft w:val="0"/>
      <w:marRight w:val="0"/>
      <w:marTop w:val="0"/>
      <w:marBottom w:val="0"/>
      <w:divBdr>
        <w:top w:val="none" w:sz="0" w:space="0" w:color="auto"/>
        <w:left w:val="none" w:sz="0" w:space="0" w:color="auto"/>
        <w:bottom w:val="none" w:sz="0" w:space="0" w:color="auto"/>
        <w:right w:val="none" w:sz="0" w:space="0" w:color="auto"/>
      </w:divBdr>
    </w:div>
    <w:div w:id="388039667">
      <w:bodyDiv w:val="1"/>
      <w:marLeft w:val="0"/>
      <w:marRight w:val="0"/>
      <w:marTop w:val="0"/>
      <w:marBottom w:val="0"/>
      <w:divBdr>
        <w:top w:val="none" w:sz="0" w:space="0" w:color="auto"/>
        <w:left w:val="none" w:sz="0" w:space="0" w:color="auto"/>
        <w:bottom w:val="none" w:sz="0" w:space="0" w:color="auto"/>
        <w:right w:val="none" w:sz="0" w:space="0" w:color="auto"/>
      </w:divBdr>
    </w:div>
    <w:div w:id="430518187">
      <w:bodyDiv w:val="1"/>
      <w:marLeft w:val="0"/>
      <w:marRight w:val="0"/>
      <w:marTop w:val="0"/>
      <w:marBottom w:val="0"/>
      <w:divBdr>
        <w:top w:val="none" w:sz="0" w:space="0" w:color="auto"/>
        <w:left w:val="none" w:sz="0" w:space="0" w:color="auto"/>
        <w:bottom w:val="none" w:sz="0" w:space="0" w:color="auto"/>
        <w:right w:val="none" w:sz="0" w:space="0" w:color="auto"/>
      </w:divBdr>
    </w:div>
    <w:div w:id="525293519">
      <w:bodyDiv w:val="1"/>
      <w:marLeft w:val="0"/>
      <w:marRight w:val="0"/>
      <w:marTop w:val="0"/>
      <w:marBottom w:val="0"/>
      <w:divBdr>
        <w:top w:val="none" w:sz="0" w:space="0" w:color="auto"/>
        <w:left w:val="none" w:sz="0" w:space="0" w:color="auto"/>
        <w:bottom w:val="none" w:sz="0" w:space="0" w:color="auto"/>
        <w:right w:val="none" w:sz="0" w:space="0" w:color="auto"/>
      </w:divBdr>
    </w:div>
    <w:div w:id="546993256">
      <w:bodyDiv w:val="1"/>
      <w:marLeft w:val="0"/>
      <w:marRight w:val="0"/>
      <w:marTop w:val="0"/>
      <w:marBottom w:val="0"/>
      <w:divBdr>
        <w:top w:val="none" w:sz="0" w:space="0" w:color="auto"/>
        <w:left w:val="none" w:sz="0" w:space="0" w:color="auto"/>
        <w:bottom w:val="none" w:sz="0" w:space="0" w:color="auto"/>
        <w:right w:val="none" w:sz="0" w:space="0" w:color="auto"/>
      </w:divBdr>
    </w:div>
    <w:div w:id="548346460">
      <w:bodyDiv w:val="1"/>
      <w:marLeft w:val="0"/>
      <w:marRight w:val="0"/>
      <w:marTop w:val="0"/>
      <w:marBottom w:val="0"/>
      <w:divBdr>
        <w:top w:val="none" w:sz="0" w:space="0" w:color="auto"/>
        <w:left w:val="none" w:sz="0" w:space="0" w:color="auto"/>
        <w:bottom w:val="none" w:sz="0" w:space="0" w:color="auto"/>
        <w:right w:val="none" w:sz="0" w:space="0" w:color="auto"/>
      </w:divBdr>
    </w:div>
    <w:div w:id="570896532">
      <w:bodyDiv w:val="1"/>
      <w:marLeft w:val="0"/>
      <w:marRight w:val="0"/>
      <w:marTop w:val="0"/>
      <w:marBottom w:val="0"/>
      <w:divBdr>
        <w:top w:val="none" w:sz="0" w:space="0" w:color="auto"/>
        <w:left w:val="none" w:sz="0" w:space="0" w:color="auto"/>
        <w:bottom w:val="none" w:sz="0" w:space="0" w:color="auto"/>
        <w:right w:val="none" w:sz="0" w:space="0" w:color="auto"/>
      </w:divBdr>
    </w:div>
    <w:div w:id="590625200">
      <w:bodyDiv w:val="1"/>
      <w:marLeft w:val="0"/>
      <w:marRight w:val="0"/>
      <w:marTop w:val="0"/>
      <w:marBottom w:val="0"/>
      <w:divBdr>
        <w:top w:val="none" w:sz="0" w:space="0" w:color="auto"/>
        <w:left w:val="none" w:sz="0" w:space="0" w:color="auto"/>
        <w:bottom w:val="none" w:sz="0" w:space="0" w:color="auto"/>
        <w:right w:val="none" w:sz="0" w:space="0" w:color="auto"/>
      </w:divBdr>
    </w:div>
    <w:div w:id="626350515">
      <w:bodyDiv w:val="1"/>
      <w:marLeft w:val="0"/>
      <w:marRight w:val="0"/>
      <w:marTop w:val="0"/>
      <w:marBottom w:val="0"/>
      <w:divBdr>
        <w:top w:val="none" w:sz="0" w:space="0" w:color="auto"/>
        <w:left w:val="none" w:sz="0" w:space="0" w:color="auto"/>
        <w:bottom w:val="none" w:sz="0" w:space="0" w:color="auto"/>
        <w:right w:val="none" w:sz="0" w:space="0" w:color="auto"/>
      </w:divBdr>
    </w:div>
    <w:div w:id="648635972">
      <w:bodyDiv w:val="1"/>
      <w:marLeft w:val="0"/>
      <w:marRight w:val="0"/>
      <w:marTop w:val="0"/>
      <w:marBottom w:val="0"/>
      <w:divBdr>
        <w:top w:val="none" w:sz="0" w:space="0" w:color="auto"/>
        <w:left w:val="none" w:sz="0" w:space="0" w:color="auto"/>
        <w:bottom w:val="none" w:sz="0" w:space="0" w:color="auto"/>
        <w:right w:val="none" w:sz="0" w:space="0" w:color="auto"/>
      </w:divBdr>
    </w:div>
    <w:div w:id="681593503">
      <w:bodyDiv w:val="1"/>
      <w:marLeft w:val="0"/>
      <w:marRight w:val="0"/>
      <w:marTop w:val="0"/>
      <w:marBottom w:val="0"/>
      <w:divBdr>
        <w:top w:val="none" w:sz="0" w:space="0" w:color="auto"/>
        <w:left w:val="none" w:sz="0" w:space="0" w:color="auto"/>
        <w:bottom w:val="none" w:sz="0" w:space="0" w:color="auto"/>
        <w:right w:val="none" w:sz="0" w:space="0" w:color="auto"/>
      </w:divBdr>
    </w:div>
    <w:div w:id="708336915">
      <w:bodyDiv w:val="1"/>
      <w:marLeft w:val="0"/>
      <w:marRight w:val="0"/>
      <w:marTop w:val="0"/>
      <w:marBottom w:val="0"/>
      <w:divBdr>
        <w:top w:val="none" w:sz="0" w:space="0" w:color="auto"/>
        <w:left w:val="none" w:sz="0" w:space="0" w:color="auto"/>
        <w:bottom w:val="none" w:sz="0" w:space="0" w:color="auto"/>
        <w:right w:val="none" w:sz="0" w:space="0" w:color="auto"/>
      </w:divBdr>
    </w:div>
    <w:div w:id="731466190">
      <w:bodyDiv w:val="1"/>
      <w:marLeft w:val="0"/>
      <w:marRight w:val="0"/>
      <w:marTop w:val="0"/>
      <w:marBottom w:val="0"/>
      <w:divBdr>
        <w:top w:val="none" w:sz="0" w:space="0" w:color="auto"/>
        <w:left w:val="none" w:sz="0" w:space="0" w:color="auto"/>
        <w:bottom w:val="none" w:sz="0" w:space="0" w:color="auto"/>
        <w:right w:val="none" w:sz="0" w:space="0" w:color="auto"/>
      </w:divBdr>
    </w:div>
    <w:div w:id="743533301">
      <w:bodyDiv w:val="1"/>
      <w:marLeft w:val="0"/>
      <w:marRight w:val="0"/>
      <w:marTop w:val="0"/>
      <w:marBottom w:val="0"/>
      <w:divBdr>
        <w:top w:val="none" w:sz="0" w:space="0" w:color="auto"/>
        <w:left w:val="none" w:sz="0" w:space="0" w:color="auto"/>
        <w:bottom w:val="none" w:sz="0" w:space="0" w:color="auto"/>
        <w:right w:val="none" w:sz="0" w:space="0" w:color="auto"/>
      </w:divBdr>
    </w:div>
    <w:div w:id="744299667">
      <w:bodyDiv w:val="1"/>
      <w:marLeft w:val="0"/>
      <w:marRight w:val="0"/>
      <w:marTop w:val="0"/>
      <w:marBottom w:val="0"/>
      <w:divBdr>
        <w:top w:val="none" w:sz="0" w:space="0" w:color="auto"/>
        <w:left w:val="none" w:sz="0" w:space="0" w:color="auto"/>
        <w:bottom w:val="none" w:sz="0" w:space="0" w:color="auto"/>
        <w:right w:val="none" w:sz="0" w:space="0" w:color="auto"/>
      </w:divBdr>
    </w:div>
    <w:div w:id="856236881">
      <w:bodyDiv w:val="1"/>
      <w:marLeft w:val="0"/>
      <w:marRight w:val="0"/>
      <w:marTop w:val="0"/>
      <w:marBottom w:val="0"/>
      <w:divBdr>
        <w:top w:val="none" w:sz="0" w:space="0" w:color="auto"/>
        <w:left w:val="none" w:sz="0" w:space="0" w:color="auto"/>
        <w:bottom w:val="none" w:sz="0" w:space="0" w:color="auto"/>
        <w:right w:val="none" w:sz="0" w:space="0" w:color="auto"/>
      </w:divBdr>
    </w:div>
    <w:div w:id="877203567">
      <w:bodyDiv w:val="1"/>
      <w:marLeft w:val="0"/>
      <w:marRight w:val="0"/>
      <w:marTop w:val="0"/>
      <w:marBottom w:val="0"/>
      <w:divBdr>
        <w:top w:val="none" w:sz="0" w:space="0" w:color="auto"/>
        <w:left w:val="none" w:sz="0" w:space="0" w:color="auto"/>
        <w:bottom w:val="none" w:sz="0" w:space="0" w:color="auto"/>
        <w:right w:val="none" w:sz="0" w:space="0" w:color="auto"/>
      </w:divBdr>
    </w:div>
    <w:div w:id="913973945">
      <w:bodyDiv w:val="1"/>
      <w:marLeft w:val="0"/>
      <w:marRight w:val="0"/>
      <w:marTop w:val="0"/>
      <w:marBottom w:val="0"/>
      <w:divBdr>
        <w:top w:val="none" w:sz="0" w:space="0" w:color="auto"/>
        <w:left w:val="none" w:sz="0" w:space="0" w:color="auto"/>
        <w:bottom w:val="none" w:sz="0" w:space="0" w:color="auto"/>
        <w:right w:val="none" w:sz="0" w:space="0" w:color="auto"/>
      </w:divBdr>
    </w:div>
    <w:div w:id="942684047">
      <w:bodyDiv w:val="1"/>
      <w:marLeft w:val="0"/>
      <w:marRight w:val="0"/>
      <w:marTop w:val="0"/>
      <w:marBottom w:val="0"/>
      <w:divBdr>
        <w:top w:val="none" w:sz="0" w:space="0" w:color="auto"/>
        <w:left w:val="none" w:sz="0" w:space="0" w:color="auto"/>
        <w:bottom w:val="none" w:sz="0" w:space="0" w:color="auto"/>
        <w:right w:val="none" w:sz="0" w:space="0" w:color="auto"/>
      </w:divBdr>
    </w:div>
    <w:div w:id="946275312">
      <w:bodyDiv w:val="1"/>
      <w:marLeft w:val="0"/>
      <w:marRight w:val="0"/>
      <w:marTop w:val="0"/>
      <w:marBottom w:val="0"/>
      <w:divBdr>
        <w:top w:val="none" w:sz="0" w:space="0" w:color="auto"/>
        <w:left w:val="none" w:sz="0" w:space="0" w:color="auto"/>
        <w:bottom w:val="none" w:sz="0" w:space="0" w:color="auto"/>
        <w:right w:val="none" w:sz="0" w:space="0" w:color="auto"/>
      </w:divBdr>
    </w:div>
    <w:div w:id="968314328">
      <w:bodyDiv w:val="1"/>
      <w:marLeft w:val="0"/>
      <w:marRight w:val="0"/>
      <w:marTop w:val="0"/>
      <w:marBottom w:val="0"/>
      <w:divBdr>
        <w:top w:val="none" w:sz="0" w:space="0" w:color="auto"/>
        <w:left w:val="none" w:sz="0" w:space="0" w:color="auto"/>
        <w:bottom w:val="none" w:sz="0" w:space="0" w:color="auto"/>
        <w:right w:val="none" w:sz="0" w:space="0" w:color="auto"/>
      </w:divBdr>
    </w:div>
    <w:div w:id="984163579">
      <w:bodyDiv w:val="1"/>
      <w:marLeft w:val="0"/>
      <w:marRight w:val="0"/>
      <w:marTop w:val="0"/>
      <w:marBottom w:val="0"/>
      <w:divBdr>
        <w:top w:val="none" w:sz="0" w:space="0" w:color="auto"/>
        <w:left w:val="none" w:sz="0" w:space="0" w:color="auto"/>
        <w:bottom w:val="none" w:sz="0" w:space="0" w:color="auto"/>
        <w:right w:val="none" w:sz="0" w:space="0" w:color="auto"/>
      </w:divBdr>
    </w:div>
    <w:div w:id="1003242338">
      <w:bodyDiv w:val="1"/>
      <w:marLeft w:val="0"/>
      <w:marRight w:val="0"/>
      <w:marTop w:val="0"/>
      <w:marBottom w:val="0"/>
      <w:divBdr>
        <w:top w:val="none" w:sz="0" w:space="0" w:color="auto"/>
        <w:left w:val="none" w:sz="0" w:space="0" w:color="auto"/>
        <w:bottom w:val="none" w:sz="0" w:space="0" w:color="auto"/>
        <w:right w:val="none" w:sz="0" w:space="0" w:color="auto"/>
      </w:divBdr>
    </w:div>
    <w:div w:id="1091320839">
      <w:bodyDiv w:val="1"/>
      <w:marLeft w:val="0"/>
      <w:marRight w:val="0"/>
      <w:marTop w:val="0"/>
      <w:marBottom w:val="0"/>
      <w:divBdr>
        <w:top w:val="none" w:sz="0" w:space="0" w:color="auto"/>
        <w:left w:val="none" w:sz="0" w:space="0" w:color="auto"/>
        <w:bottom w:val="none" w:sz="0" w:space="0" w:color="auto"/>
        <w:right w:val="none" w:sz="0" w:space="0" w:color="auto"/>
      </w:divBdr>
    </w:div>
    <w:div w:id="1099179464">
      <w:bodyDiv w:val="1"/>
      <w:marLeft w:val="0"/>
      <w:marRight w:val="0"/>
      <w:marTop w:val="0"/>
      <w:marBottom w:val="0"/>
      <w:divBdr>
        <w:top w:val="none" w:sz="0" w:space="0" w:color="auto"/>
        <w:left w:val="none" w:sz="0" w:space="0" w:color="auto"/>
        <w:bottom w:val="none" w:sz="0" w:space="0" w:color="auto"/>
        <w:right w:val="none" w:sz="0" w:space="0" w:color="auto"/>
      </w:divBdr>
    </w:div>
    <w:div w:id="1109158714">
      <w:bodyDiv w:val="1"/>
      <w:marLeft w:val="0"/>
      <w:marRight w:val="0"/>
      <w:marTop w:val="0"/>
      <w:marBottom w:val="0"/>
      <w:divBdr>
        <w:top w:val="none" w:sz="0" w:space="0" w:color="auto"/>
        <w:left w:val="none" w:sz="0" w:space="0" w:color="auto"/>
        <w:bottom w:val="none" w:sz="0" w:space="0" w:color="auto"/>
        <w:right w:val="none" w:sz="0" w:space="0" w:color="auto"/>
      </w:divBdr>
    </w:div>
    <w:div w:id="1123229986">
      <w:bodyDiv w:val="1"/>
      <w:marLeft w:val="0"/>
      <w:marRight w:val="0"/>
      <w:marTop w:val="0"/>
      <w:marBottom w:val="0"/>
      <w:divBdr>
        <w:top w:val="none" w:sz="0" w:space="0" w:color="auto"/>
        <w:left w:val="none" w:sz="0" w:space="0" w:color="auto"/>
        <w:bottom w:val="none" w:sz="0" w:space="0" w:color="auto"/>
        <w:right w:val="none" w:sz="0" w:space="0" w:color="auto"/>
      </w:divBdr>
    </w:div>
    <w:div w:id="1146042997">
      <w:bodyDiv w:val="1"/>
      <w:marLeft w:val="0"/>
      <w:marRight w:val="0"/>
      <w:marTop w:val="0"/>
      <w:marBottom w:val="0"/>
      <w:divBdr>
        <w:top w:val="none" w:sz="0" w:space="0" w:color="auto"/>
        <w:left w:val="none" w:sz="0" w:space="0" w:color="auto"/>
        <w:bottom w:val="none" w:sz="0" w:space="0" w:color="auto"/>
        <w:right w:val="none" w:sz="0" w:space="0" w:color="auto"/>
      </w:divBdr>
    </w:div>
    <w:div w:id="1160661308">
      <w:bodyDiv w:val="1"/>
      <w:marLeft w:val="0"/>
      <w:marRight w:val="0"/>
      <w:marTop w:val="0"/>
      <w:marBottom w:val="0"/>
      <w:divBdr>
        <w:top w:val="none" w:sz="0" w:space="0" w:color="auto"/>
        <w:left w:val="none" w:sz="0" w:space="0" w:color="auto"/>
        <w:bottom w:val="none" w:sz="0" w:space="0" w:color="auto"/>
        <w:right w:val="none" w:sz="0" w:space="0" w:color="auto"/>
      </w:divBdr>
    </w:div>
    <w:div w:id="1201094053">
      <w:bodyDiv w:val="1"/>
      <w:marLeft w:val="0"/>
      <w:marRight w:val="0"/>
      <w:marTop w:val="0"/>
      <w:marBottom w:val="0"/>
      <w:divBdr>
        <w:top w:val="none" w:sz="0" w:space="0" w:color="auto"/>
        <w:left w:val="none" w:sz="0" w:space="0" w:color="auto"/>
        <w:bottom w:val="none" w:sz="0" w:space="0" w:color="auto"/>
        <w:right w:val="none" w:sz="0" w:space="0" w:color="auto"/>
      </w:divBdr>
    </w:div>
    <w:div w:id="1281914436">
      <w:bodyDiv w:val="1"/>
      <w:marLeft w:val="0"/>
      <w:marRight w:val="0"/>
      <w:marTop w:val="0"/>
      <w:marBottom w:val="0"/>
      <w:divBdr>
        <w:top w:val="none" w:sz="0" w:space="0" w:color="auto"/>
        <w:left w:val="none" w:sz="0" w:space="0" w:color="auto"/>
        <w:bottom w:val="none" w:sz="0" w:space="0" w:color="auto"/>
        <w:right w:val="none" w:sz="0" w:space="0" w:color="auto"/>
      </w:divBdr>
    </w:div>
    <w:div w:id="1307205445">
      <w:bodyDiv w:val="1"/>
      <w:marLeft w:val="0"/>
      <w:marRight w:val="0"/>
      <w:marTop w:val="0"/>
      <w:marBottom w:val="0"/>
      <w:divBdr>
        <w:top w:val="none" w:sz="0" w:space="0" w:color="auto"/>
        <w:left w:val="none" w:sz="0" w:space="0" w:color="auto"/>
        <w:bottom w:val="none" w:sz="0" w:space="0" w:color="auto"/>
        <w:right w:val="none" w:sz="0" w:space="0" w:color="auto"/>
      </w:divBdr>
    </w:div>
    <w:div w:id="1317686911">
      <w:bodyDiv w:val="1"/>
      <w:marLeft w:val="0"/>
      <w:marRight w:val="0"/>
      <w:marTop w:val="0"/>
      <w:marBottom w:val="0"/>
      <w:divBdr>
        <w:top w:val="none" w:sz="0" w:space="0" w:color="auto"/>
        <w:left w:val="none" w:sz="0" w:space="0" w:color="auto"/>
        <w:bottom w:val="none" w:sz="0" w:space="0" w:color="auto"/>
        <w:right w:val="none" w:sz="0" w:space="0" w:color="auto"/>
      </w:divBdr>
    </w:div>
    <w:div w:id="1332685613">
      <w:bodyDiv w:val="1"/>
      <w:marLeft w:val="0"/>
      <w:marRight w:val="0"/>
      <w:marTop w:val="0"/>
      <w:marBottom w:val="0"/>
      <w:divBdr>
        <w:top w:val="none" w:sz="0" w:space="0" w:color="auto"/>
        <w:left w:val="none" w:sz="0" w:space="0" w:color="auto"/>
        <w:bottom w:val="none" w:sz="0" w:space="0" w:color="auto"/>
        <w:right w:val="none" w:sz="0" w:space="0" w:color="auto"/>
      </w:divBdr>
    </w:div>
    <w:div w:id="1345523154">
      <w:bodyDiv w:val="1"/>
      <w:marLeft w:val="0"/>
      <w:marRight w:val="0"/>
      <w:marTop w:val="0"/>
      <w:marBottom w:val="0"/>
      <w:divBdr>
        <w:top w:val="none" w:sz="0" w:space="0" w:color="auto"/>
        <w:left w:val="none" w:sz="0" w:space="0" w:color="auto"/>
        <w:bottom w:val="none" w:sz="0" w:space="0" w:color="auto"/>
        <w:right w:val="none" w:sz="0" w:space="0" w:color="auto"/>
      </w:divBdr>
    </w:div>
    <w:div w:id="1485773800">
      <w:bodyDiv w:val="1"/>
      <w:marLeft w:val="0"/>
      <w:marRight w:val="0"/>
      <w:marTop w:val="0"/>
      <w:marBottom w:val="0"/>
      <w:divBdr>
        <w:top w:val="none" w:sz="0" w:space="0" w:color="auto"/>
        <w:left w:val="none" w:sz="0" w:space="0" w:color="auto"/>
        <w:bottom w:val="none" w:sz="0" w:space="0" w:color="auto"/>
        <w:right w:val="none" w:sz="0" w:space="0" w:color="auto"/>
      </w:divBdr>
    </w:div>
    <w:div w:id="1510289573">
      <w:bodyDiv w:val="1"/>
      <w:marLeft w:val="0"/>
      <w:marRight w:val="0"/>
      <w:marTop w:val="0"/>
      <w:marBottom w:val="0"/>
      <w:divBdr>
        <w:top w:val="none" w:sz="0" w:space="0" w:color="auto"/>
        <w:left w:val="none" w:sz="0" w:space="0" w:color="auto"/>
        <w:bottom w:val="none" w:sz="0" w:space="0" w:color="auto"/>
        <w:right w:val="none" w:sz="0" w:space="0" w:color="auto"/>
      </w:divBdr>
    </w:div>
    <w:div w:id="1594704244">
      <w:bodyDiv w:val="1"/>
      <w:marLeft w:val="0"/>
      <w:marRight w:val="0"/>
      <w:marTop w:val="0"/>
      <w:marBottom w:val="0"/>
      <w:divBdr>
        <w:top w:val="none" w:sz="0" w:space="0" w:color="auto"/>
        <w:left w:val="none" w:sz="0" w:space="0" w:color="auto"/>
        <w:bottom w:val="none" w:sz="0" w:space="0" w:color="auto"/>
        <w:right w:val="none" w:sz="0" w:space="0" w:color="auto"/>
      </w:divBdr>
    </w:div>
    <w:div w:id="1601832551">
      <w:bodyDiv w:val="1"/>
      <w:marLeft w:val="0"/>
      <w:marRight w:val="0"/>
      <w:marTop w:val="0"/>
      <w:marBottom w:val="0"/>
      <w:divBdr>
        <w:top w:val="none" w:sz="0" w:space="0" w:color="auto"/>
        <w:left w:val="none" w:sz="0" w:space="0" w:color="auto"/>
        <w:bottom w:val="none" w:sz="0" w:space="0" w:color="auto"/>
        <w:right w:val="none" w:sz="0" w:space="0" w:color="auto"/>
      </w:divBdr>
    </w:div>
    <w:div w:id="1636400828">
      <w:bodyDiv w:val="1"/>
      <w:marLeft w:val="0"/>
      <w:marRight w:val="0"/>
      <w:marTop w:val="0"/>
      <w:marBottom w:val="0"/>
      <w:divBdr>
        <w:top w:val="none" w:sz="0" w:space="0" w:color="auto"/>
        <w:left w:val="none" w:sz="0" w:space="0" w:color="auto"/>
        <w:bottom w:val="none" w:sz="0" w:space="0" w:color="auto"/>
        <w:right w:val="none" w:sz="0" w:space="0" w:color="auto"/>
      </w:divBdr>
    </w:div>
    <w:div w:id="1656690343">
      <w:bodyDiv w:val="1"/>
      <w:marLeft w:val="0"/>
      <w:marRight w:val="0"/>
      <w:marTop w:val="0"/>
      <w:marBottom w:val="0"/>
      <w:divBdr>
        <w:top w:val="none" w:sz="0" w:space="0" w:color="auto"/>
        <w:left w:val="none" w:sz="0" w:space="0" w:color="auto"/>
        <w:bottom w:val="none" w:sz="0" w:space="0" w:color="auto"/>
        <w:right w:val="none" w:sz="0" w:space="0" w:color="auto"/>
      </w:divBdr>
    </w:div>
    <w:div w:id="1692024708">
      <w:bodyDiv w:val="1"/>
      <w:marLeft w:val="0"/>
      <w:marRight w:val="0"/>
      <w:marTop w:val="0"/>
      <w:marBottom w:val="0"/>
      <w:divBdr>
        <w:top w:val="none" w:sz="0" w:space="0" w:color="auto"/>
        <w:left w:val="none" w:sz="0" w:space="0" w:color="auto"/>
        <w:bottom w:val="none" w:sz="0" w:space="0" w:color="auto"/>
        <w:right w:val="none" w:sz="0" w:space="0" w:color="auto"/>
      </w:divBdr>
    </w:div>
    <w:div w:id="1702706286">
      <w:bodyDiv w:val="1"/>
      <w:marLeft w:val="0"/>
      <w:marRight w:val="0"/>
      <w:marTop w:val="0"/>
      <w:marBottom w:val="0"/>
      <w:divBdr>
        <w:top w:val="none" w:sz="0" w:space="0" w:color="auto"/>
        <w:left w:val="none" w:sz="0" w:space="0" w:color="auto"/>
        <w:bottom w:val="none" w:sz="0" w:space="0" w:color="auto"/>
        <w:right w:val="none" w:sz="0" w:space="0" w:color="auto"/>
      </w:divBdr>
    </w:div>
    <w:div w:id="1731076530">
      <w:bodyDiv w:val="1"/>
      <w:marLeft w:val="0"/>
      <w:marRight w:val="0"/>
      <w:marTop w:val="0"/>
      <w:marBottom w:val="0"/>
      <w:divBdr>
        <w:top w:val="none" w:sz="0" w:space="0" w:color="auto"/>
        <w:left w:val="none" w:sz="0" w:space="0" w:color="auto"/>
        <w:bottom w:val="none" w:sz="0" w:space="0" w:color="auto"/>
        <w:right w:val="none" w:sz="0" w:space="0" w:color="auto"/>
      </w:divBdr>
    </w:div>
    <w:div w:id="1737631338">
      <w:bodyDiv w:val="1"/>
      <w:marLeft w:val="0"/>
      <w:marRight w:val="0"/>
      <w:marTop w:val="0"/>
      <w:marBottom w:val="0"/>
      <w:divBdr>
        <w:top w:val="none" w:sz="0" w:space="0" w:color="auto"/>
        <w:left w:val="none" w:sz="0" w:space="0" w:color="auto"/>
        <w:bottom w:val="none" w:sz="0" w:space="0" w:color="auto"/>
        <w:right w:val="none" w:sz="0" w:space="0" w:color="auto"/>
      </w:divBdr>
    </w:div>
    <w:div w:id="1794595578">
      <w:bodyDiv w:val="1"/>
      <w:marLeft w:val="0"/>
      <w:marRight w:val="0"/>
      <w:marTop w:val="0"/>
      <w:marBottom w:val="0"/>
      <w:divBdr>
        <w:top w:val="none" w:sz="0" w:space="0" w:color="auto"/>
        <w:left w:val="none" w:sz="0" w:space="0" w:color="auto"/>
        <w:bottom w:val="none" w:sz="0" w:space="0" w:color="auto"/>
        <w:right w:val="none" w:sz="0" w:space="0" w:color="auto"/>
      </w:divBdr>
    </w:div>
    <w:div w:id="1800104576">
      <w:bodyDiv w:val="1"/>
      <w:marLeft w:val="0"/>
      <w:marRight w:val="0"/>
      <w:marTop w:val="0"/>
      <w:marBottom w:val="0"/>
      <w:divBdr>
        <w:top w:val="none" w:sz="0" w:space="0" w:color="auto"/>
        <w:left w:val="none" w:sz="0" w:space="0" w:color="auto"/>
        <w:bottom w:val="none" w:sz="0" w:space="0" w:color="auto"/>
        <w:right w:val="none" w:sz="0" w:space="0" w:color="auto"/>
      </w:divBdr>
    </w:div>
    <w:div w:id="1808818911">
      <w:bodyDiv w:val="1"/>
      <w:marLeft w:val="0"/>
      <w:marRight w:val="0"/>
      <w:marTop w:val="0"/>
      <w:marBottom w:val="0"/>
      <w:divBdr>
        <w:top w:val="none" w:sz="0" w:space="0" w:color="auto"/>
        <w:left w:val="none" w:sz="0" w:space="0" w:color="auto"/>
        <w:bottom w:val="none" w:sz="0" w:space="0" w:color="auto"/>
        <w:right w:val="none" w:sz="0" w:space="0" w:color="auto"/>
      </w:divBdr>
    </w:div>
    <w:div w:id="1877082883">
      <w:bodyDiv w:val="1"/>
      <w:marLeft w:val="0"/>
      <w:marRight w:val="0"/>
      <w:marTop w:val="0"/>
      <w:marBottom w:val="0"/>
      <w:divBdr>
        <w:top w:val="none" w:sz="0" w:space="0" w:color="auto"/>
        <w:left w:val="none" w:sz="0" w:space="0" w:color="auto"/>
        <w:bottom w:val="none" w:sz="0" w:space="0" w:color="auto"/>
        <w:right w:val="none" w:sz="0" w:space="0" w:color="auto"/>
      </w:divBdr>
    </w:div>
    <w:div w:id="1889537022">
      <w:bodyDiv w:val="1"/>
      <w:marLeft w:val="0"/>
      <w:marRight w:val="0"/>
      <w:marTop w:val="0"/>
      <w:marBottom w:val="0"/>
      <w:divBdr>
        <w:top w:val="none" w:sz="0" w:space="0" w:color="auto"/>
        <w:left w:val="none" w:sz="0" w:space="0" w:color="auto"/>
        <w:bottom w:val="none" w:sz="0" w:space="0" w:color="auto"/>
        <w:right w:val="none" w:sz="0" w:space="0" w:color="auto"/>
      </w:divBdr>
    </w:div>
    <w:div w:id="1925800631">
      <w:bodyDiv w:val="1"/>
      <w:marLeft w:val="0"/>
      <w:marRight w:val="0"/>
      <w:marTop w:val="0"/>
      <w:marBottom w:val="0"/>
      <w:divBdr>
        <w:top w:val="none" w:sz="0" w:space="0" w:color="auto"/>
        <w:left w:val="none" w:sz="0" w:space="0" w:color="auto"/>
        <w:bottom w:val="none" w:sz="0" w:space="0" w:color="auto"/>
        <w:right w:val="none" w:sz="0" w:space="0" w:color="auto"/>
      </w:divBdr>
    </w:div>
    <w:div w:id="2016684597">
      <w:bodyDiv w:val="1"/>
      <w:marLeft w:val="0"/>
      <w:marRight w:val="0"/>
      <w:marTop w:val="0"/>
      <w:marBottom w:val="0"/>
      <w:divBdr>
        <w:top w:val="none" w:sz="0" w:space="0" w:color="auto"/>
        <w:left w:val="none" w:sz="0" w:space="0" w:color="auto"/>
        <w:bottom w:val="none" w:sz="0" w:space="0" w:color="auto"/>
        <w:right w:val="none" w:sz="0" w:space="0" w:color="auto"/>
      </w:divBdr>
    </w:div>
    <w:div w:id="2017731868">
      <w:bodyDiv w:val="1"/>
      <w:marLeft w:val="0"/>
      <w:marRight w:val="0"/>
      <w:marTop w:val="0"/>
      <w:marBottom w:val="0"/>
      <w:divBdr>
        <w:top w:val="none" w:sz="0" w:space="0" w:color="auto"/>
        <w:left w:val="none" w:sz="0" w:space="0" w:color="auto"/>
        <w:bottom w:val="none" w:sz="0" w:space="0" w:color="auto"/>
        <w:right w:val="none" w:sz="0" w:space="0" w:color="auto"/>
      </w:divBdr>
    </w:div>
    <w:div w:id="2037001710">
      <w:bodyDiv w:val="1"/>
      <w:marLeft w:val="0"/>
      <w:marRight w:val="0"/>
      <w:marTop w:val="0"/>
      <w:marBottom w:val="0"/>
      <w:divBdr>
        <w:top w:val="none" w:sz="0" w:space="0" w:color="auto"/>
        <w:left w:val="none" w:sz="0" w:space="0" w:color="auto"/>
        <w:bottom w:val="none" w:sz="0" w:space="0" w:color="auto"/>
        <w:right w:val="none" w:sz="0" w:space="0" w:color="auto"/>
      </w:divBdr>
    </w:div>
    <w:div w:id="2044937225">
      <w:bodyDiv w:val="1"/>
      <w:marLeft w:val="0"/>
      <w:marRight w:val="0"/>
      <w:marTop w:val="0"/>
      <w:marBottom w:val="0"/>
      <w:divBdr>
        <w:top w:val="none" w:sz="0" w:space="0" w:color="auto"/>
        <w:left w:val="none" w:sz="0" w:space="0" w:color="auto"/>
        <w:bottom w:val="none" w:sz="0" w:space="0" w:color="auto"/>
        <w:right w:val="none" w:sz="0" w:space="0" w:color="auto"/>
      </w:divBdr>
    </w:div>
    <w:div w:id="2061509751">
      <w:bodyDiv w:val="1"/>
      <w:marLeft w:val="0"/>
      <w:marRight w:val="0"/>
      <w:marTop w:val="0"/>
      <w:marBottom w:val="0"/>
      <w:divBdr>
        <w:top w:val="none" w:sz="0" w:space="0" w:color="auto"/>
        <w:left w:val="none" w:sz="0" w:space="0" w:color="auto"/>
        <w:bottom w:val="none" w:sz="0" w:space="0" w:color="auto"/>
        <w:right w:val="none" w:sz="0" w:space="0" w:color="auto"/>
      </w:divBdr>
    </w:div>
    <w:div w:id="211446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servatoriodelalquiler.org/" TargetMode="External"/><Relationship Id="rId5" Type="http://schemas.openxmlformats.org/officeDocument/2006/relationships/numbering" Target="numbering.xml"/><Relationship Id="rId15" Type="http://schemas.openxmlformats.org/officeDocument/2006/relationships/hyperlink" Target="https://fundacionalquilersegur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dfe94c-0cad-405c-9c1d-c4b8836841c9">
      <Terms xmlns="http://schemas.microsoft.com/office/infopath/2007/PartnerControls"/>
    </lcf76f155ced4ddcb4097134ff3c332f>
    <TaxCatchAll xmlns="4bdc35ca-d498-4be8-8ca3-0de12fcdb3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630D4C2C3FA2C46A5823140B444E860" ma:contentTypeVersion="15" ma:contentTypeDescription="Crear nuevo documento." ma:contentTypeScope="" ma:versionID="cd2aa36ae150863b6c9c2475db53d65b">
  <xsd:schema xmlns:xsd="http://www.w3.org/2001/XMLSchema" xmlns:xs="http://www.w3.org/2001/XMLSchema" xmlns:p="http://schemas.microsoft.com/office/2006/metadata/properties" xmlns:ns2="99dfe94c-0cad-405c-9c1d-c4b8836841c9" xmlns:ns3="4bdc35ca-d498-4be8-8ca3-0de12fcdb3f1" targetNamespace="http://schemas.microsoft.com/office/2006/metadata/properties" ma:root="true" ma:fieldsID="f15fa9187d3d1d8d5459c4793b8a2128" ns2:_="" ns3:_="">
    <xsd:import namespace="99dfe94c-0cad-405c-9c1d-c4b8836841c9"/>
    <xsd:import namespace="4bdc35ca-d498-4be8-8ca3-0de12fcdb3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fe94c-0cad-405c-9c1d-c4b883684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c7a22f14-e6bf-42fb-8733-2126455cbae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c35ca-d498-4be8-8ca3-0de12fcdb3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1dbcf6-b935-443d-8293-2932bcb94f36}" ma:internalName="TaxCatchAll" ma:showField="CatchAllData" ma:web="4bdc35ca-d498-4be8-8ca3-0de12fcdb3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B0435-8FF0-42D9-A24A-8D7A9EB2FEBC}">
  <ds:schemaRefs>
    <ds:schemaRef ds:uri="http://schemas.openxmlformats.org/officeDocument/2006/bibliography"/>
  </ds:schemaRefs>
</ds:datastoreItem>
</file>

<file path=customXml/itemProps2.xml><?xml version="1.0" encoding="utf-8"?>
<ds:datastoreItem xmlns:ds="http://schemas.openxmlformats.org/officeDocument/2006/customXml" ds:itemID="{1C13C34E-5050-4B75-94A9-1BE4AF85F03F}">
  <ds:schemaRefs>
    <ds:schemaRef ds:uri="http://schemas.microsoft.com/sharepoint/v3/contenttype/forms"/>
  </ds:schemaRefs>
</ds:datastoreItem>
</file>

<file path=customXml/itemProps3.xml><?xml version="1.0" encoding="utf-8"?>
<ds:datastoreItem xmlns:ds="http://schemas.openxmlformats.org/officeDocument/2006/customXml" ds:itemID="{36CA03AE-FFBF-4873-98F1-E9C3245E2865}">
  <ds:schemaRefs>
    <ds:schemaRef ds:uri="http://schemas.microsoft.com/office/2006/metadata/properties"/>
    <ds:schemaRef ds:uri="http://schemas.microsoft.com/office/infopath/2007/PartnerControls"/>
    <ds:schemaRef ds:uri="99dfe94c-0cad-405c-9c1d-c4b8836841c9"/>
    <ds:schemaRef ds:uri="4bdc35ca-d498-4be8-8ca3-0de12fcdb3f1"/>
  </ds:schemaRefs>
</ds:datastoreItem>
</file>

<file path=customXml/itemProps4.xml><?xml version="1.0" encoding="utf-8"?>
<ds:datastoreItem xmlns:ds="http://schemas.openxmlformats.org/officeDocument/2006/customXml" ds:itemID="{C2765BEF-79D6-49AD-9606-961AA02F23EC}"/>
</file>

<file path=docProps/app.xml><?xml version="1.0" encoding="utf-8"?>
<Properties xmlns="http://schemas.openxmlformats.org/officeDocument/2006/extended-properties" xmlns:vt="http://schemas.openxmlformats.org/officeDocument/2006/docPropsVTypes">
  <Template>Normal</Template>
  <TotalTime>1446</TotalTime>
  <Pages>6</Pages>
  <Words>1460</Words>
  <Characters>7439</Characters>
  <Application>Microsoft Office Word</Application>
  <DocSecurity>0</DocSecurity>
  <Lines>146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8863</CharactersWithSpaces>
  <SharedDoc>false</SharedDoc>
  <HLinks>
    <vt:vector size="12" baseType="variant">
      <vt:variant>
        <vt:i4>327774</vt:i4>
      </vt:variant>
      <vt:variant>
        <vt:i4>3</vt:i4>
      </vt:variant>
      <vt:variant>
        <vt:i4>0</vt:i4>
      </vt:variant>
      <vt:variant>
        <vt:i4>5</vt:i4>
      </vt:variant>
      <vt:variant>
        <vt:lpwstr>https://fundacionalquilerseguro.org/</vt:lpwstr>
      </vt:variant>
      <vt:variant>
        <vt:lpwstr/>
      </vt:variant>
      <vt:variant>
        <vt:i4>196686</vt:i4>
      </vt:variant>
      <vt:variant>
        <vt:i4>0</vt:i4>
      </vt:variant>
      <vt:variant>
        <vt:i4>0</vt:i4>
      </vt:variant>
      <vt:variant>
        <vt:i4>5</vt:i4>
      </vt:variant>
      <vt:variant>
        <vt:lpwstr>https://observatoriodelalquiler.org/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Negrete | Alquiler Seguro</dc:creator>
  <cp:keywords/>
  <dc:description/>
  <cp:lastModifiedBy>Virginia Carrasco |  Alquiler Seguro</cp:lastModifiedBy>
  <cp:revision>794</cp:revision>
  <dcterms:created xsi:type="dcterms:W3CDTF">2024-06-21T00:59:00Z</dcterms:created>
  <dcterms:modified xsi:type="dcterms:W3CDTF">2026-01-19T10:40:00Z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0x010100C630D4C2C3FA2C46A5823140B444E860</vt:lpwstr>
  </property>
  <property fmtid="{D5CDD505-2E9C-101B-9397-08002B2CF9AE}" pid="3" name="MediaServiceImageTags">
    <vt:lpwstr/>
  </property>
</Properties>
</file>