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5790B" w14:textId="4B21A484" w:rsidR="000D1E4B" w:rsidRPr="0082293A" w:rsidRDefault="00CB70B9" w:rsidP="00F3301B">
      <w:pPr>
        <w:jc w:val="center"/>
        <w:rPr>
          <w:rFonts w:ascii="Gilroy Bold" w:hAnsi="Gilroy Bold"/>
          <w:b/>
          <w:bCs/>
          <w:color w:val="FF5100"/>
          <w:sz w:val="36"/>
          <w:szCs w:val="36"/>
        </w:rPr>
      </w:pPr>
      <w:r>
        <w:rPr>
          <w:rFonts w:ascii="Gilroy Bold" w:hAnsi="Gilroy Bold"/>
          <w:b/>
          <w:bCs/>
          <w:color w:val="FF5100"/>
          <w:sz w:val="36"/>
          <w:szCs w:val="36"/>
        </w:rPr>
        <w:t>BARCELONA NO LOGRA BAJAR EL PRECIO</w:t>
      </w:r>
      <w:r w:rsidR="00F64176">
        <w:rPr>
          <w:rFonts w:ascii="Gilroy Bold" w:hAnsi="Gilroy Bold"/>
          <w:b/>
          <w:bCs/>
          <w:color w:val="FF5100"/>
          <w:sz w:val="36"/>
          <w:szCs w:val="36"/>
        </w:rPr>
        <w:t xml:space="preserve"> DEL ALQUILER</w:t>
      </w:r>
      <w:r>
        <w:rPr>
          <w:rFonts w:ascii="Gilroy Bold" w:hAnsi="Gilroy Bold"/>
          <w:b/>
          <w:bCs/>
          <w:color w:val="FF5100"/>
          <w:sz w:val="36"/>
          <w:szCs w:val="36"/>
        </w:rPr>
        <w:t xml:space="preserve"> Y LIDERA LA CAÍDA </w:t>
      </w:r>
      <w:r w:rsidR="00E41303">
        <w:rPr>
          <w:rFonts w:ascii="Gilroy Bold" w:hAnsi="Gilroy Bold"/>
          <w:b/>
          <w:bCs/>
          <w:color w:val="FF5100"/>
          <w:sz w:val="36"/>
          <w:szCs w:val="36"/>
        </w:rPr>
        <w:t xml:space="preserve">DE LA OFERTA </w:t>
      </w:r>
      <w:r>
        <w:rPr>
          <w:rFonts w:ascii="Gilroy Bold" w:hAnsi="Gilroy Bold"/>
          <w:b/>
          <w:bCs/>
          <w:color w:val="FF5100"/>
          <w:sz w:val="36"/>
          <w:szCs w:val="36"/>
        </w:rPr>
        <w:t>EN ESPAÑA</w:t>
      </w:r>
    </w:p>
    <w:p w14:paraId="6AE3047D" w14:textId="28D51B5F" w:rsidR="005C4DBD" w:rsidRPr="0082293A" w:rsidRDefault="00CE1DA7" w:rsidP="00CE1DA7">
      <w:pPr>
        <w:tabs>
          <w:tab w:val="center" w:pos="4252"/>
          <w:tab w:val="left" w:pos="5390"/>
        </w:tabs>
        <w:rPr>
          <w:b/>
          <w:bCs/>
          <w:sz w:val="24"/>
          <w:szCs w:val="24"/>
        </w:rPr>
      </w:pPr>
      <w:r w:rsidRPr="0082293A">
        <w:rPr>
          <w:b/>
          <w:bCs/>
          <w:sz w:val="24"/>
          <w:szCs w:val="24"/>
        </w:rPr>
        <w:tab/>
      </w:r>
      <w:r w:rsidR="005C4DBD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A68415A" wp14:editId="7F1588CE">
                <wp:simplePos x="0" y="0"/>
                <wp:positionH relativeFrom="margin">
                  <wp:align>right</wp:align>
                </wp:positionH>
                <wp:positionV relativeFrom="paragraph">
                  <wp:posOffset>62230</wp:posOffset>
                </wp:positionV>
                <wp:extent cx="5372100" cy="9525"/>
                <wp:effectExtent l="0" t="0" r="19050" b="28575"/>
                <wp:wrapNone/>
                <wp:docPr id="1668325546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2100" cy="952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5A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7903ECAC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371.8pt,4.9pt" to="794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" strokecolor="#ff5a00" strokeweight="1.5pt">
                <v:stroke joinstyle="miter"/>
                <w10:wrap anchorx="margin"/>
              </v:line>
            </w:pict>
          </mc:Fallback>
        </mc:AlternateContent>
      </w:r>
    </w:p>
    <w:p w14:paraId="724DD349" w14:textId="3376E04E" w:rsidR="000E0F42" w:rsidRDefault="00CB70B9" w:rsidP="00AA7D72">
      <w:pPr>
        <w:jc w:val="center"/>
        <w:rPr>
          <w:b/>
          <w:bCs/>
        </w:rPr>
      </w:pPr>
      <w:r>
        <w:rPr>
          <w:b/>
          <w:bCs/>
        </w:rPr>
        <w:t xml:space="preserve">Un año después de declararse zona tensionada, el mercado del alquiler sigue descontrolado en </w:t>
      </w:r>
      <w:r w:rsidR="00CA1460">
        <w:rPr>
          <w:b/>
          <w:bCs/>
        </w:rPr>
        <w:t>Barcelona</w:t>
      </w:r>
      <w:r>
        <w:rPr>
          <w:b/>
          <w:bCs/>
        </w:rPr>
        <w:t xml:space="preserve">: la presión </w:t>
      </w:r>
      <w:r w:rsidR="00194421">
        <w:rPr>
          <w:b/>
          <w:bCs/>
        </w:rPr>
        <w:t>alcanza los 437 interesados en diez días por cada vivienda en alquiler</w:t>
      </w:r>
      <w:r>
        <w:rPr>
          <w:b/>
          <w:bCs/>
        </w:rPr>
        <w:t xml:space="preserve">, </w:t>
      </w:r>
      <w:r w:rsidR="008A7EC8">
        <w:rPr>
          <w:b/>
          <w:bCs/>
        </w:rPr>
        <w:t>se prevé una reducción de la oferta de</w:t>
      </w:r>
      <w:r w:rsidR="00B07B82">
        <w:rPr>
          <w:b/>
          <w:bCs/>
        </w:rPr>
        <w:t xml:space="preserve"> 6.924 inmuebles</w:t>
      </w:r>
      <w:r w:rsidR="008A7EC8">
        <w:rPr>
          <w:b/>
          <w:bCs/>
        </w:rPr>
        <w:t xml:space="preserve"> menos</w:t>
      </w:r>
      <w:r w:rsidR="00CA1460">
        <w:rPr>
          <w:b/>
          <w:bCs/>
        </w:rPr>
        <w:t>,</w:t>
      </w:r>
      <w:r w:rsidR="003466C9">
        <w:rPr>
          <w:b/>
          <w:bCs/>
        </w:rPr>
        <w:t xml:space="preserve"> y</w:t>
      </w:r>
      <w:r w:rsidR="00CA1460">
        <w:rPr>
          <w:b/>
          <w:bCs/>
        </w:rPr>
        <w:t xml:space="preserve"> los precios superan los</w:t>
      </w:r>
      <w:r w:rsidR="009671DD">
        <w:rPr>
          <w:b/>
          <w:bCs/>
        </w:rPr>
        <w:t xml:space="preserve"> 1.650 euros</w:t>
      </w:r>
      <w:r w:rsidR="00F64176">
        <w:rPr>
          <w:b/>
          <w:bCs/>
        </w:rPr>
        <w:t xml:space="preserve"> de media.</w:t>
      </w:r>
      <w:r>
        <w:rPr>
          <w:b/>
          <w:bCs/>
        </w:rPr>
        <w:t xml:space="preserve"> </w:t>
      </w:r>
    </w:p>
    <w:p w14:paraId="4AF1F594" w14:textId="0CD67843" w:rsidR="00645DE1" w:rsidRPr="000E0F42" w:rsidRDefault="00CA1460" w:rsidP="00AA7D72">
      <w:pPr>
        <w:jc w:val="center"/>
        <w:rPr>
          <w:b/>
          <w:bCs/>
        </w:rPr>
      </w:pPr>
      <w:r>
        <w:rPr>
          <w:b/>
          <w:bCs/>
        </w:rPr>
        <w:t xml:space="preserve">A nivel nacional, la presión de la demanda </w:t>
      </w:r>
      <w:r w:rsidRPr="00CA1460">
        <w:rPr>
          <w:b/>
          <w:bCs/>
        </w:rPr>
        <w:t>continúa en aumento, con una media de 141 contactos por vivienda en diez días, frente a los 112 del trimestre anterior.</w:t>
      </w:r>
    </w:p>
    <w:p w14:paraId="42C127B6" w14:textId="6E91C7C2" w:rsidR="004A2B3E" w:rsidRDefault="00CA1460" w:rsidP="00CB61B1">
      <w:pPr>
        <w:jc w:val="center"/>
        <w:rPr>
          <w:b/>
          <w:bCs/>
        </w:rPr>
      </w:pPr>
      <w:r>
        <w:rPr>
          <w:b/>
          <w:bCs/>
        </w:rPr>
        <w:t>L</w:t>
      </w:r>
      <w:r w:rsidRPr="00CA1460">
        <w:rPr>
          <w:b/>
          <w:bCs/>
        </w:rPr>
        <w:t xml:space="preserve">as proyecciones para todo 2025 apuntan a una caída </w:t>
      </w:r>
      <w:r w:rsidR="004B3D50">
        <w:rPr>
          <w:b/>
          <w:bCs/>
        </w:rPr>
        <w:t xml:space="preserve">de la oferta a nivel nacional </w:t>
      </w:r>
      <w:r w:rsidRPr="00CA1460">
        <w:rPr>
          <w:b/>
          <w:bCs/>
        </w:rPr>
        <w:t xml:space="preserve">del 2% respecto a 2024, </w:t>
      </w:r>
      <w:r w:rsidR="00B5342A">
        <w:rPr>
          <w:b/>
          <w:bCs/>
        </w:rPr>
        <w:t xml:space="preserve">con </w:t>
      </w:r>
      <w:r w:rsidRPr="00CA1460">
        <w:rPr>
          <w:b/>
          <w:bCs/>
        </w:rPr>
        <w:t xml:space="preserve">14.519 </w:t>
      </w:r>
      <w:r w:rsidR="00B5342A">
        <w:rPr>
          <w:b/>
          <w:bCs/>
        </w:rPr>
        <w:t xml:space="preserve">inmuebles menos. </w:t>
      </w:r>
      <w:r w:rsidRPr="00CA1460">
        <w:rPr>
          <w:b/>
          <w:bCs/>
        </w:rPr>
        <w:t xml:space="preserve"> </w:t>
      </w:r>
    </w:p>
    <w:p w14:paraId="54F81B37" w14:textId="5B5802CD" w:rsidR="00FC31DC" w:rsidRPr="00380056" w:rsidRDefault="007949AA" w:rsidP="00CB61B1">
      <w:pPr>
        <w:jc w:val="center"/>
        <w:rPr>
          <w:b/>
          <w:bCs/>
        </w:rPr>
      </w:pPr>
      <w:r w:rsidRPr="00380056">
        <w:rPr>
          <w:b/>
          <w:bCs/>
        </w:rPr>
        <w:t>En p</w:t>
      </w:r>
      <w:r w:rsidR="00FC31DC" w:rsidRPr="00380056">
        <w:rPr>
          <w:b/>
          <w:bCs/>
        </w:rPr>
        <w:t>rovincias como Salamanca (+2.511)</w:t>
      </w:r>
      <w:r w:rsidRPr="00380056">
        <w:rPr>
          <w:b/>
          <w:bCs/>
        </w:rPr>
        <w:t xml:space="preserve">, </w:t>
      </w:r>
      <w:r w:rsidR="00FC31DC" w:rsidRPr="00380056">
        <w:rPr>
          <w:b/>
          <w:bCs/>
        </w:rPr>
        <w:t xml:space="preserve">Granada </w:t>
      </w:r>
      <w:r w:rsidRPr="00380056">
        <w:rPr>
          <w:b/>
          <w:bCs/>
        </w:rPr>
        <w:t xml:space="preserve">(+1.059), Madrid </w:t>
      </w:r>
      <w:r w:rsidR="00380056">
        <w:rPr>
          <w:b/>
          <w:bCs/>
        </w:rPr>
        <w:t>(+1.295), Santa Cruz de Tenerife (+1.024)</w:t>
      </w:r>
      <w:r w:rsidR="00473D81">
        <w:rPr>
          <w:b/>
          <w:bCs/>
        </w:rPr>
        <w:t xml:space="preserve"> o</w:t>
      </w:r>
      <w:r w:rsidR="003A06F8">
        <w:rPr>
          <w:b/>
          <w:bCs/>
        </w:rPr>
        <w:t xml:space="preserve"> </w:t>
      </w:r>
      <w:r w:rsidR="00380056">
        <w:rPr>
          <w:b/>
          <w:bCs/>
        </w:rPr>
        <w:t>Baleares (</w:t>
      </w:r>
      <w:r w:rsidR="003B647D">
        <w:rPr>
          <w:b/>
          <w:bCs/>
        </w:rPr>
        <w:t>+1.018)</w:t>
      </w:r>
      <w:r w:rsidR="00473D81">
        <w:rPr>
          <w:b/>
          <w:bCs/>
        </w:rPr>
        <w:t>, se experimentará un repunte en la oferta de viviendas de alquiler</w:t>
      </w:r>
      <w:r w:rsidR="00ED050C">
        <w:rPr>
          <w:b/>
          <w:bCs/>
        </w:rPr>
        <w:t xml:space="preserve"> en 2025.</w:t>
      </w:r>
    </w:p>
    <w:p w14:paraId="49EEB383" w14:textId="16BE9C71" w:rsidR="00E31F79" w:rsidRDefault="00044D57" w:rsidP="00E31F79">
      <w:pPr>
        <w:jc w:val="center"/>
        <w:rPr>
          <w:b/>
          <w:bCs/>
        </w:rPr>
      </w:pPr>
      <w:r w:rsidRPr="00044D57">
        <w:rPr>
          <w:b/>
          <w:bCs/>
        </w:rPr>
        <w:t xml:space="preserve">El alquiler medio en España ha subido hasta los 1.155 euros mensuales, el máximo histórico, con un crecimiento del 4,4% interanual. </w:t>
      </w:r>
    </w:p>
    <w:p w14:paraId="254D2468" w14:textId="07405BB2" w:rsidR="00F96D52" w:rsidRPr="00FE2B8F" w:rsidRDefault="00B93553" w:rsidP="00B93553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93B6E4" wp14:editId="7027AA38">
                <wp:simplePos x="0" y="0"/>
                <wp:positionH relativeFrom="margin">
                  <wp:posOffset>5714</wp:posOffset>
                </wp:positionH>
                <wp:positionV relativeFrom="paragraph">
                  <wp:posOffset>80644</wp:posOffset>
                </wp:positionV>
                <wp:extent cx="5381625" cy="19050"/>
                <wp:effectExtent l="0" t="0" r="28575" b="19050"/>
                <wp:wrapNone/>
                <wp:docPr id="1624443959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81625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5A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line w14:anchorId="1CD64524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.45pt,6.35pt" to="424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" strokecolor="#ff5a00" strokeweight="1.5pt">
                <v:stroke joinstyle="miter"/>
                <w10:wrap anchorx="margin"/>
              </v:line>
            </w:pict>
          </mc:Fallback>
        </mc:AlternateContent>
      </w:r>
    </w:p>
    <w:p w14:paraId="7D657072" w14:textId="5C9BB799" w:rsidR="009C68C0" w:rsidRDefault="000F353D" w:rsidP="00667B0B">
      <w:pPr>
        <w:jc w:val="both"/>
      </w:pPr>
      <w:r w:rsidRPr="00E4565F">
        <w:rPr>
          <w:color w:val="BFBFBF" w:themeColor="background1" w:themeShade="BF"/>
        </w:rPr>
        <w:t xml:space="preserve">Madrid, </w:t>
      </w:r>
      <w:r w:rsidR="00F31BFE">
        <w:rPr>
          <w:color w:val="BFBFBF" w:themeColor="background1" w:themeShade="BF"/>
        </w:rPr>
        <w:t>9</w:t>
      </w:r>
      <w:r>
        <w:rPr>
          <w:color w:val="BFBFBF" w:themeColor="background1" w:themeShade="BF"/>
        </w:rPr>
        <w:t xml:space="preserve"> </w:t>
      </w:r>
      <w:r w:rsidRPr="00E4565F">
        <w:rPr>
          <w:color w:val="BFBFBF" w:themeColor="background1" w:themeShade="BF"/>
        </w:rPr>
        <w:t xml:space="preserve">de </w:t>
      </w:r>
      <w:r>
        <w:rPr>
          <w:color w:val="BFBFBF" w:themeColor="background1" w:themeShade="BF"/>
        </w:rPr>
        <w:t>ju</w:t>
      </w:r>
      <w:r w:rsidR="00AD33A7">
        <w:rPr>
          <w:color w:val="BFBFBF" w:themeColor="background1" w:themeShade="BF"/>
        </w:rPr>
        <w:t>l</w:t>
      </w:r>
      <w:r>
        <w:rPr>
          <w:color w:val="BFBFBF" w:themeColor="background1" w:themeShade="BF"/>
        </w:rPr>
        <w:t>io</w:t>
      </w:r>
      <w:r w:rsidRPr="00E4565F">
        <w:rPr>
          <w:color w:val="BFBFBF" w:themeColor="background1" w:themeShade="BF"/>
        </w:rPr>
        <w:t xml:space="preserve"> de 202</w:t>
      </w:r>
      <w:r>
        <w:rPr>
          <w:color w:val="BFBFBF" w:themeColor="background1" w:themeShade="BF"/>
        </w:rPr>
        <w:t>5</w:t>
      </w:r>
      <w:r w:rsidRPr="00E4565F">
        <w:rPr>
          <w:color w:val="BFBFBF" w:themeColor="background1" w:themeShade="BF"/>
        </w:rPr>
        <w:t>.</w:t>
      </w:r>
      <w:r>
        <w:rPr>
          <w:color w:val="BFBFBF" w:themeColor="background1" w:themeShade="BF"/>
        </w:rPr>
        <w:t xml:space="preserve"> </w:t>
      </w:r>
      <w:r w:rsidR="00A50E26">
        <w:t>Cataluña</w:t>
      </w:r>
      <w:r w:rsidR="00CB70B9">
        <w:t xml:space="preserve"> fue </w:t>
      </w:r>
      <w:r w:rsidR="00F07EB9">
        <w:t xml:space="preserve">pionera en aplicar la declaración de </w:t>
      </w:r>
      <w:r w:rsidR="00F07EB9" w:rsidRPr="00837EF9">
        <w:rPr>
          <w:b/>
          <w:bCs/>
        </w:rPr>
        <w:t>zona tensionada</w:t>
      </w:r>
      <w:r w:rsidR="00F07EB9">
        <w:t xml:space="preserve">, una de las principales medidas contempladas por la ley de vivienda, en vigor desde </w:t>
      </w:r>
      <w:r w:rsidR="000E40F4">
        <w:t>mayo de 2023</w:t>
      </w:r>
      <w:r w:rsidR="00136D2C">
        <w:t>.</w:t>
      </w:r>
      <w:r w:rsidR="000E40F4">
        <w:t xml:space="preserve"> Hace un año, </w:t>
      </w:r>
      <w:r w:rsidR="006E2C85">
        <w:t xml:space="preserve">se declaró esta figura en 140 municipios de Cataluña, incluida toda la provincia barcelonesa. </w:t>
      </w:r>
    </w:p>
    <w:p w14:paraId="06FBB360" w14:textId="02588F41" w:rsidR="00441B14" w:rsidRDefault="006E2C85" w:rsidP="00667B0B">
      <w:pPr>
        <w:jc w:val="both"/>
      </w:pPr>
      <w:r>
        <w:t xml:space="preserve">Por primera vez, el </w:t>
      </w:r>
      <w:r w:rsidRPr="00837EF9">
        <w:rPr>
          <w:b/>
          <w:bCs/>
        </w:rPr>
        <w:t>Barómetro del Alquiler</w:t>
      </w:r>
      <w:r>
        <w:t xml:space="preserve"> </w:t>
      </w:r>
      <w:r w:rsidR="009C68C0" w:rsidRPr="009C68C0">
        <w:t xml:space="preserve">del segundo trimestre de 2025, elaborado por el </w:t>
      </w:r>
      <w:hyperlink r:id="rId11" w:history="1">
        <w:r w:rsidR="009C68C0" w:rsidRPr="0030301E">
          <w:rPr>
            <w:rStyle w:val="Hipervnculo"/>
            <w:b/>
            <w:bCs/>
          </w:rPr>
          <w:t>Observatorio del Alquiler</w:t>
        </w:r>
      </w:hyperlink>
      <w:r w:rsidR="009C68C0" w:rsidRPr="009C68C0">
        <w:t xml:space="preserve">, impulsado por la </w:t>
      </w:r>
      <w:r w:rsidR="009C68C0" w:rsidRPr="0030301E">
        <w:rPr>
          <w:b/>
          <w:bCs/>
        </w:rPr>
        <w:t>Fundación Alquiler Seguro y la Universidad Rey Juan Carlos</w:t>
      </w:r>
      <w:r w:rsidR="009C68C0">
        <w:t xml:space="preserve">, </w:t>
      </w:r>
      <w:r>
        <w:t xml:space="preserve">puede analizar el impacto real de un año completo de esta medida, y los datos son concluyentes: </w:t>
      </w:r>
      <w:r w:rsidR="009671DD" w:rsidRPr="0030301E">
        <w:rPr>
          <w:b/>
          <w:bCs/>
        </w:rPr>
        <w:t>la provincia de Barcelona lidera la destrucción de oferta de viviendas en España, con 6.924 inmuebles menos</w:t>
      </w:r>
      <w:r w:rsidR="009671DD">
        <w:t xml:space="preserve"> previstos </w:t>
      </w:r>
      <w:r w:rsidR="00503198">
        <w:t xml:space="preserve">para este año. A esto se suma una presión sin precedentes, con </w:t>
      </w:r>
      <w:r w:rsidR="00503198" w:rsidRPr="0030301E">
        <w:rPr>
          <w:b/>
          <w:bCs/>
        </w:rPr>
        <w:t>437 personas interesadas por ca</w:t>
      </w:r>
      <w:r w:rsidR="00FD1BB2">
        <w:rPr>
          <w:b/>
          <w:bCs/>
        </w:rPr>
        <w:t>d</w:t>
      </w:r>
      <w:r w:rsidR="00503198" w:rsidRPr="0030301E">
        <w:rPr>
          <w:b/>
          <w:bCs/>
        </w:rPr>
        <w:t>a vivienda en solo diez día</w:t>
      </w:r>
      <w:r w:rsidR="00503198">
        <w:t xml:space="preserve">s, la cifra más alta jamás registrada. </w:t>
      </w:r>
    </w:p>
    <w:p w14:paraId="1D50ADA1" w14:textId="77777777" w:rsidR="00441B14" w:rsidRDefault="00441B14" w:rsidP="00667B0B">
      <w:pPr>
        <w:jc w:val="both"/>
      </w:pPr>
    </w:p>
    <w:p w14:paraId="55E229BF" w14:textId="77777777" w:rsidR="00441B14" w:rsidRDefault="00441B14" w:rsidP="00667B0B">
      <w:pPr>
        <w:jc w:val="both"/>
      </w:pPr>
    </w:p>
    <w:p w14:paraId="208EB640" w14:textId="77777777" w:rsidR="00441B14" w:rsidRDefault="00441B14" w:rsidP="00667B0B">
      <w:pPr>
        <w:jc w:val="both"/>
      </w:pPr>
    </w:p>
    <w:p w14:paraId="7B432FBA" w14:textId="77777777" w:rsidR="00441B14" w:rsidRDefault="00441B14" w:rsidP="00667B0B">
      <w:pPr>
        <w:jc w:val="both"/>
      </w:pPr>
    </w:p>
    <w:p w14:paraId="79B92878" w14:textId="77777777" w:rsidR="00441B14" w:rsidRDefault="00441B14" w:rsidP="00667B0B">
      <w:pPr>
        <w:jc w:val="both"/>
      </w:pPr>
    </w:p>
    <w:p w14:paraId="2CB4DB26" w14:textId="77777777" w:rsidR="00441B14" w:rsidRPr="00072B20" w:rsidRDefault="00441B14" w:rsidP="00441B14">
      <w:pPr>
        <w:spacing w:line="276" w:lineRule="auto"/>
        <w:jc w:val="center"/>
        <w:rPr>
          <w:b/>
          <w:bCs/>
        </w:rPr>
      </w:pPr>
      <w:r w:rsidRPr="00072B20">
        <w:rPr>
          <w:b/>
          <w:bCs/>
        </w:rPr>
        <w:lastRenderedPageBreak/>
        <w:t>Evolución de la oferta en Barcelona</w:t>
      </w:r>
    </w:p>
    <w:p w14:paraId="1653ECEC" w14:textId="751D670E" w:rsidR="00441B14" w:rsidRDefault="00441B14" w:rsidP="00E5255B">
      <w:pPr>
        <w:jc w:val="center"/>
      </w:pPr>
      <w:r>
        <w:rPr>
          <w:noProof/>
        </w:rPr>
        <w:drawing>
          <wp:inline distT="0" distB="0" distL="0" distR="0" wp14:anchorId="040776A8" wp14:editId="1A8E91A2">
            <wp:extent cx="4450080" cy="2502909"/>
            <wp:effectExtent l="0" t="0" r="0" b="0"/>
            <wp:docPr id="1830387095" name="Imagen 6" descr="Pantalla de un video jueg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387095" name="Imagen 6" descr="Pantalla de un video juego&#10;&#10;El contenido generado por IA puede ser incorrec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65218" cy="251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635B8C" w14:textId="221CA098" w:rsidR="006E0943" w:rsidRDefault="00704BFC" w:rsidP="00667B0B">
      <w:pPr>
        <w:jc w:val="both"/>
      </w:pPr>
      <w:r>
        <w:t>Pese a que uno de los objetivos de la declaración de zonas tensionadas era contener los precios</w:t>
      </w:r>
      <w:r w:rsidRPr="00E5255B">
        <w:rPr>
          <w:b/>
          <w:bCs/>
        </w:rPr>
        <w:t>, Barcelona sigue siendo la provincia más cara del país para vivir de alquiler, con una media de 1.656 euros mensuales</w:t>
      </w:r>
      <w:r>
        <w:t xml:space="preserve">, un 0,4% más que el trimestre anterior y un 3,6% más que hace un año. </w:t>
      </w:r>
    </w:p>
    <w:p w14:paraId="73EC215E" w14:textId="41606258" w:rsidR="00667B0B" w:rsidRDefault="00B24F4C" w:rsidP="00667B0B">
      <w:pPr>
        <w:jc w:val="both"/>
        <w:rPr>
          <w:b/>
          <w:bCs/>
          <w:color w:val="FF5100"/>
        </w:rPr>
      </w:pPr>
      <w:r>
        <w:rPr>
          <w:b/>
          <w:bCs/>
          <w:color w:val="FF5100"/>
        </w:rPr>
        <w:t>LA PRESIÓN DE LA DEMANDA SIGUE DISPARADA</w:t>
      </w:r>
    </w:p>
    <w:p w14:paraId="14621DD6" w14:textId="5E17522F" w:rsidR="00DC5529" w:rsidRDefault="00B24F4C" w:rsidP="00667B0B">
      <w:pPr>
        <w:jc w:val="both"/>
      </w:pPr>
      <w:r>
        <w:t>A nivel nacional,</w:t>
      </w:r>
      <w:r w:rsidR="00260206">
        <w:t xml:space="preserve"> el informe constata que la presión de la demanda continúa en aumento, con una media de </w:t>
      </w:r>
      <w:r w:rsidR="00260206" w:rsidRPr="00843053">
        <w:rPr>
          <w:b/>
          <w:bCs/>
        </w:rPr>
        <w:t>141 contactos por vivienda en diez días</w:t>
      </w:r>
      <w:r w:rsidR="00260206">
        <w:t xml:space="preserve">, frente a los 112 del trimestre anterior. El dato más alto lo protagoniza, una vez más, </w:t>
      </w:r>
      <w:r w:rsidR="00724513">
        <w:t xml:space="preserve">la provincia de Barcelona, muy por encima del resto. </w:t>
      </w:r>
    </w:p>
    <w:p w14:paraId="6EDE2F53" w14:textId="21085452" w:rsidR="00AD11E0" w:rsidRPr="00AD11E0" w:rsidRDefault="00AD11E0" w:rsidP="00AD11E0">
      <w:pPr>
        <w:jc w:val="center"/>
        <w:rPr>
          <w:b/>
          <w:bCs/>
        </w:rPr>
      </w:pPr>
      <w:r w:rsidRPr="00AD11E0">
        <w:rPr>
          <w:b/>
          <w:bCs/>
        </w:rPr>
        <w:t>Provincias por presión de la demanda</w:t>
      </w:r>
    </w:p>
    <w:p w14:paraId="2BC790EC" w14:textId="18BD43FD" w:rsidR="001536F0" w:rsidRDefault="001536F0" w:rsidP="00E5255B">
      <w:pPr>
        <w:jc w:val="center"/>
      </w:pPr>
      <w:r>
        <w:rPr>
          <w:noProof/>
        </w:rPr>
        <w:drawing>
          <wp:inline distT="0" distB="0" distL="0" distR="0" wp14:anchorId="2FE61176" wp14:editId="47156348">
            <wp:extent cx="4739640" cy="2665769"/>
            <wp:effectExtent l="0" t="0" r="0" b="1270"/>
            <wp:docPr id="1658236432" name="Imagen 4" descr="Map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236432" name="Imagen 4" descr="Mapa&#10;&#10;El contenido generado por IA puede ser incorrecto.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0585" cy="267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9CE473" w14:textId="6D87F95A" w:rsidR="00687191" w:rsidRDefault="00724513" w:rsidP="00667B0B">
      <w:pPr>
        <w:jc w:val="both"/>
      </w:pPr>
      <w:r>
        <w:lastRenderedPageBreak/>
        <w:t xml:space="preserve">También destacan otras provincias con cifras elevadas, como </w:t>
      </w:r>
      <w:r w:rsidRPr="009273B6">
        <w:rPr>
          <w:b/>
          <w:bCs/>
        </w:rPr>
        <w:t>Las Palmas</w:t>
      </w:r>
      <w:r>
        <w:t xml:space="preserve"> (141</w:t>
      </w:r>
      <w:r w:rsidR="0040122B">
        <w:t xml:space="preserve">), </w:t>
      </w:r>
      <w:r w:rsidRPr="009273B6">
        <w:rPr>
          <w:b/>
          <w:bCs/>
        </w:rPr>
        <w:t>Baleares</w:t>
      </w:r>
      <w:r>
        <w:t xml:space="preserve"> (127), </w:t>
      </w:r>
      <w:r w:rsidRPr="009273B6">
        <w:rPr>
          <w:b/>
          <w:bCs/>
        </w:rPr>
        <w:t>Alicante</w:t>
      </w:r>
      <w:r>
        <w:t xml:space="preserve"> (126), </w:t>
      </w:r>
      <w:r w:rsidRPr="009273B6">
        <w:rPr>
          <w:b/>
          <w:bCs/>
        </w:rPr>
        <w:t>Vizcaya</w:t>
      </w:r>
      <w:r>
        <w:t xml:space="preserve"> (123), </w:t>
      </w:r>
      <w:r w:rsidR="0005132A" w:rsidRPr="009273B6">
        <w:rPr>
          <w:b/>
          <w:bCs/>
        </w:rPr>
        <w:t>Santa Cruz de Tenerife</w:t>
      </w:r>
      <w:r w:rsidR="0005132A">
        <w:t xml:space="preserve"> (114), </w:t>
      </w:r>
      <w:r w:rsidR="0005132A" w:rsidRPr="009273B6">
        <w:rPr>
          <w:b/>
          <w:bCs/>
        </w:rPr>
        <w:t>Girona</w:t>
      </w:r>
      <w:r w:rsidR="0005132A">
        <w:t xml:space="preserve"> (112), </w:t>
      </w:r>
      <w:r w:rsidR="0005132A" w:rsidRPr="009273B6">
        <w:rPr>
          <w:b/>
          <w:bCs/>
        </w:rPr>
        <w:t>Álava</w:t>
      </w:r>
      <w:r w:rsidR="0005132A">
        <w:t xml:space="preserve"> (111)</w:t>
      </w:r>
      <w:r w:rsidR="00AC1150">
        <w:t xml:space="preserve">, </w:t>
      </w:r>
      <w:r w:rsidR="00AC1150" w:rsidRPr="009273B6">
        <w:rPr>
          <w:b/>
          <w:bCs/>
        </w:rPr>
        <w:t>Valencia</w:t>
      </w:r>
      <w:r w:rsidR="00AC1150">
        <w:t xml:space="preserve"> (107) y </w:t>
      </w:r>
      <w:r w:rsidR="00AC1150" w:rsidRPr="009273B6">
        <w:rPr>
          <w:b/>
          <w:bCs/>
        </w:rPr>
        <w:t>Madrid</w:t>
      </w:r>
      <w:r w:rsidR="00AC1150">
        <w:t xml:space="preserve"> (106), </w:t>
      </w:r>
      <w:r>
        <w:t>todas ellas marcadas por el peso del turismo</w:t>
      </w:r>
      <w:r w:rsidR="001B08F4">
        <w:t xml:space="preserve">, </w:t>
      </w:r>
      <w:r w:rsidR="00591914">
        <w:t xml:space="preserve">por ser ciudades de gran tamaño que atraen población que necesita una vivienda, </w:t>
      </w:r>
      <w:r w:rsidR="001B08F4">
        <w:t xml:space="preserve">o por ser zonas tensionadas. </w:t>
      </w:r>
    </w:p>
    <w:p w14:paraId="5C929321" w14:textId="5087E791" w:rsidR="007C7DE6" w:rsidRPr="00DC4B9A" w:rsidRDefault="007C7DE6" w:rsidP="00667B0B">
      <w:pPr>
        <w:jc w:val="both"/>
      </w:pPr>
      <w:r>
        <w:t xml:space="preserve">Por </w:t>
      </w:r>
      <w:r w:rsidR="00C745B1">
        <w:t>el contrario</w:t>
      </w:r>
      <w:r>
        <w:t xml:space="preserve">, aquellas provincias que experimentan una situación más </w:t>
      </w:r>
      <w:r w:rsidR="00D224E9">
        <w:t>equilibrada</w:t>
      </w:r>
      <w:r w:rsidR="0034524E">
        <w:t xml:space="preserve"> son </w:t>
      </w:r>
      <w:r w:rsidR="0034524E" w:rsidRPr="009273B6">
        <w:rPr>
          <w:b/>
          <w:bCs/>
        </w:rPr>
        <w:t>Badajoz</w:t>
      </w:r>
      <w:r w:rsidR="0034524E">
        <w:t xml:space="preserve"> (15), </w:t>
      </w:r>
      <w:r w:rsidR="0034524E" w:rsidRPr="009273B6">
        <w:rPr>
          <w:b/>
          <w:bCs/>
        </w:rPr>
        <w:t>Lugo</w:t>
      </w:r>
      <w:r w:rsidR="0034524E">
        <w:t xml:space="preserve"> (15), </w:t>
      </w:r>
      <w:r w:rsidR="0034524E" w:rsidRPr="009273B6">
        <w:rPr>
          <w:b/>
          <w:bCs/>
        </w:rPr>
        <w:t>Ourense</w:t>
      </w:r>
      <w:r w:rsidR="0034524E">
        <w:t xml:space="preserve"> (15), </w:t>
      </w:r>
      <w:r w:rsidR="0034524E" w:rsidRPr="009273B6">
        <w:rPr>
          <w:b/>
          <w:bCs/>
        </w:rPr>
        <w:t>Ciudad Real</w:t>
      </w:r>
      <w:r w:rsidR="0034524E">
        <w:t xml:space="preserve"> (14), </w:t>
      </w:r>
      <w:r w:rsidR="00E4586F" w:rsidRPr="009273B6">
        <w:rPr>
          <w:b/>
          <w:bCs/>
        </w:rPr>
        <w:t>Melilla</w:t>
      </w:r>
      <w:r w:rsidR="00E4586F">
        <w:t xml:space="preserve"> (14), </w:t>
      </w:r>
      <w:r w:rsidR="00E4586F" w:rsidRPr="009273B6">
        <w:rPr>
          <w:b/>
          <w:bCs/>
        </w:rPr>
        <w:t>Soria</w:t>
      </w:r>
      <w:r w:rsidR="00E4586F">
        <w:t xml:space="preserve"> (14), </w:t>
      </w:r>
      <w:r w:rsidR="00E4586F" w:rsidRPr="009273B6">
        <w:rPr>
          <w:b/>
          <w:bCs/>
        </w:rPr>
        <w:t>Jaén</w:t>
      </w:r>
      <w:r w:rsidR="00E4586F">
        <w:t xml:space="preserve"> (13), </w:t>
      </w:r>
      <w:r w:rsidR="00E4586F" w:rsidRPr="009273B6">
        <w:rPr>
          <w:b/>
          <w:bCs/>
        </w:rPr>
        <w:t>Huesca</w:t>
      </w:r>
      <w:r w:rsidR="00E4586F">
        <w:t xml:space="preserve"> (12), </w:t>
      </w:r>
      <w:r w:rsidR="00E4586F" w:rsidRPr="009273B6">
        <w:rPr>
          <w:b/>
          <w:bCs/>
        </w:rPr>
        <w:t>Cáceres</w:t>
      </w:r>
      <w:r w:rsidR="00E4586F">
        <w:t xml:space="preserve"> (11), </w:t>
      </w:r>
      <w:r w:rsidR="00E4586F" w:rsidRPr="009273B6">
        <w:rPr>
          <w:b/>
          <w:bCs/>
        </w:rPr>
        <w:t>Cuenca</w:t>
      </w:r>
      <w:r w:rsidR="00E4586F">
        <w:t xml:space="preserve"> (10)</w:t>
      </w:r>
      <w:r w:rsidR="009273B6">
        <w:t xml:space="preserve"> o </w:t>
      </w:r>
      <w:r w:rsidR="009273B6" w:rsidRPr="009273B6">
        <w:rPr>
          <w:b/>
          <w:bCs/>
        </w:rPr>
        <w:t>Teruel</w:t>
      </w:r>
      <w:r w:rsidR="009273B6">
        <w:t xml:space="preserve"> (10).</w:t>
      </w:r>
    </w:p>
    <w:p w14:paraId="41889E19" w14:textId="4C54574E" w:rsidR="000F353D" w:rsidRPr="00F4313C" w:rsidRDefault="00DC4B9A" w:rsidP="000F353D">
      <w:pPr>
        <w:jc w:val="both"/>
        <w:rPr>
          <w:b/>
          <w:bCs/>
          <w:color w:val="FF5100"/>
        </w:rPr>
      </w:pPr>
      <w:r>
        <w:rPr>
          <w:b/>
          <w:bCs/>
          <w:color w:val="FF5100"/>
        </w:rPr>
        <w:t>LA OFERTA CAE Y SE PREVÉ UNA PÉRDIDA DE 14.500 VIVIENDAS EN 2025</w:t>
      </w:r>
    </w:p>
    <w:p w14:paraId="14EFA792" w14:textId="70872881" w:rsidR="00C613F0" w:rsidRDefault="004F6A1A" w:rsidP="00A12F9B">
      <w:pPr>
        <w:spacing w:line="276" w:lineRule="auto"/>
        <w:jc w:val="both"/>
      </w:pPr>
      <w:r>
        <w:t xml:space="preserve">La oferta de viviendas en alquiler residencial sigue a la baja. Aunque el segundo trimestre suele mostrar cierta recuperación estacional, </w:t>
      </w:r>
      <w:r w:rsidRPr="00107A7E">
        <w:rPr>
          <w:b/>
          <w:bCs/>
        </w:rPr>
        <w:t>las proyecciones para todo 2025 apuntan a una caída del 2% respecto a 2024</w:t>
      </w:r>
      <w:r>
        <w:t xml:space="preserve">, con un total estimado de 702.819 inmuebles disponibles, es decir, </w:t>
      </w:r>
      <w:r w:rsidRPr="00107A7E">
        <w:rPr>
          <w:b/>
          <w:bCs/>
        </w:rPr>
        <w:t>14.</w:t>
      </w:r>
      <w:r w:rsidR="00591E94" w:rsidRPr="00107A7E">
        <w:rPr>
          <w:b/>
          <w:bCs/>
        </w:rPr>
        <w:t>519 menos que el año anterior</w:t>
      </w:r>
      <w:r w:rsidR="00591E94">
        <w:t xml:space="preserve">. </w:t>
      </w:r>
    </w:p>
    <w:p w14:paraId="453CC864" w14:textId="054E5018" w:rsidR="00591E94" w:rsidRDefault="00591E94" w:rsidP="00A12F9B">
      <w:pPr>
        <w:spacing w:line="276" w:lineRule="auto"/>
        <w:jc w:val="both"/>
      </w:pPr>
      <w:r w:rsidRPr="00107A7E">
        <w:rPr>
          <w:b/>
          <w:bCs/>
        </w:rPr>
        <w:t>Barcelona</w:t>
      </w:r>
      <w:r>
        <w:t xml:space="preserve"> lidera también esta tendencia negativa, seguida de provincias como </w:t>
      </w:r>
      <w:r w:rsidRPr="00107A7E">
        <w:rPr>
          <w:b/>
          <w:bCs/>
        </w:rPr>
        <w:t>Sevilla</w:t>
      </w:r>
      <w:r>
        <w:t xml:space="preserve"> (-</w:t>
      </w:r>
      <w:r w:rsidR="000356E4">
        <w:t xml:space="preserve">3.000), </w:t>
      </w:r>
      <w:r w:rsidR="000356E4" w:rsidRPr="00107A7E">
        <w:rPr>
          <w:b/>
          <w:bCs/>
        </w:rPr>
        <w:t>Valencia</w:t>
      </w:r>
      <w:r w:rsidR="000356E4">
        <w:t xml:space="preserve"> </w:t>
      </w:r>
      <w:r w:rsidR="008671F5">
        <w:t xml:space="preserve">(-2.457), </w:t>
      </w:r>
      <w:r w:rsidR="008671F5" w:rsidRPr="00107A7E">
        <w:rPr>
          <w:b/>
          <w:bCs/>
        </w:rPr>
        <w:t>Asturias</w:t>
      </w:r>
      <w:r w:rsidR="008671F5">
        <w:t xml:space="preserve"> (-1.408), </w:t>
      </w:r>
      <w:r w:rsidR="008671F5" w:rsidRPr="00107A7E">
        <w:rPr>
          <w:b/>
          <w:bCs/>
        </w:rPr>
        <w:t>Alicante</w:t>
      </w:r>
      <w:r w:rsidR="008671F5">
        <w:t xml:space="preserve"> (-1.251)</w:t>
      </w:r>
      <w:r w:rsidR="00843FC8">
        <w:t xml:space="preserve">, </w:t>
      </w:r>
      <w:r w:rsidR="00843FC8" w:rsidRPr="00107A7E">
        <w:rPr>
          <w:b/>
          <w:bCs/>
        </w:rPr>
        <w:t>Cantabria</w:t>
      </w:r>
      <w:r w:rsidR="00843FC8">
        <w:t xml:space="preserve"> (-1.098) o </w:t>
      </w:r>
      <w:r w:rsidR="00843FC8" w:rsidRPr="00107A7E">
        <w:rPr>
          <w:b/>
          <w:bCs/>
        </w:rPr>
        <w:t>Cádiz</w:t>
      </w:r>
      <w:r w:rsidR="00843FC8">
        <w:t xml:space="preserve"> (-1.086).</w:t>
      </w:r>
    </w:p>
    <w:p w14:paraId="5AEFA9CE" w14:textId="38ACF5E7" w:rsidR="001536F0" w:rsidRDefault="00150C59" w:rsidP="00A12F9B">
      <w:pPr>
        <w:spacing w:line="276" w:lineRule="auto"/>
        <w:jc w:val="both"/>
      </w:pPr>
      <w:r>
        <w:t>En cuanto a las mayores caídas en términos relativos, se produci</w:t>
      </w:r>
      <w:r w:rsidR="008828FC">
        <w:t xml:space="preserve">rían en provincias como </w:t>
      </w:r>
      <w:r w:rsidR="008828FC" w:rsidRPr="00681A16">
        <w:rPr>
          <w:b/>
          <w:bCs/>
        </w:rPr>
        <w:t>Palencia</w:t>
      </w:r>
      <w:r w:rsidR="008828FC">
        <w:t xml:space="preserve"> (-24,3%), </w:t>
      </w:r>
      <w:r w:rsidR="008828FC" w:rsidRPr="00681A16">
        <w:rPr>
          <w:b/>
          <w:bCs/>
        </w:rPr>
        <w:t>Guipúzcoa</w:t>
      </w:r>
      <w:r w:rsidR="008828FC">
        <w:t xml:space="preserve"> (-18,9%)</w:t>
      </w:r>
      <w:r w:rsidR="00AF0AD1">
        <w:t xml:space="preserve">, </w:t>
      </w:r>
      <w:r w:rsidR="00AF0AD1" w:rsidRPr="00681A16">
        <w:rPr>
          <w:b/>
          <w:bCs/>
        </w:rPr>
        <w:t>Teruel</w:t>
      </w:r>
      <w:r w:rsidR="00AF0AD1">
        <w:t xml:space="preserve"> (-17,8%), </w:t>
      </w:r>
      <w:r w:rsidR="00AF0AD1" w:rsidRPr="009A30B2">
        <w:rPr>
          <w:b/>
          <w:bCs/>
        </w:rPr>
        <w:t>Sevilla</w:t>
      </w:r>
      <w:r w:rsidR="00AF0AD1">
        <w:t xml:space="preserve"> (-12,4%) o </w:t>
      </w:r>
      <w:r w:rsidR="00AF0AD1" w:rsidRPr="009A30B2">
        <w:rPr>
          <w:b/>
          <w:bCs/>
        </w:rPr>
        <w:t>Vizcaya</w:t>
      </w:r>
      <w:r w:rsidR="00AF0AD1">
        <w:t xml:space="preserve"> (-11,9%).</w:t>
      </w:r>
    </w:p>
    <w:p w14:paraId="3FC42B36" w14:textId="02A762CB" w:rsidR="0003309F" w:rsidRPr="00F31BFE" w:rsidRDefault="0003309F" w:rsidP="00A12F9B">
      <w:pPr>
        <w:spacing w:line="276" w:lineRule="auto"/>
        <w:jc w:val="both"/>
      </w:pPr>
      <w:r>
        <w:t xml:space="preserve">Sin embargo, provincias como </w:t>
      </w:r>
      <w:r w:rsidRPr="00BE3732">
        <w:rPr>
          <w:b/>
          <w:bCs/>
        </w:rPr>
        <w:t>Salamanca</w:t>
      </w:r>
      <w:r>
        <w:t xml:space="preserve"> (+2.511) o </w:t>
      </w:r>
      <w:r w:rsidRPr="00BE3732">
        <w:rPr>
          <w:b/>
          <w:bCs/>
        </w:rPr>
        <w:t>Granada</w:t>
      </w:r>
      <w:r>
        <w:t xml:space="preserve"> (+1.059), </w:t>
      </w:r>
      <w:r w:rsidR="00D224E9">
        <w:t xml:space="preserve">experimentan un fuerte repunte </w:t>
      </w:r>
      <w:r w:rsidR="001B67A1">
        <w:t>en la oferta</w:t>
      </w:r>
      <w:r w:rsidR="005B0B3E">
        <w:t xml:space="preserve"> </w:t>
      </w:r>
      <w:r w:rsidR="009D6573">
        <w:t>por ser lugares</w:t>
      </w:r>
      <w:r w:rsidR="004F753F">
        <w:t xml:space="preserve"> muy condicionados por el peso de los alquileres para estudiantes universitarios. </w:t>
      </w:r>
      <w:r w:rsidR="009E4E3F">
        <w:t>A ellas, se unen también</w:t>
      </w:r>
      <w:r w:rsidR="00FC31DC">
        <w:t xml:space="preserve"> en el aumento de la oferta</w:t>
      </w:r>
      <w:r w:rsidR="00ED050C">
        <w:t xml:space="preserve"> provincias como</w:t>
      </w:r>
      <w:r w:rsidR="009E4E3F">
        <w:t xml:space="preserve"> </w:t>
      </w:r>
      <w:r w:rsidR="001F626E" w:rsidRPr="00BE3732">
        <w:rPr>
          <w:b/>
          <w:bCs/>
        </w:rPr>
        <w:t>Madrid</w:t>
      </w:r>
      <w:r w:rsidR="001F626E">
        <w:t xml:space="preserve"> (+1.295), </w:t>
      </w:r>
      <w:r w:rsidR="001F626E" w:rsidRPr="00BE3732">
        <w:rPr>
          <w:b/>
          <w:bCs/>
        </w:rPr>
        <w:t>Santa Cruz de Tenerife</w:t>
      </w:r>
      <w:r w:rsidR="001F626E">
        <w:t xml:space="preserve"> (+1.024) </w:t>
      </w:r>
      <w:r w:rsidR="00ED050C">
        <w:t>o</w:t>
      </w:r>
      <w:r w:rsidR="001F626E">
        <w:t xml:space="preserve"> </w:t>
      </w:r>
      <w:r w:rsidR="001F626E" w:rsidRPr="00BE3732">
        <w:rPr>
          <w:b/>
          <w:bCs/>
        </w:rPr>
        <w:t>Baleares</w:t>
      </w:r>
      <w:r w:rsidR="004F642F">
        <w:t xml:space="preserve"> (+1.018)</w:t>
      </w:r>
      <w:r w:rsidR="00392BF9">
        <w:t xml:space="preserve">. </w:t>
      </w:r>
    </w:p>
    <w:p w14:paraId="3F2F115D" w14:textId="14D79DED" w:rsidR="00E34DAD" w:rsidRDefault="004F6A11" w:rsidP="00A12F9B">
      <w:pPr>
        <w:spacing w:line="276" w:lineRule="auto"/>
        <w:jc w:val="both"/>
        <w:rPr>
          <w:b/>
          <w:bCs/>
          <w:color w:val="FF5100"/>
        </w:rPr>
      </w:pPr>
      <w:r>
        <w:rPr>
          <w:b/>
          <w:bCs/>
          <w:color w:val="FF5100"/>
        </w:rPr>
        <w:t>EL PRECIO MEDIO DEL ALQUILER ALCANZA LOS 1.155 EUROS</w:t>
      </w:r>
    </w:p>
    <w:p w14:paraId="32E869D6" w14:textId="433E0DE2" w:rsidR="00C613F0" w:rsidRDefault="004F6A11" w:rsidP="00A12F9B">
      <w:pPr>
        <w:spacing w:line="276" w:lineRule="auto"/>
        <w:jc w:val="both"/>
      </w:pPr>
      <w:r>
        <w:t>El desajuste entre oferta y demanda sigue empujando los precios al alza. El alquiler medio en España</w:t>
      </w:r>
      <w:r w:rsidR="00F3145C">
        <w:t xml:space="preserve"> ha subido hasta los </w:t>
      </w:r>
      <w:r w:rsidR="00F3145C" w:rsidRPr="00004DC4">
        <w:rPr>
          <w:b/>
          <w:bCs/>
        </w:rPr>
        <w:t>1.155 euros mensuales</w:t>
      </w:r>
      <w:r w:rsidR="00F3145C">
        <w:t xml:space="preserve">, el máximo histórico, </w:t>
      </w:r>
      <w:r w:rsidR="00F3676F">
        <w:t xml:space="preserve">con un </w:t>
      </w:r>
      <w:r w:rsidR="00F3676F" w:rsidRPr="00004DC4">
        <w:rPr>
          <w:b/>
          <w:bCs/>
        </w:rPr>
        <w:t>crecimiento del 4,4% interanual</w:t>
      </w:r>
      <w:r w:rsidR="00F3676F">
        <w:t xml:space="preserve">. </w:t>
      </w:r>
    </w:p>
    <w:p w14:paraId="37CFE8CB" w14:textId="5944EDCD" w:rsidR="00F3676F" w:rsidRDefault="00F3676F" w:rsidP="00A12F9B">
      <w:pPr>
        <w:spacing w:line="276" w:lineRule="auto"/>
        <w:jc w:val="both"/>
      </w:pPr>
      <w:r w:rsidRPr="00004DC4">
        <w:rPr>
          <w:b/>
          <w:bCs/>
        </w:rPr>
        <w:t>Barcelona</w:t>
      </w:r>
      <w:r>
        <w:t xml:space="preserve"> se mantiene como la provincia más cara, seguida de </w:t>
      </w:r>
      <w:r w:rsidRPr="00004DC4">
        <w:rPr>
          <w:b/>
          <w:bCs/>
        </w:rPr>
        <w:t>Baleares</w:t>
      </w:r>
      <w:r>
        <w:t xml:space="preserve"> (1.645 euros) y </w:t>
      </w:r>
      <w:r w:rsidRPr="00004DC4">
        <w:rPr>
          <w:b/>
          <w:bCs/>
        </w:rPr>
        <w:t>Madrid</w:t>
      </w:r>
      <w:r>
        <w:t xml:space="preserve"> (1.584 euros). También superan los 1.000 euros mensuales otras zonas como </w:t>
      </w:r>
      <w:r w:rsidRPr="00004DC4">
        <w:rPr>
          <w:b/>
          <w:bCs/>
        </w:rPr>
        <w:t>Guipúzcoa</w:t>
      </w:r>
      <w:r w:rsidR="00F70EFF">
        <w:t xml:space="preserve"> (1.483</w:t>
      </w:r>
      <w:r w:rsidR="0080416D">
        <w:t>€)</w:t>
      </w:r>
      <w:r w:rsidR="00874848">
        <w:t xml:space="preserve">, </w:t>
      </w:r>
      <w:r w:rsidR="00874848" w:rsidRPr="00004DC4">
        <w:rPr>
          <w:b/>
          <w:bCs/>
        </w:rPr>
        <w:t>Vizcaya</w:t>
      </w:r>
      <w:r w:rsidR="0080416D">
        <w:t xml:space="preserve"> (1.308€)</w:t>
      </w:r>
      <w:r w:rsidR="00874848">
        <w:t xml:space="preserve">, </w:t>
      </w:r>
      <w:r w:rsidR="00874848" w:rsidRPr="00004DC4">
        <w:rPr>
          <w:b/>
          <w:bCs/>
        </w:rPr>
        <w:t>Málaga</w:t>
      </w:r>
      <w:r w:rsidR="0080416D">
        <w:t xml:space="preserve"> (1.272€)</w:t>
      </w:r>
      <w:r w:rsidR="00874848">
        <w:t xml:space="preserve">, </w:t>
      </w:r>
      <w:r w:rsidR="00874848" w:rsidRPr="00004DC4">
        <w:rPr>
          <w:b/>
          <w:bCs/>
        </w:rPr>
        <w:t>Valencia</w:t>
      </w:r>
      <w:r w:rsidR="0080416D">
        <w:t xml:space="preserve"> (1.132€)</w:t>
      </w:r>
      <w:r w:rsidR="00874848">
        <w:t xml:space="preserve">, </w:t>
      </w:r>
      <w:r w:rsidR="00874848" w:rsidRPr="00004DC4">
        <w:rPr>
          <w:b/>
          <w:bCs/>
        </w:rPr>
        <w:t>Las Palmas</w:t>
      </w:r>
      <w:r w:rsidR="002D2E82">
        <w:t xml:space="preserve"> (1.128€)</w:t>
      </w:r>
      <w:r w:rsidR="00874848">
        <w:t xml:space="preserve">, </w:t>
      </w:r>
      <w:r w:rsidR="00874848" w:rsidRPr="00004DC4">
        <w:rPr>
          <w:b/>
          <w:bCs/>
        </w:rPr>
        <w:t>Santa Cruz de Tenerife</w:t>
      </w:r>
      <w:r w:rsidR="002D2E82">
        <w:t xml:space="preserve"> (1.083€)</w:t>
      </w:r>
      <w:r w:rsidR="00874848">
        <w:t xml:space="preserve">, </w:t>
      </w:r>
      <w:r w:rsidR="00874848" w:rsidRPr="00004DC4">
        <w:rPr>
          <w:b/>
          <w:bCs/>
        </w:rPr>
        <w:t>Álava</w:t>
      </w:r>
      <w:r w:rsidR="002D2E82">
        <w:t xml:space="preserve"> (1.041€)</w:t>
      </w:r>
      <w:r w:rsidR="00874848">
        <w:t xml:space="preserve"> y </w:t>
      </w:r>
      <w:r w:rsidR="00874848" w:rsidRPr="00004DC4">
        <w:rPr>
          <w:b/>
          <w:bCs/>
        </w:rPr>
        <w:t>Navarra</w:t>
      </w:r>
      <w:r w:rsidR="002D2E82">
        <w:t xml:space="preserve"> (1.026€)</w:t>
      </w:r>
      <w:r w:rsidR="00874848">
        <w:t xml:space="preserve">. </w:t>
      </w:r>
    </w:p>
    <w:p w14:paraId="459D489A" w14:textId="60912B79" w:rsidR="000076F0" w:rsidRDefault="00FB1A87" w:rsidP="00A12F9B">
      <w:pPr>
        <w:spacing w:line="276" w:lineRule="auto"/>
        <w:jc w:val="both"/>
      </w:pPr>
      <w:r>
        <w:t>Sin embargo,</w:t>
      </w:r>
      <w:r w:rsidR="00740E37">
        <w:t xml:space="preserve"> l</w:t>
      </w:r>
      <w:r w:rsidR="00874848">
        <w:t xml:space="preserve">os mayores aumentos en el último año se registran en provincias como </w:t>
      </w:r>
      <w:r w:rsidR="00874848" w:rsidRPr="00063DBF">
        <w:rPr>
          <w:b/>
          <w:bCs/>
        </w:rPr>
        <w:t>Ciudad Real</w:t>
      </w:r>
      <w:r w:rsidR="00874848">
        <w:t xml:space="preserve"> (+10,9%), </w:t>
      </w:r>
      <w:r w:rsidR="00874848" w:rsidRPr="00063DBF">
        <w:rPr>
          <w:b/>
          <w:bCs/>
        </w:rPr>
        <w:t>Ávila</w:t>
      </w:r>
      <w:r w:rsidR="00874848">
        <w:t xml:space="preserve"> (+10,3%), </w:t>
      </w:r>
      <w:r w:rsidR="00874848" w:rsidRPr="00063DBF">
        <w:rPr>
          <w:b/>
          <w:bCs/>
        </w:rPr>
        <w:t>Asturias</w:t>
      </w:r>
      <w:r w:rsidR="00874848">
        <w:t xml:space="preserve"> (+10,1%) </w:t>
      </w:r>
      <w:r w:rsidR="00874848" w:rsidRPr="00063DBF">
        <w:rPr>
          <w:b/>
          <w:bCs/>
        </w:rPr>
        <w:t>Burgos</w:t>
      </w:r>
      <w:r w:rsidR="00874848">
        <w:t xml:space="preserve"> (+9,5%)</w:t>
      </w:r>
      <w:r w:rsidR="00875136">
        <w:t xml:space="preserve">, </w:t>
      </w:r>
      <w:r w:rsidR="00875136" w:rsidRPr="00063DBF">
        <w:rPr>
          <w:b/>
          <w:bCs/>
        </w:rPr>
        <w:t>Zamora</w:t>
      </w:r>
      <w:r w:rsidR="00875136">
        <w:t xml:space="preserve"> (</w:t>
      </w:r>
      <w:r w:rsidR="001C0491">
        <w:t>+</w:t>
      </w:r>
      <w:r w:rsidR="00875136">
        <w:t>9,3%)</w:t>
      </w:r>
      <w:r w:rsidR="00D252BB">
        <w:t xml:space="preserve">, </w:t>
      </w:r>
      <w:r w:rsidR="00D252BB" w:rsidRPr="00063DBF">
        <w:rPr>
          <w:b/>
          <w:bCs/>
        </w:rPr>
        <w:t>Huelva</w:t>
      </w:r>
      <w:r w:rsidR="00D252BB">
        <w:t xml:space="preserve"> (</w:t>
      </w:r>
      <w:r w:rsidR="001C0491">
        <w:t>+</w:t>
      </w:r>
      <w:r w:rsidR="00D252BB">
        <w:t xml:space="preserve">9,2%), </w:t>
      </w:r>
      <w:r w:rsidR="00D252BB" w:rsidRPr="00063DBF">
        <w:rPr>
          <w:b/>
          <w:bCs/>
        </w:rPr>
        <w:t>Palencia</w:t>
      </w:r>
      <w:r w:rsidR="00D252BB">
        <w:t xml:space="preserve"> (</w:t>
      </w:r>
      <w:r w:rsidR="001C0491">
        <w:t>+</w:t>
      </w:r>
      <w:r w:rsidR="00D252BB">
        <w:t xml:space="preserve">9,2%), </w:t>
      </w:r>
      <w:r w:rsidR="00D252BB" w:rsidRPr="00063DBF">
        <w:rPr>
          <w:b/>
          <w:bCs/>
        </w:rPr>
        <w:t>Zamora</w:t>
      </w:r>
      <w:r w:rsidR="00D252BB">
        <w:t xml:space="preserve"> (</w:t>
      </w:r>
      <w:r w:rsidR="001C0491">
        <w:t>+</w:t>
      </w:r>
      <w:r w:rsidR="00D252BB">
        <w:t xml:space="preserve">9%), </w:t>
      </w:r>
      <w:r w:rsidR="00D252BB" w:rsidRPr="00063DBF">
        <w:rPr>
          <w:b/>
          <w:bCs/>
        </w:rPr>
        <w:t>Valencia</w:t>
      </w:r>
      <w:r w:rsidR="00D252BB">
        <w:t xml:space="preserve"> (</w:t>
      </w:r>
      <w:r w:rsidR="001C0491">
        <w:t>+</w:t>
      </w:r>
      <w:r w:rsidR="00D252BB">
        <w:t xml:space="preserve">9%) y </w:t>
      </w:r>
      <w:r w:rsidR="00D252BB" w:rsidRPr="00063DBF">
        <w:rPr>
          <w:b/>
          <w:bCs/>
        </w:rPr>
        <w:t>Valladolid</w:t>
      </w:r>
      <w:r w:rsidR="001C0491">
        <w:t xml:space="preserve"> (+9,8%)</w:t>
      </w:r>
      <w:r w:rsidR="00874848">
        <w:t>, lo que confirma que la subida de precios no es exclusiva de las grandes capitales.</w:t>
      </w:r>
      <w:r w:rsidR="00546F14">
        <w:t xml:space="preserve"> </w:t>
      </w:r>
      <w:r w:rsidR="00EA4BB3">
        <w:lastRenderedPageBreak/>
        <w:t xml:space="preserve">En la comparativa </w:t>
      </w:r>
      <w:proofErr w:type="spellStart"/>
      <w:r w:rsidR="00EA4BB3">
        <w:t>intertrimestral</w:t>
      </w:r>
      <w:proofErr w:type="spellEnd"/>
      <w:r w:rsidR="00EA4BB3">
        <w:t xml:space="preserve"> se observa que </w:t>
      </w:r>
      <w:r w:rsidR="00A53583">
        <w:t>los precios han subido en prácticamente todas las provincias, a excepción de Soria (-0,4%) y Jaén (-0,4%).</w:t>
      </w:r>
    </w:p>
    <w:p w14:paraId="2AD560F0" w14:textId="52EB0892" w:rsidR="00072B20" w:rsidRPr="00072B20" w:rsidRDefault="00072B20" w:rsidP="00072B20">
      <w:pPr>
        <w:spacing w:line="276" w:lineRule="auto"/>
        <w:jc w:val="center"/>
        <w:rPr>
          <w:b/>
          <w:bCs/>
        </w:rPr>
      </w:pPr>
      <w:r w:rsidRPr="00072B20">
        <w:rPr>
          <w:b/>
          <w:bCs/>
        </w:rPr>
        <w:t>Las diez provincias con mayor subida de precios en el último año</w:t>
      </w:r>
    </w:p>
    <w:p w14:paraId="2BFE3C1B" w14:textId="34E4BB25" w:rsidR="00200158" w:rsidRDefault="00875136" w:rsidP="00A12F9B">
      <w:pPr>
        <w:spacing w:line="276" w:lineRule="auto"/>
        <w:jc w:val="both"/>
      </w:pPr>
      <w:r>
        <w:rPr>
          <w:noProof/>
        </w:rPr>
        <w:drawing>
          <wp:inline distT="0" distB="0" distL="0" distR="0" wp14:anchorId="0F25B7A2" wp14:editId="2D3EB414">
            <wp:extent cx="5400040" cy="3037205"/>
            <wp:effectExtent l="0" t="0" r="0" b="0"/>
            <wp:docPr id="532264097" name="Imagen 5" descr="Gráfico, Gráfico de barr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2264097" name="Imagen 5" descr="Gráfico, Gráfico de barras&#10;&#10;El contenido generado por IA puede ser incorrecto.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4B3D">
        <w:t>Por otro lado</w:t>
      </w:r>
      <w:r w:rsidR="00ED2DE2">
        <w:t xml:space="preserve">, las </w:t>
      </w:r>
      <w:r w:rsidR="00ED2DE2" w:rsidRPr="00276A90">
        <w:rPr>
          <w:b/>
          <w:bCs/>
        </w:rPr>
        <w:t>provincias</w:t>
      </w:r>
      <w:r w:rsidR="003B6B30" w:rsidRPr="00276A90">
        <w:rPr>
          <w:b/>
          <w:bCs/>
        </w:rPr>
        <w:t xml:space="preserve"> más asequibles para vivir de alquiler</w:t>
      </w:r>
      <w:r w:rsidR="003B6B30">
        <w:t xml:space="preserve"> son Lugo (590€)</w:t>
      </w:r>
      <w:r w:rsidR="00D75522">
        <w:t xml:space="preserve">, Huesca (579€), Badajoz (576€), Cáceres (574€), Jaén (571€), Zamora (566€), Palencia (559€), Ciudad Real (550€) y Teruel (510€). </w:t>
      </w:r>
    </w:p>
    <w:p w14:paraId="01A6AA7F" w14:textId="015A4536" w:rsidR="00C613F0" w:rsidRDefault="00572141" w:rsidP="007C3211">
      <w:pPr>
        <w:spacing w:line="276" w:lineRule="auto"/>
        <w:jc w:val="both"/>
        <w:rPr>
          <w:b/>
          <w:bCs/>
          <w:color w:val="FF5100"/>
        </w:rPr>
      </w:pPr>
      <w:r>
        <w:rPr>
          <w:b/>
          <w:bCs/>
          <w:color w:val="FF5100"/>
        </w:rPr>
        <w:t>UN MODELO EN ENTREDICHO: LAS ZONAS TENSIONADAS NO CUMPLEN SU OBJETIVO</w:t>
      </w:r>
    </w:p>
    <w:p w14:paraId="37FB8AD7" w14:textId="00E03F40" w:rsidR="00072B20" w:rsidRDefault="00572141" w:rsidP="007C3211">
      <w:pPr>
        <w:spacing w:line="276" w:lineRule="auto"/>
        <w:jc w:val="both"/>
      </w:pPr>
      <w:r>
        <w:t xml:space="preserve">El caso de </w:t>
      </w:r>
      <w:r w:rsidR="00546F14">
        <w:t>Cataluña</w:t>
      </w:r>
      <w:r>
        <w:t xml:space="preserve">, tras un año completo </w:t>
      </w:r>
      <w:r w:rsidR="00A73B41">
        <w:t>con</w:t>
      </w:r>
      <w:r>
        <w:t xml:space="preserve"> zona</w:t>
      </w:r>
      <w:r w:rsidR="00A73B41">
        <w:t>s</w:t>
      </w:r>
      <w:r>
        <w:t xml:space="preserve"> tensionada,</w:t>
      </w:r>
      <w:r w:rsidR="00A73B41">
        <w:t xml:space="preserve"> evidencia el fracaso de esta política</w:t>
      </w:r>
      <w:r w:rsidR="00717E08">
        <w:t xml:space="preserve"> para contener los precios. </w:t>
      </w:r>
      <w:r w:rsidR="00546F14">
        <w:t>Barcelona</w:t>
      </w:r>
      <w:r w:rsidR="00717E08">
        <w:t xml:space="preserve"> ha perdid</w:t>
      </w:r>
      <w:r w:rsidR="005E2D1C">
        <w:t>o</w:t>
      </w:r>
      <w:r w:rsidR="00717E08">
        <w:t xml:space="preserve"> más de 47.</w:t>
      </w:r>
      <w:r w:rsidR="00C503AB">
        <w:t>967</w:t>
      </w:r>
      <w:r w:rsidR="00717E08">
        <w:t xml:space="preserve"> viviendas en solo dos años (de 132.259 en 2023 a 88.292</w:t>
      </w:r>
      <w:r w:rsidR="00B94FA4">
        <w:t xml:space="preserve"> estimadas en 2025), mientras que la demanda no deja de crecer. </w:t>
      </w:r>
    </w:p>
    <w:p w14:paraId="1E6B2FA0" w14:textId="439C610A" w:rsidR="00B94FA4" w:rsidRDefault="00B94FA4" w:rsidP="00B94FA4">
      <w:pPr>
        <w:spacing w:line="276" w:lineRule="auto"/>
        <w:jc w:val="both"/>
      </w:pPr>
      <w:r>
        <w:t xml:space="preserve">Lejos de congelar el precio del alquiler, los datos muestran que los precios han seguido subiendo, y que las medidas de intervención han generado desconfianza entre propietarios, que han optado por retirar sus inmuebles del mercado o reorientarlos a </w:t>
      </w:r>
      <w:r w:rsidR="00CA1460">
        <w:t>otras modalidades de alquiler.</w:t>
      </w:r>
    </w:p>
    <w:p w14:paraId="426D2807" w14:textId="77777777" w:rsidR="00D34FD5" w:rsidRDefault="00D34FD5" w:rsidP="00B94FA4">
      <w:pPr>
        <w:spacing w:line="276" w:lineRule="auto"/>
        <w:jc w:val="both"/>
      </w:pPr>
    </w:p>
    <w:p w14:paraId="15ADD598" w14:textId="77777777" w:rsidR="00D34FD5" w:rsidRDefault="00D34FD5" w:rsidP="00B94FA4">
      <w:pPr>
        <w:spacing w:line="276" w:lineRule="auto"/>
        <w:jc w:val="both"/>
      </w:pPr>
    </w:p>
    <w:p w14:paraId="1FC4845B" w14:textId="77777777" w:rsidR="00D34FD5" w:rsidRDefault="00D34FD5" w:rsidP="00B94FA4">
      <w:pPr>
        <w:spacing w:line="276" w:lineRule="auto"/>
        <w:jc w:val="both"/>
      </w:pPr>
    </w:p>
    <w:p w14:paraId="2D1A55D0" w14:textId="77777777" w:rsidR="00D34FD5" w:rsidRDefault="00D34FD5" w:rsidP="00B94FA4">
      <w:pPr>
        <w:spacing w:line="276" w:lineRule="auto"/>
        <w:jc w:val="both"/>
      </w:pPr>
    </w:p>
    <w:p w14:paraId="37B43161" w14:textId="77777777" w:rsidR="00276A90" w:rsidRDefault="00276A90" w:rsidP="00B94FA4">
      <w:pPr>
        <w:spacing w:line="276" w:lineRule="auto"/>
        <w:jc w:val="both"/>
      </w:pPr>
    </w:p>
    <w:p w14:paraId="790F807C" w14:textId="77777777" w:rsidR="00EB64F5" w:rsidRPr="00AC1A9D" w:rsidRDefault="00EB64F5" w:rsidP="00EB64F5">
      <w:pPr>
        <w:pBdr>
          <w:top w:val="single" w:sz="4" w:space="1" w:color="FF5A00"/>
        </w:pBdr>
        <w:jc w:val="both"/>
        <w:rPr>
          <w:rFonts w:ascii="Gill Sans Nova Light" w:hAnsi="Gill Sans Nova Light" w:cs="Arial"/>
          <w:color w:val="FF5A00"/>
          <w:sz w:val="20"/>
        </w:rPr>
      </w:pPr>
      <w:bookmarkStart w:id="0" w:name="_Hlk113896170"/>
      <w:r w:rsidRPr="00F3301B">
        <w:rPr>
          <w:rFonts w:ascii="Gill Sans Nova Light" w:hAnsi="Gill Sans Nova Light" w:cs="Arial"/>
          <w:sz w:val="20"/>
        </w:rPr>
        <w:lastRenderedPageBreak/>
        <w:t>Acerca de la</w:t>
      </w:r>
      <w:r w:rsidRPr="00F3301B">
        <w:rPr>
          <w:rFonts w:ascii="Gill Sans Nova Light" w:hAnsi="Gill Sans Nova Light" w:cs="Arial"/>
          <w:b/>
          <w:color w:val="1E6BAF"/>
          <w:sz w:val="20"/>
        </w:rPr>
        <w:t xml:space="preserve"> </w:t>
      </w:r>
      <w:r w:rsidRPr="00F3301B">
        <w:rPr>
          <w:rFonts w:ascii="Gill Sans Nova Light" w:hAnsi="Gill Sans Nova Light" w:cs="Arial"/>
          <w:b/>
          <w:color w:val="FF5A00"/>
          <w:sz w:val="20"/>
        </w:rPr>
        <w:t>Fundación Alquiler Seguro</w:t>
      </w:r>
      <w:r w:rsidRPr="00F3301B">
        <w:rPr>
          <w:rFonts w:ascii="Gill Sans Nova Light" w:hAnsi="Gill Sans Nova Light" w:cs="Arial"/>
          <w:sz w:val="20"/>
        </w:rPr>
        <w:t xml:space="preserve"> | </w:t>
      </w:r>
      <w:hyperlink r:id="rId15" w:history="1">
        <w:r w:rsidRPr="00AC1A9D">
          <w:rPr>
            <w:rStyle w:val="Hipervnculo"/>
            <w:rFonts w:ascii="Gill Sans Nova Light" w:hAnsi="Gill Sans Nova Light" w:cs="Arial"/>
            <w:color w:val="FF5A00"/>
            <w:sz w:val="20"/>
          </w:rPr>
          <w:t>fundacionalquilerseguro.org</w:t>
        </w:r>
      </w:hyperlink>
    </w:p>
    <w:p w14:paraId="62C10A75" w14:textId="77777777" w:rsidR="00EB64F5" w:rsidRPr="00AC1A9D" w:rsidRDefault="00EB64F5" w:rsidP="00EB64F5">
      <w:pPr>
        <w:pBdr>
          <w:top w:val="single" w:sz="4" w:space="1" w:color="FF5A00"/>
        </w:pBdr>
        <w:jc w:val="both"/>
        <w:rPr>
          <w:rFonts w:ascii="Gilroy-Regular" w:hAnsi="Gilroy-Regular" w:cs="Arial"/>
          <w:color w:val="000000"/>
          <w:sz w:val="18"/>
          <w:szCs w:val="18"/>
        </w:rPr>
      </w:pPr>
      <w:bookmarkStart w:id="1" w:name="_Hlk114649558"/>
      <w:bookmarkEnd w:id="0"/>
      <w:r w:rsidRPr="00AC1A9D">
        <w:rPr>
          <w:rFonts w:ascii="Gilroy-Regular" w:hAnsi="Gilroy-Regular" w:cs="Arial"/>
          <w:color w:val="000000"/>
          <w:sz w:val="18"/>
          <w:szCs w:val="18"/>
        </w:rPr>
        <w:t xml:space="preserve">El </w:t>
      </w:r>
      <w:r w:rsidRPr="00AC1A9D">
        <w:rPr>
          <w:rFonts w:ascii="Gilroy-Regular" w:hAnsi="Gilroy-Regular" w:cs="Arial"/>
          <w:color w:val="FF5A00"/>
          <w:sz w:val="18"/>
          <w:szCs w:val="18"/>
        </w:rPr>
        <w:t xml:space="preserve">Departamento de Estudios de la Fundación Alquiler Seguro </w:t>
      </w:r>
      <w:r w:rsidRPr="00AC1A9D">
        <w:rPr>
          <w:rFonts w:ascii="Gilroy-Regular" w:hAnsi="Gilroy-Regular" w:cs="Arial"/>
          <w:color w:val="000000"/>
          <w:sz w:val="18"/>
          <w:szCs w:val="18"/>
        </w:rPr>
        <w:t xml:space="preserve">cuenta con un profundo conocimiento </w:t>
      </w:r>
      <w:r>
        <w:rPr>
          <w:rFonts w:ascii="Gilroy-Regular" w:hAnsi="Gilroy-Regular" w:cs="Arial"/>
          <w:color w:val="000000"/>
          <w:sz w:val="18"/>
          <w:szCs w:val="18"/>
        </w:rPr>
        <w:t>en</w:t>
      </w:r>
      <w:r w:rsidRPr="00AC1A9D">
        <w:rPr>
          <w:rFonts w:ascii="Gilroy-Regular" w:hAnsi="Gilroy-Regular" w:cs="Arial"/>
          <w:color w:val="000000"/>
          <w:sz w:val="18"/>
          <w:szCs w:val="18"/>
        </w:rPr>
        <w:t xml:space="preserve"> el sector de los arrendamientos. Su principal objetivo es facilitar información y dotar de transparencia a un mercado tradicionalmente opaco para promover su desarrollo y profesionalización. La dilatada experiencia de Alquiler Seguro en el sector</w:t>
      </w:r>
      <w:r>
        <w:rPr>
          <w:rFonts w:ascii="Gilroy-Regular" w:hAnsi="Gilroy-Regular" w:cs="Arial"/>
          <w:color w:val="000000"/>
          <w:sz w:val="18"/>
          <w:szCs w:val="18"/>
        </w:rPr>
        <w:t>,</w:t>
      </w:r>
      <w:r w:rsidRPr="00AC1A9D">
        <w:rPr>
          <w:rFonts w:ascii="Gilroy-Regular" w:hAnsi="Gilroy-Regular" w:cs="Arial"/>
          <w:color w:val="000000"/>
          <w:sz w:val="18"/>
          <w:szCs w:val="18"/>
        </w:rPr>
        <w:t xml:space="preserve"> sumado a la consulta y análisis de datos propios y de fuentes externas, son las bases de los estudios del Departamento </w:t>
      </w:r>
      <w:proofErr w:type="gramStart"/>
      <w:r w:rsidRPr="00AC1A9D">
        <w:rPr>
          <w:rFonts w:ascii="Gilroy-Regular" w:hAnsi="Gilroy-Regular" w:cs="Arial"/>
          <w:color w:val="000000"/>
          <w:sz w:val="18"/>
          <w:szCs w:val="18"/>
        </w:rPr>
        <w:t>que</w:t>
      </w:r>
      <w:proofErr w:type="gramEnd"/>
      <w:r w:rsidRPr="00AC1A9D">
        <w:rPr>
          <w:rFonts w:ascii="Gilroy-Regular" w:hAnsi="Gilroy-Regular" w:cs="Arial"/>
          <w:color w:val="000000"/>
          <w:sz w:val="18"/>
          <w:szCs w:val="18"/>
        </w:rPr>
        <w:t xml:space="preserve"> de forma periódica</w:t>
      </w:r>
      <w:r>
        <w:rPr>
          <w:rFonts w:ascii="Gilroy-Regular" w:hAnsi="Gilroy-Regular" w:cs="Arial"/>
          <w:color w:val="000000"/>
          <w:sz w:val="18"/>
          <w:szCs w:val="18"/>
        </w:rPr>
        <w:t>,</w:t>
      </w:r>
      <w:r w:rsidRPr="00AC1A9D">
        <w:rPr>
          <w:rFonts w:ascii="Gilroy-Regular" w:hAnsi="Gilroy-Regular" w:cs="Arial"/>
          <w:color w:val="000000"/>
          <w:sz w:val="18"/>
          <w:szCs w:val="18"/>
        </w:rPr>
        <w:t xml:space="preserve"> publica documentos de interés para su consulta.</w:t>
      </w:r>
    </w:p>
    <w:bookmarkEnd w:id="1"/>
    <w:p w14:paraId="2BB371DA" w14:textId="4861A332" w:rsidR="00777523" w:rsidRDefault="00EB64F5" w:rsidP="001A35C4">
      <w:pPr>
        <w:pBdr>
          <w:top w:val="single" w:sz="4" w:space="1" w:color="FF5A00"/>
        </w:pBdr>
        <w:rPr>
          <w:rFonts w:ascii="Gilroy-Regular" w:hAnsi="Gilroy-Regular" w:cs="Arial"/>
          <w:color w:val="000000"/>
          <w:sz w:val="18"/>
          <w:szCs w:val="18"/>
        </w:rPr>
      </w:pPr>
      <w:r w:rsidRPr="00AC1A9D">
        <w:rPr>
          <w:rFonts w:ascii="Gilroy-Regular" w:hAnsi="Gilroy-Regular" w:cs="Arial"/>
          <w:color w:val="FF5A00"/>
          <w:sz w:val="18"/>
          <w:szCs w:val="18"/>
        </w:rPr>
        <w:t xml:space="preserve">Fundación Alquiler Seguro </w:t>
      </w:r>
      <w:r w:rsidRPr="00AC1A9D">
        <w:rPr>
          <w:rFonts w:ascii="Gilroy-Regular" w:hAnsi="Gilroy-Regular" w:cs="Arial"/>
          <w:color w:val="000000"/>
          <w:sz w:val="18"/>
          <w:szCs w:val="18"/>
        </w:rPr>
        <w:t>tiene como objetivo integrar y gestionar todos los esfuerzos solidarios que Alquiler Seguro Grupo lleva realizando desde sus comienzos con especial sensibilidad en las soluciones habitacionales para personas en riesgo de exclusión social.</w:t>
      </w:r>
      <w:r w:rsidR="002B3FE4">
        <w:rPr>
          <w:rFonts w:ascii="Gilroy-Regular" w:hAnsi="Gilroy-Regular" w:cs="Arial"/>
          <w:color w:val="000000"/>
          <w:sz w:val="18"/>
          <w:szCs w:val="18"/>
        </w:rPr>
        <w:t xml:space="preserve"> </w:t>
      </w:r>
    </w:p>
    <w:p w14:paraId="3D660A95" w14:textId="61CBA664" w:rsidR="00777523" w:rsidRPr="00777523" w:rsidRDefault="004F35F7" w:rsidP="001A35C4">
      <w:pPr>
        <w:pBdr>
          <w:top w:val="single" w:sz="4" w:space="1" w:color="FF5A00"/>
        </w:pBdr>
        <w:spacing w:after="0" w:line="240" w:lineRule="auto"/>
        <w:jc w:val="right"/>
        <w:rPr>
          <w:rFonts w:ascii="Gilroy-Regular" w:hAnsi="Gilroy-Regular" w:cs="Arial"/>
          <w:color w:val="FF5A00"/>
          <w:sz w:val="18"/>
          <w:szCs w:val="18"/>
          <w:lang w:val="pt-PT"/>
        </w:rPr>
      </w:pPr>
      <w:r w:rsidRPr="00777523">
        <w:rPr>
          <w:rFonts w:ascii="Gilroy-Regular" w:hAnsi="Gilroy-Regular" w:cs="Arial"/>
          <w:color w:val="FF5A00"/>
          <w:sz w:val="18"/>
          <w:szCs w:val="18"/>
          <w:lang w:val="pt-PT"/>
        </w:rPr>
        <w:t>Departamento de Comunicación</w:t>
      </w:r>
    </w:p>
    <w:p w14:paraId="544EB402" w14:textId="69AE1EB1" w:rsidR="004F35F7" w:rsidRDefault="004F35F7" w:rsidP="001A35C4">
      <w:pPr>
        <w:pBdr>
          <w:top w:val="single" w:sz="4" w:space="1" w:color="FF5A00"/>
        </w:pBdr>
        <w:spacing w:after="0" w:line="240" w:lineRule="auto"/>
        <w:jc w:val="right"/>
        <w:rPr>
          <w:rFonts w:ascii="Gilroy-Regular" w:hAnsi="Gilroy-Regular" w:cs="Arial"/>
          <w:color w:val="000000"/>
          <w:sz w:val="18"/>
          <w:szCs w:val="18"/>
          <w:lang w:val="pt-PT"/>
        </w:rPr>
      </w:pPr>
      <w:r>
        <w:rPr>
          <w:rFonts w:ascii="Gilroy-Regular" w:hAnsi="Gilroy-Regular" w:cs="Arial"/>
          <w:color w:val="000000"/>
          <w:sz w:val="18"/>
          <w:szCs w:val="18"/>
          <w:lang w:val="pt-PT"/>
        </w:rPr>
        <w:t>Gerardo Neistat – 650 954</w:t>
      </w:r>
      <w:r w:rsidR="00CC78C9">
        <w:rPr>
          <w:rFonts w:ascii="Gilroy-Regular" w:hAnsi="Gilroy-Regular" w:cs="Arial"/>
          <w:color w:val="000000"/>
          <w:sz w:val="18"/>
          <w:szCs w:val="18"/>
          <w:lang w:val="pt-PT"/>
        </w:rPr>
        <w:t xml:space="preserve"> 488</w:t>
      </w:r>
    </w:p>
    <w:p w14:paraId="3B7DEAF8" w14:textId="7DFB22E6" w:rsidR="00CC78C9" w:rsidRDefault="00CC78C9" w:rsidP="001A35C4">
      <w:pPr>
        <w:pBdr>
          <w:top w:val="single" w:sz="4" w:space="1" w:color="FF5A00"/>
        </w:pBdr>
        <w:spacing w:after="0" w:line="240" w:lineRule="auto"/>
        <w:jc w:val="right"/>
        <w:rPr>
          <w:rFonts w:ascii="Gilroy-Regular" w:hAnsi="Gilroy-Regular" w:cs="Arial"/>
          <w:color w:val="000000"/>
          <w:sz w:val="18"/>
          <w:szCs w:val="18"/>
          <w:lang w:val="pt-PT"/>
        </w:rPr>
      </w:pPr>
      <w:r>
        <w:rPr>
          <w:rFonts w:ascii="Gilroy-Regular" w:hAnsi="Gilroy-Regular" w:cs="Arial"/>
          <w:color w:val="000000"/>
          <w:sz w:val="18"/>
          <w:szCs w:val="18"/>
          <w:lang w:val="pt-PT"/>
        </w:rPr>
        <w:t>Jorge Matute – 606 358 732</w:t>
      </w:r>
    </w:p>
    <w:p w14:paraId="34DBADEF" w14:textId="3B8C0E94" w:rsidR="00CC78C9" w:rsidRDefault="00CC78C9" w:rsidP="001A35C4">
      <w:pPr>
        <w:pBdr>
          <w:top w:val="single" w:sz="4" w:space="1" w:color="FF5A00"/>
        </w:pBdr>
        <w:spacing w:after="0" w:line="240" w:lineRule="auto"/>
        <w:jc w:val="right"/>
        <w:rPr>
          <w:rFonts w:ascii="Gilroy-Regular" w:hAnsi="Gilroy-Regular" w:cs="Arial"/>
          <w:color w:val="000000"/>
          <w:sz w:val="18"/>
          <w:szCs w:val="18"/>
          <w:lang w:val="pt-PT"/>
        </w:rPr>
      </w:pPr>
      <w:r>
        <w:rPr>
          <w:rFonts w:ascii="Gilroy-Regular" w:hAnsi="Gilroy-Regular" w:cs="Arial"/>
          <w:color w:val="000000"/>
          <w:sz w:val="18"/>
          <w:szCs w:val="18"/>
          <w:lang w:val="pt-PT"/>
        </w:rPr>
        <w:t xml:space="preserve">Lucas Tarancón </w:t>
      </w:r>
      <w:r w:rsidR="002B3FE4">
        <w:rPr>
          <w:rFonts w:ascii="Gilroy-Regular" w:hAnsi="Gilroy-Regular" w:cs="Arial"/>
          <w:color w:val="000000"/>
          <w:sz w:val="18"/>
          <w:szCs w:val="18"/>
          <w:lang w:val="pt-PT"/>
        </w:rPr>
        <w:t>–</w:t>
      </w:r>
      <w:r>
        <w:rPr>
          <w:rFonts w:ascii="Gilroy-Regular" w:hAnsi="Gilroy-Regular" w:cs="Arial"/>
          <w:color w:val="000000"/>
          <w:sz w:val="18"/>
          <w:szCs w:val="18"/>
          <w:lang w:val="pt-PT"/>
        </w:rPr>
        <w:t xml:space="preserve"> 658</w:t>
      </w:r>
      <w:r w:rsidR="002B3FE4">
        <w:rPr>
          <w:rFonts w:ascii="Gilroy-Regular" w:hAnsi="Gilroy-Regular" w:cs="Arial"/>
          <w:color w:val="000000"/>
          <w:sz w:val="18"/>
          <w:szCs w:val="18"/>
          <w:lang w:val="pt-PT"/>
        </w:rPr>
        <w:t xml:space="preserve"> 157 488</w:t>
      </w:r>
    </w:p>
    <w:p w14:paraId="26401345" w14:textId="5CBB3241" w:rsidR="002B3FE4" w:rsidRDefault="002B3FE4" w:rsidP="001A35C4">
      <w:pPr>
        <w:pBdr>
          <w:top w:val="single" w:sz="4" w:space="1" w:color="FF5A00"/>
        </w:pBdr>
        <w:spacing w:after="0" w:line="240" w:lineRule="auto"/>
        <w:jc w:val="right"/>
        <w:rPr>
          <w:rFonts w:ascii="Gilroy-Regular" w:hAnsi="Gilroy-Regular" w:cs="Arial"/>
          <w:color w:val="000000"/>
          <w:sz w:val="18"/>
          <w:szCs w:val="18"/>
          <w:lang w:val="pt-PT"/>
        </w:rPr>
      </w:pPr>
      <w:r>
        <w:rPr>
          <w:rFonts w:ascii="Gilroy-Regular" w:hAnsi="Gilroy-Regular" w:cs="Arial"/>
          <w:color w:val="000000"/>
          <w:sz w:val="18"/>
          <w:szCs w:val="18"/>
          <w:lang w:val="pt-PT"/>
        </w:rPr>
        <w:t>Virginia Carrasco García – 651 518 997</w:t>
      </w:r>
    </w:p>
    <w:p w14:paraId="002F7F2D" w14:textId="04202AA6" w:rsidR="002B3FE4" w:rsidRPr="002B3FE4" w:rsidRDefault="002B3FE4" w:rsidP="001A35C4">
      <w:pPr>
        <w:pBdr>
          <w:top w:val="single" w:sz="4" w:space="1" w:color="FF5A00"/>
        </w:pBdr>
        <w:spacing w:line="240" w:lineRule="auto"/>
        <w:jc w:val="right"/>
        <w:rPr>
          <w:rFonts w:ascii="Gilroy-Regular" w:hAnsi="Gilroy-Regular" w:cs="Arial"/>
          <w:color w:val="000000"/>
          <w:sz w:val="18"/>
          <w:szCs w:val="18"/>
          <w:lang w:val="it-IT"/>
        </w:rPr>
      </w:pPr>
      <w:r w:rsidRPr="002B3FE4">
        <w:rPr>
          <w:rFonts w:ascii="Gilroy-Regular" w:hAnsi="Gilroy-Regular" w:cs="Arial"/>
          <w:color w:val="000000"/>
          <w:sz w:val="18"/>
          <w:szCs w:val="18"/>
          <w:lang w:val="it-IT"/>
        </w:rPr>
        <w:t>noticias@fundacionalquilerseguro.e</w:t>
      </w:r>
      <w:r>
        <w:rPr>
          <w:rFonts w:ascii="Gilroy-Regular" w:hAnsi="Gilroy-Regular" w:cs="Arial"/>
          <w:color w:val="000000"/>
          <w:sz w:val="18"/>
          <w:szCs w:val="18"/>
          <w:lang w:val="it-IT"/>
        </w:rPr>
        <w:t>s</w:t>
      </w:r>
    </w:p>
    <w:p w14:paraId="5DB38013" w14:textId="728CA5E3" w:rsidR="00AA5C00" w:rsidRPr="00CC78C9" w:rsidRDefault="00AA5C00" w:rsidP="004F1B47">
      <w:pPr>
        <w:shd w:val="clear" w:color="auto" w:fill="FFFFFF"/>
        <w:spacing w:after="225" w:line="240" w:lineRule="auto"/>
        <w:jc w:val="right"/>
        <w:rPr>
          <w:rFonts w:ascii="Gilroy Bold" w:hAnsi="Gilroy Bold"/>
          <w:color w:val="FF5100"/>
          <w:sz w:val="36"/>
          <w:szCs w:val="36"/>
          <w:lang w:val="pt-PT"/>
        </w:rPr>
      </w:pPr>
    </w:p>
    <w:sectPr w:rsidR="00AA5C00" w:rsidRPr="00CC78C9" w:rsidSect="006607C9">
      <w:headerReference w:type="default" r:id="rId16"/>
      <w:footerReference w:type="default" r:id="rId17"/>
      <w:pgSz w:w="11906" w:h="16838"/>
      <w:pgMar w:top="2694" w:right="1701" w:bottom="1417" w:left="1701" w:header="708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D1565" w14:textId="77777777" w:rsidR="00464CF4" w:rsidRDefault="00464CF4" w:rsidP="0027186E">
      <w:pPr>
        <w:spacing w:after="0" w:line="240" w:lineRule="auto"/>
      </w:pPr>
      <w:r>
        <w:separator/>
      </w:r>
    </w:p>
  </w:endnote>
  <w:endnote w:type="continuationSeparator" w:id="0">
    <w:p w14:paraId="4AEA9319" w14:textId="77777777" w:rsidR="00464CF4" w:rsidRDefault="00464CF4" w:rsidP="0027186E">
      <w:pPr>
        <w:spacing w:after="0" w:line="240" w:lineRule="auto"/>
      </w:pPr>
      <w:r>
        <w:continuationSeparator/>
      </w:r>
    </w:p>
  </w:endnote>
  <w:endnote w:type="continuationNotice" w:id="1">
    <w:p w14:paraId="151CCB2B" w14:textId="77777777" w:rsidR="00464CF4" w:rsidRDefault="00464CF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roy Bold">
    <w:altName w:val="Calibri"/>
    <w:panose1 w:val="000000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-Regular">
    <w:altName w:val="Calibri"/>
    <w:charset w:val="00"/>
    <w:family w:val="auto"/>
    <w:pitch w:val="variable"/>
    <w:sig w:usb0="00000207" w:usb1="00000000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1E402" w14:textId="1C9F93BA" w:rsidR="00E30C1E" w:rsidRDefault="00E30C1E"/>
  <w:tbl>
    <w:tblPr>
      <w:tblStyle w:val="Tablaconcuadrcula"/>
      <w:tblW w:w="842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78"/>
      <w:gridCol w:w="1296"/>
      <w:gridCol w:w="1283"/>
      <w:gridCol w:w="1370"/>
      <w:gridCol w:w="1352"/>
      <w:gridCol w:w="1248"/>
    </w:tblGrid>
    <w:tr w:rsidR="00E30C1E" w14:paraId="2418BA68" w14:textId="77777777" w:rsidTr="009E3931">
      <w:tc>
        <w:tcPr>
          <w:tcW w:w="1878" w:type="dxa"/>
        </w:tcPr>
        <w:p w14:paraId="3277FB1D" w14:textId="6D3C920F" w:rsidR="00E30C1E" w:rsidRDefault="00E30C1E" w:rsidP="006607C9">
          <w:pPr>
            <w:pStyle w:val="Piedepgina"/>
            <w:tabs>
              <w:tab w:val="clear" w:pos="4252"/>
              <w:tab w:val="clear" w:pos="8504"/>
              <w:tab w:val="right" w:pos="3579"/>
            </w:tabs>
            <w:rPr>
              <w:noProof/>
            </w:rPr>
          </w:pPr>
          <w:r>
            <w:rPr>
              <w:noProof/>
            </w:rPr>
            <w:t xml:space="preserve">         </w:t>
          </w:r>
        </w:p>
      </w:tc>
      <w:tc>
        <w:tcPr>
          <w:tcW w:w="1296" w:type="dxa"/>
        </w:tcPr>
        <w:p w14:paraId="3FE95982" w14:textId="418382C5" w:rsidR="00E30C1E" w:rsidRDefault="00E30C1E" w:rsidP="00E30C1E">
          <w:pPr>
            <w:pStyle w:val="Piedepgina"/>
            <w:tabs>
              <w:tab w:val="clear" w:pos="4252"/>
              <w:tab w:val="clear" w:pos="8504"/>
              <w:tab w:val="right" w:pos="3579"/>
            </w:tabs>
            <w:rPr>
              <w:noProof/>
            </w:rPr>
          </w:pPr>
        </w:p>
      </w:tc>
      <w:tc>
        <w:tcPr>
          <w:tcW w:w="1283" w:type="dxa"/>
          <w:vAlign w:val="center"/>
        </w:tcPr>
        <w:p w14:paraId="7F20056F" w14:textId="77777777" w:rsidR="00E30C1E" w:rsidRDefault="00E30C1E" w:rsidP="006607C9">
          <w:pPr>
            <w:pStyle w:val="Piedepgina"/>
            <w:tabs>
              <w:tab w:val="clear" w:pos="4252"/>
              <w:tab w:val="clear" w:pos="8504"/>
              <w:tab w:val="right" w:pos="3579"/>
            </w:tabs>
            <w:jc w:val="center"/>
          </w:pPr>
        </w:p>
        <w:p w14:paraId="761B9F20" w14:textId="65607C0A" w:rsidR="00E30C1E" w:rsidRDefault="00E30C1E" w:rsidP="006607C9">
          <w:pPr>
            <w:pStyle w:val="Piedepgina"/>
            <w:tabs>
              <w:tab w:val="clear" w:pos="4252"/>
              <w:tab w:val="clear" w:pos="8504"/>
              <w:tab w:val="right" w:pos="3579"/>
            </w:tabs>
            <w:jc w:val="center"/>
          </w:pPr>
        </w:p>
      </w:tc>
      <w:tc>
        <w:tcPr>
          <w:tcW w:w="1370" w:type="dxa"/>
          <w:vAlign w:val="center"/>
        </w:tcPr>
        <w:p w14:paraId="1CB472BB" w14:textId="1ACDD491" w:rsidR="00E30C1E" w:rsidRDefault="00E30C1E" w:rsidP="006607C9">
          <w:pPr>
            <w:pStyle w:val="Piedepgina"/>
            <w:tabs>
              <w:tab w:val="clear" w:pos="4252"/>
              <w:tab w:val="clear" w:pos="8504"/>
              <w:tab w:val="right" w:pos="3579"/>
            </w:tabs>
            <w:jc w:val="center"/>
          </w:pPr>
          <w:r>
            <w:t xml:space="preserve">     </w:t>
          </w:r>
        </w:p>
      </w:tc>
      <w:tc>
        <w:tcPr>
          <w:tcW w:w="1352" w:type="dxa"/>
          <w:vAlign w:val="center"/>
        </w:tcPr>
        <w:p w14:paraId="51A23D2F" w14:textId="4E367907" w:rsidR="00E30C1E" w:rsidRDefault="00E30C1E" w:rsidP="006607C9">
          <w:pPr>
            <w:pStyle w:val="Piedepgina"/>
            <w:tabs>
              <w:tab w:val="clear" w:pos="4252"/>
              <w:tab w:val="clear" w:pos="8504"/>
              <w:tab w:val="right" w:pos="3579"/>
            </w:tabs>
            <w:jc w:val="center"/>
          </w:pPr>
          <w:r>
            <w:t xml:space="preserve">         </w:t>
          </w:r>
        </w:p>
      </w:tc>
      <w:tc>
        <w:tcPr>
          <w:tcW w:w="1248" w:type="dxa"/>
          <w:vAlign w:val="center"/>
        </w:tcPr>
        <w:p w14:paraId="58121854" w14:textId="5764B9BD" w:rsidR="00E30C1E" w:rsidRDefault="00E30C1E" w:rsidP="006607C9">
          <w:pPr>
            <w:pStyle w:val="Piedepgina"/>
            <w:tabs>
              <w:tab w:val="clear" w:pos="4252"/>
              <w:tab w:val="clear" w:pos="8504"/>
              <w:tab w:val="right" w:pos="3579"/>
            </w:tabs>
            <w:jc w:val="center"/>
          </w:pPr>
          <w:r>
            <w:t xml:space="preserve">               </w:t>
          </w:r>
        </w:p>
      </w:tc>
    </w:tr>
  </w:tbl>
  <w:p w14:paraId="28B4057B" w14:textId="6A19D849" w:rsidR="003C5A23" w:rsidRDefault="003C5A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55FCB" w14:textId="77777777" w:rsidR="00464CF4" w:rsidRDefault="00464CF4" w:rsidP="0027186E">
      <w:pPr>
        <w:spacing w:after="0" w:line="240" w:lineRule="auto"/>
      </w:pPr>
      <w:r>
        <w:separator/>
      </w:r>
    </w:p>
  </w:footnote>
  <w:footnote w:type="continuationSeparator" w:id="0">
    <w:p w14:paraId="63C5E5AD" w14:textId="77777777" w:rsidR="00464CF4" w:rsidRDefault="00464CF4" w:rsidP="0027186E">
      <w:pPr>
        <w:spacing w:after="0" w:line="240" w:lineRule="auto"/>
      </w:pPr>
      <w:r>
        <w:continuationSeparator/>
      </w:r>
    </w:p>
  </w:footnote>
  <w:footnote w:type="continuationNotice" w:id="1">
    <w:p w14:paraId="0A936D3E" w14:textId="77777777" w:rsidR="00464CF4" w:rsidRDefault="00464CF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11"/>
      <w:gridCol w:w="2701"/>
      <w:gridCol w:w="3386"/>
    </w:tblGrid>
    <w:tr w:rsidR="006607C9" w14:paraId="696226A8" w14:textId="77777777" w:rsidTr="006607C9">
      <w:trPr>
        <w:jc w:val="center"/>
      </w:trPr>
      <w:tc>
        <w:tcPr>
          <w:tcW w:w="3411" w:type="dxa"/>
          <w:vAlign w:val="center"/>
        </w:tcPr>
        <w:p w14:paraId="43BFDAC8" w14:textId="78BC5E7F" w:rsidR="006607C9" w:rsidRDefault="006607C9" w:rsidP="006607C9">
          <w:pPr>
            <w:pStyle w:val="Encabezado"/>
          </w:pPr>
        </w:p>
      </w:tc>
      <w:tc>
        <w:tcPr>
          <w:tcW w:w="2701" w:type="dxa"/>
          <w:vAlign w:val="center"/>
        </w:tcPr>
        <w:p w14:paraId="32391595" w14:textId="3439C2AA" w:rsidR="006607C9" w:rsidRDefault="006607C9" w:rsidP="006607C9">
          <w:pPr>
            <w:pStyle w:val="Encabezado"/>
          </w:pPr>
        </w:p>
      </w:tc>
      <w:tc>
        <w:tcPr>
          <w:tcW w:w="3386" w:type="dxa"/>
          <w:vAlign w:val="center"/>
        </w:tcPr>
        <w:p w14:paraId="52FDB052" w14:textId="4630A9DB" w:rsidR="006607C9" w:rsidRDefault="006607C9" w:rsidP="006607C9">
          <w:pPr>
            <w:pStyle w:val="Encabezado"/>
            <w:jc w:val="both"/>
          </w:pPr>
        </w:p>
      </w:tc>
    </w:tr>
  </w:tbl>
  <w:p w14:paraId="5D2F10A0" w14:textId="53F123CE" w:rsidR="00E924DC" w:rsidRDefault="009E393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6CF57A8" wp14:editId="6142B647">
          <wp:simplePos x="0" y="0"/>
          <wp:positionH relativeFrom="page">
            <wp:align>left</wp:align>
          </wp:positionH>
          <wp:positionV relativeFrom="paragraph">
            <wp:posOffset>-618657</wp:posOffset>
          </wp:positionV>
          <wp:extent cx="7546340" cy="10674985"/>
          <wp:effectExtent l="0" t="0" r="0" b="0"/>
          <wp:wrapNone/>
          <wp:docPr id="1890771261" name="Imagen 3" descr="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771261" name="Imagen 3" descr="Patrón de fond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6340" cy="1067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24DC">
      <w:rPr>
        <w:noProof/>
      </w:rPr>
      <w:tab/>
    </w:r>
    <w:r w:rsidR="00E924DC">
      <w:rPr>
        <w:noProof/>
      </w:rPr>
      <w:tab/>
    </w:r>
    <w:r w:rsidR="00E924DC">
      <w:rPr>
        <w:noProof/>
      </w:rPr>
      <w:tab/>
    </w:r>
    <w:r w:rsidR="00E924DC">
      <w:rPr>
        <w:noProof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D11AD"/>
    <w:multiLevelType w:val="hybridMultilevel"/>
    <w:tmpl w:val="1C3691B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9723A"/>
    <w:multiLevelType w:val="hybridMultilevel"/>
    <w:tmpl w:val="B8B8F32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F2FF2"/>
    <w:multiLevelType w:val="multilevel"/>
    <w:tmpl w:val="08BC5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784DCE"/>
    <w:multiLevelType w:val="hybridMultilevel"/>
    <w:tmpl w:val="2EA002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D7517D"/>
    <w:multiLevelType w:val="multilevel"/>
    <w:tmpl w:val="CBB09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2D4A57"/>
    <w:multiLevelType w:val="hybridMultilevel"/>
    <w:tmpl w:val="7944C4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C280B"/>
    <w:multiLevelType w:val="multilevel"/>
    <w:tmpl w:val="D056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7664A0"/>
    <w:multiLevelType w:val="multilevel"/>
    <w:tmpl w:val="1C38E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1965470">
    <w:abstractNumId w:val="5"/>
  </w:num>
  <w:num w:numId="2" w16cid:durableId="1134101751">
    <w:abstractNumId w:val="1"/>
  </w:num>
  <w:num w:numId="3" w16cid:durableId="1027607397">
    <w:abstractNumId w:val="3"/>
  </w:num>
  <w:num w:numId="4" w16cid:durableId="117383681">
    <w:abstractNumId w:val="0"/>
  </w:num>
  <w:num w:numId="5" w16cid:durableId="714112894">
    <w:abstractNumId w:val="2"/>
  </w:num>
  <w:num w:numId="6" w16cid:durableId="101999418">
    <w:abstractNumId w:val="4"/>
  </w:num>
  <w:num w:numId="7" w16cid:durableId="291593585">
    <w:abstractNumId w:val="6"/>
  </w:num>
  <w:num w:numId="8" w16cid:durableId="451817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EF1"/>
    <w:rsid w:val="00000337"/>
    <w:rsid w:val="00000B7D"/>
    <w:rsid w:val="00001F1C"/>
    <w:rsid w:val="00002619"/>
    <w:rsid w:val="000033C3"/>
    <w:rsid w:val="000043F4"/>
    <w:rsid w:val="00004ACC"/>
    <w:rsid w:val="00004DC4"/>
    <w:rsid w:val="00005272"/>
    <w:rsid w:val="00005BA7"/>
    <w:rsid w:val="000076F0"/>
    <w:rsid w:val="000079D1"/>
    <w:rsid w:val="00007D30"/>
    <w:rsid w:val="00011326"/>
    <w:rsid w:val="0001223E"/>
    <w:rsid w:val="00012A96"/>
    <w:rsid w:val="00012E36"/>
    <w:rsid w:val="00013D58"/>
    <w:rsid w:val="00014B74"/>
    <w:rsid w:val="000154B3"/>
    <w:rsid w:val="000159C7"/>
    <w:rsid w:val="00015A71"/>
    <w:rsid w:val="000169EA"/>
    <w:rsid w:val="00016C63"/>
    <w:rsid w:val="0001777A"/>
    <w:rsid w:val="000206A5"/>
    <w:rsid w:val="00021885"/>
    <w:rsid w:val="000221B6"/>
    <w:rsid w:val="000230C7"/>
    <w:rsid w:val="00023791"/>
    <w:rsid w:val="00023DB4"/>
    <w:rsid w:val="00024F0C"/>
    <w:rsid w:val="00024F77"/>
    <w:rsid w:val="00025FC4"/>
    <w:rsid w:val="00026B07"/>
    <w:rsid w:val="000270BE"/>
    <w:rsid w:val="0002766D"/>
    <w:rsid w:val="00030CBF"/>
    <w:rsid w:val="00031389"/>
    <w:rsid w:val="000327AF"/>
    <w:rsid w:val="00032F1F"/>
    <w:rsid w:val="0003309F"/>
    <w:rsid w:val="00033607"/>
    <w:rsid w:val="00033BFD"/>
    <w:rsid w:val="000347E6"/>
    <w:rsid w:val="00034F65"/>
    <w:rsid w:val="00035321"/>
    <w:rsid w:val="000356E4"/>
    <w:rsid w:val="00035895"/>
    <w:rsid w:val="000365E2"/>
    <w:rsid w:val="00040126"/>
    <w:rsid w:val="00040F78"/>
    <w:rsid w:val="00041C97"/>
    <w:rsid w:val="000424A6"/>
    <w:rsid w:val="000424CB"/>
    <w:rsid w:val="000425C9"/>
    <w:rsid w:val="00042B1A"/>
    <w:rsid w:val="0004336D"/>
    <w:rsid w:val="00043923"/>
    <w:rsid w:val="00043C2F"/>
    <w:rsid w:val="000440B4"/>
    <w:rsid w:val="00044D57"/>
    <w:rsid w:val="0004794D"/>
    <w:rsid w:val="00047F38"/>
    <w:rsid w:val="0005132A"/>
    <w:rsid w:val="00053348"/>
    <w:rsid w:val="000535F9"/>
    <w:rsid w:val="00053664"/>
    <w:rsid w:val="00053B90"/>
    <w:rsid w:val="000552C3"/>
    <w:rsid w:val="000560A9"/>
    <w:rsid w:val="00056DCC"/>
    <w:rsid w:val="0005753E"/>
    <w:rsid w:val="0006087E"/>
    <w:rsid w:val="00061304"/>
    <w:rsid w:val="0006178E"/>
    <w:rsid w:val="000618AF"/>
    <w:rsid w:val="00063078"/>
    <w:rsid w:val="000631E0"/>
    <w:rsid w:val="00063C97"/>
    <w:rsid w:val="00063DBF"/>
    <w:rsid w:val="0006433F"/>
    <w:rsid w:val="00064D17"/>
    <w:rsid w:val="00065530"/>
    <w:rsid w:val="000662EE"/>
    <w:rsid w:val="00066622"/>
    <w:rsid w:val="0006745E"/>
    <w:rsid w:val="00070DC8"/>
    <w:rsid w:val="00072068"/>
    <w:rsid w:val="00072B20"/>
    <w:rsid w:val="00073B54"/>
    <w:rsid w:val="00073C3B"/>
    <w:rsid w:val="000744C1"/>
    <w:rsid w:val="00074966"/>
    <w:rsid w:val="000749E3"/>
    <w:rsid w:val="000754FA"/>
    <w:rsid w:val="000757B3"/>
    <w:rsid w:val="00075FDD"/>
    <w:rsid w:val="0008082B"/>
    <w:rsid w:val="00080848"/>
    <w:rsid w:val="000820D5"/>
    <w:rsid w:val="00082DED"/>
    <w:rsid w:val="000849CA"/>
    <w:rsid w:val="00085605"/>
    <w:rsid w:val="000858AC"/>
    <w:rsid w:val="00085B1F"/>
    <w:rsid w:val="000865BC"/>
    <w:rsid w:val="00086FF3"/>
    <w:rsid w:val="000877C1"/>
    <w:rsid w:val="00090659"/>
    <w:rsid w:val="000907F4"/>
    <w:rsid w:val="0009083E"/>
    <w:rsid w:val="0009119B"/>
    <w:rsid w:val="00091AF8"/>
    <w:rsid w:val="00091D2E"/>
    <w:rsid w:val="00093BC5"/>
    <w:rsid w:val="00093E3D"/>
    <w:rsid w:val="00093F6C"/>
    <w:rsid w:val="00094767"/>
    <w:rsid w:val="000947E9"/>
    <w:rsid w:val="000959B2"/>
    <w:rsid w:val="00095A4A"/>
    <w:rsid w:val="00096D3F"/>
    <w:rsid w:val="00097B66"/>
    <w:rsid w:val="000A0B11"/>
    <w:rsid w:val="000A1921"/>
    <w:rsid w:val="000A1F90"/>
    <w:rsid w:val="000A2B14"/>
    <w:rsid w:val="000A42EE"/>
    <w:rsid w:val="000A5A18"/>
    <w:rsid w:val="000A6776"/>
    <w:rsid w:val="000A7023"/>
    <w:rsid w:val="000A7F3E"/>
    <w:rsid w:val="000A7F78"/>
    <w:rsid w:val="000B0E19"/>
    <w:rsid w:val="000B1138"/>
    <w:rsid w:val="000B11D8"/>
    <w:rsid w:val="000B2615"/>
    <w:rsid w:val="000B60C6"/>
    <w:rsid w:val="000B68C2"/>
    <w:rsid w:val="000C22F5"/>
    <w:rsid w:val="000C2BA7"/>
    <w:rsid w:val="000C2D0D"/>
    <w:rsid w:val="000C4540"/>
    <w:rsid w:val="000C457E"/>
    <w:rsid w:val="000C55D4"/>
    <w:rsid w:val="000C5A5D"/>
    <w:rsid w:val="000C6C18"/>
    <w:rsid w:val="000C6FF1"/>
    <w:rsid w:val="000D05CC"/>
    <w:rsid w:val="000D143C"/>
    <w:rsid w:val="000D1E4B"/>
    <w:rsid w:val="000D21A3"/>
    <w:rsid w:val="000D2FF4"/>
    <w:rsid w:val="000D34B3"/>
    <w:rsid w:val="000D42FF"/>
    <w:rsid w:val="000D560A"/>
    <w:rsid w:val="000D5DE8"/>
    <w:rsid w:val="000D7232"/>
    <w:rsid w:val="000E011F"/>
    <w:rsid w:val="000E0F42"/>
    <w:rsid w:val="000E40F4"/>
    <w:rsid w:val="000E4269"/>
    <w:rsid w:val="000E4559"/>
    <w:rsid w:val="000E5359"/>
    <w:rsid w:val="000E7587"/>
    <w:rsid w:val="000E78CF"/>
    <w:rsid w:val="000F0970"/>
    <w:rsid w:val="000F20D8"/>
    <w:rsid w:val="000F22C4"/>
    <w:rsid w:val="000F28A4"/>
    <w:rsid w:val="000F353D"/>
    <w:rsid w:val="000F37CA"/>
    <w:rsid w:val="000F3B52"/>
    <w:rsid w:val="000F5045"/>
    <w:rsid w:val="00101842"/>
    <w:rsid w:val="00101961"/>
    <w:rsid w:val="001024E3"/>
    <w:rsid w:val="00102608"/>
    <w:rsid w:val="00103109"/>
    <w:rsid w:val="00105E67"/>
    <w:rsid w:val="0010771E"/>
    <w:rsid w:val="00107A7E"/>
    <w:rsid w:val="0011146D"/>
    <w:rsid w:val="00112050"/>
    <w:rsid w:val="00113273"/>
    <w:rsid w:val="00115A8D"/>
    <w:rsid w:val="00116F2E"/>
    <w:rsid w:val="00121349"/>
    <w:rsid w:val="00121D85"/>
    <w:rsid w:val="001222A2"/>
    <w:rsid w:val="00122440"/>
    <w:rsid w:val="001229C8"/>
    <w:rsid w:val="00124AA8"/>
    <w:rsid w:val="001253A2"/>
    <w:rsid w:val="001254B5"/>
    <w:rsid w:val="0012607E"/>
    <w:rsid w:val="001265B9"/>
    <w:rsid w:val="0013048B"/>
    <w:rsid w:val="0013438A"/>
    <w:rsid w:val="0013664D"/>
    <w:rsid w:val="001369DB"/>
    <w:rsid w:val="00136D2C"/>
    <w:rsid w:val="001370B5"/>
    <w:rsid w:val="00142D20"/>
    <w:rsid w:val="00143041"/>
    <w:rsid w:val="00143687"/>
    <w:rsid w:val="001444DF"/>
    <w:rsid w:val="00147B98"/>
    <w:rsid w:val="00147E06"/>
    <w:rsid w:val="00150C59"/>
    <w:rsid w:val="00153434"/>
    <w:rsid w:val="001536F0"/>
    <w:rsid w:val="0015395B"/>
    <w:rsid w:val="00153FC0"/>
    <w:rsid w:val="001540DE"/>
    <w:rsid w:val="00154CB8"/>
    <w:rsid w:val="00156529"/>
    <w:rsid w:val="001565A2"/>
    <w:rsid w:val="00156D59"/>
    <w:rsid w:val="00160101"/>
    <w:rsid w:val="00160666"/>
    <w:rsid w:val="00160B72"/>
    <w:rsid w:val="00161706"/>
    <w:rsid w:val="00161BD6"/>
    <w:rsid w:val="00163566"/>
    <w:rsid w:val="0016554E"/>
    <w:rsid w:val="00165877"/>
    <w:rsid w:val="00165B3A"/>
    <w:rsid w:val="00165BD1"/>
    <w:rsid w:val="001672C2"/>
    <w:rsid w:val="001675DB"/>
    <w:rsid w:val="001679EB"/>
    <w:rsid w:val="00167E4F"/>
    <w:rsid w:val="001700A2"/>
    <w:rsid w:val="00170694"/>
    <w:rsid w:val="001707B2"/>
    <w:rsid w:val="00170815"/>
    <w:rsid w:val="00170857"/>
    <w:rsid w:val="00170DB8"/>
    <w:rsid w:val="00171BE3"/>
    <w:rsid w:val="0017265D"/>
    <w:rsid w:val="00173044"/>
    <w:rsid w:val="0017309C"/>
    <w:rsid w:val="00173BA4"/>
    <w:rsid w:val="001740E1"/>
    <w:rsid w:val="001741C8"/>
    <w:rsid w:val="001769CD"/>
    <w:rsid w:val="00176B89"/>
    <w:rsid w:val="00176D6B"/>
    <w:rsid w:val="00176EFA"/>
    <w:rsid w:val="001777B3"/>
    <w:rsid w:val="00181762"/>
    <w:rsid w:val="0018288E"/>
    <w:rsid w:val="00182C7E"/>
    <w:rsid w:val="00183150"/>
    <w:rsid w:val="00183A22"/>
    <w:rsid w:val="00183E4C"/>
    <w:rsid w:val="00184407"/>
    <w:rsid w:val="00184B88"/>
    <w:rsid w:val="00184C0F"/>
    <w:rsid w:val="00184DE0"/>
    <w:rsid w:val="00185A52"/>
    <w:rsid w:val="00187252"/>
    <w:rsid w:val="0018792F"/>
    <w:rsid w:val="00187990"/>
    <w:rsid w:val="0019004D"/>
    <w:rsid w:val="0019292F"/>
    <w:rsid w:val="00192B2E"/>
    <w:rsid w:val="0019392E"/>
    <w:rsid w:val="00194421"/>
    <w:rsid w:val="001947E2"/>
    <w:rsid w:val="001954B2"/>
    <w:rsid w:val="00195D66"/>
    <w:rsid w:val="00195F4D"/>
    <w:rsid w:val="00196CDE"/>
    <w:rsid w:val="0019762D"/>
    <w:rsid w:val="001A35C4"/>
    <w:rsid w:val="001A39B3"/>
    <w:rsid w:val="001A4238"/>
    <w:rsid w:val="001A4A53"/>
    <w:rsid w:val="001A5EFC"/>
    <w:rsid w:val="001A6E01"/>
    <w:rsid w:val="001A70B2"/>
    <w:rsid w:val="001B0125"/>
    <w:rsid w:val="001B08F4"/>
    <w:rsid w:val="001B18D1"/>
    <w:rsid w:val="001B1EE3"/>
    <w:rsid w:val="001B22DE"/>
    <w:rsid w:val="001B2ACE"/>
    <w:rsid w:val="001B3536"/>
    <w:rsid w:val="001B65E3"/>
    <w:rsid w:val="001B67A1"/>
    <w:rsid w:val="001B6F2C"/>
    <w:rsid w:val="001B7422"/>
    <w:rsid w:val="001B7A34"/>
    <w:rsid w:val="001C0270"/>
    <w:rsid w:val="001C0491"/>
    <w:rsid w:val="001C0753"/>
    <w:rsid w:val="001C133E"/>
    <w:rsid w:val="001C2A84"/>
    <w:rsid w:val="001C3F44"/>
    <w:rsid w:val="001C431D"/>
    <w:rsid w:val="001C44E1"/>
    <w:rsid w:val="001C6E82"/>
    <w:rsid w:val="001C73EC"/>
    <w:rsid w:val="001D1726"/>
    <w:rsid w:val="001D2C2E"/>
    <w:rsid w:val="001D3B43"/>
    <w:rsid w:val="001D3CD6"/>
    <w:rsid w:val="001D3D28"/>
    <w:rsid w:val="001D402B"/>
    <w:rsid w:val="001D44FC"/>
    <w:rsid w:val="001D5D35"/>
    <w:rsid w:val="001D6AE4"/>
    <w:rsid w:val="001D6E40"/>
    <w:rsid w:val="001D71F4"/>
    <w:rsid w:val="001D7453"/>
    <w:rsid w:val="001D79FC"/>
    <w:rsid w:val="001E07E9"/>
    <w:rsid w:val="001E10B0"/>
    <w:rsid w:val="001E29ED"/>
    <w:rsid w:val="001E472F"/>
    <w:rsid w:val="001E5A68"/>
    <w:rsid w:val="001E68A2"/>
    <w:rsid w:val="001E68EE"/>
    <w:rsid w:val="001E6A2E"/>
    <w:rsid w:val="001E6ACC"/>
    <w:rsid w:val="001E78C6"/>
    <w:rsid w:val="001F3887"/>
    <w:rsid w:val="001F5295"/>
    <w:rsid w:val="001F57EC"/>
    <w:rsid w:val="001F626E"/>
    <w:rsid w:val="001F7F99"/>
    <w:rsid w:val="00200158"/>
    <w:rsid w:val="00200C9D"/>
    <w:rsid w:val="00201CE1"/>
    <w:rsid w:val="00202A2B"/>
    <w:rsid w:val="002068CE"/>
    <w:rsid w:val="00206B74"/>
    <w:rsid w:val="0020772D"/>
    <w:rsid w:val="00207A73"/>
    <w:rsid w:val="00207E96"/>
    <w:rsid w:val="002111EF"/>
    <w:rsid w:val="00213CC4"/>
    <w:rsid w:val="0021402B"/>
    <w:rsid w:val="002148D2"/>
    <w:rsid w:val="00214FFA"/>
    <w:rsid w:val="002156EB"/>
    <w:rsid w:val="00215874"/>
    <w:rsid w:val="00215FCD"/>
    <w:rsid w:val="002160A5"/>
    <w:rsid w:val="002173A4"/>
    <w:rsid w:val="002219CA"/>
    <w:rsid w:val="00222282"/>
    <w:rsid w:val="00222A7D"/>
    <w:rsid w:val="00224073"/>
    <w:rsid w:val="0022421F"/>
    <w:rsid w:val="00224291"/>
    <w:rsid w:val="002242C4"/>
    <w:rsid w:val="00226CD8"/>
    <w:rsid w:val="002315AD"/>
    <w:rsid w:val="002329FC"/>
    <w:rsid w:val="00233BC6"/>
    <w:rsid w:val="00234087"/>
    <w:rsid w:val="00234222"/>
    <w:rsid w:val="002342D8"/>
    <w:rsid w:val="00235261"/>
    <w:rsid w:val="0023568E"/>
    <w:rsid w:val="00235BAF"/>
    <w:rsid w:val="00235CBF"/>
    <w:rsid w:val="0023602E"/>
    <w:rsid w:val="002360CB"/>
    <w:rsid w:val="0023670D"/>
    <w:rsid w:val="00236798"/>
    <w:rsid w:val="00240C6E"/>
    <w:rsid w:val="002415CB"/>
    <w:rsid w:val="00241F5A"/>
    <w:rsid w:val="002431B1"/>
    <w:rsid w:val="002433D1"/>
    <w:rsid w:val="0024379A"/>
    <w:rsid w:val="00244F7B"/>
    <w:rsid w:val="00245070"/>
    <w:rsid w:val="00245823"/>
    <w:rsid w:val="00245AFA"/>
    <w:rsid w:val="002462A2"/>
    <w:rsid w:val="00250C57"/>
    <w:rsid w:val="0025118D"/>
    <w:rsid w:val="002514AC"/>
    <w:rsid w:val="002521A3"/>
    <w:rsid w:val="00252BBE"/>
    <w:rsid w:val="00255BD2"/>
    <w:rsid w:val="002564B1"/>
    <w:rsid w:val="00256AE7"/>
    <w:rsid w:val="0025767C"/>
    <w:rsid w:val="00260206"/>
    <w:rsid w:val="00260B2A"/>
    <w:rsid w:val="00261FE5"/>
    <w:rsid w:val="002628E3"/>
    <w:rsid w:val="00262ADF"/>
    <w:rsid w:val="00265641"/>
    <w:rsid w:val="00265BF0"/>
    <w:rsid w:val="00267AE3"/>
    <w:rsid w:val="0027043D"/>
    <w:rsid w:val="0027186E"/>
    <w:rsid w:val="00271FBC"/>
    <w:rsid w:val="0027293C"/>
    <w:rsid w:val="0027296E"/>
    <w:rsid w:val="00272A9A"/>
    <w:rsid w:val="00272ABC"/>
    <w:rsid w:val="00272D00"/>
    <w:rsid w:val="00273E34"/>
    <w:rsid w:val="002740BD"/>
    <w:rsid w:val="0027496B"/>
    <w:rsid w:val="00275580"/>
    <w:rsid w:val="00276A90"/>
    <w:rsid w:val="00280273"/>
    <w:rsid w:val="00282B92"/>
    <w:rsid w:val="00285446"/>
    <w:rsid w:val="00285C44"/>
    <w:rsid w:val="002861A6"/>
    <w:rsid w:val="00286695"/>
    <w:rsid w:val="00287075"/>
    <w:rsid w:val="00291284"/>
    <w:rsid w:val="00291D81"/>
    <w:rsid w:val="00291F77"/>
    <w:rsid w:val="00292593"/>
    <w:rsid w:val="00292794"/>
    <w:rsid w:val="00293D4A"/>
    <w:rsid w:val="00295D78"/>
    <w:rsid w:val="00297854"/>
    <w:rsid w:val="002A041C"/>
    <w:rsid w:val="002A06CF"/>
    <w:rsid w:val="002A0A3C"/>
    <w:rsid w:val="002A0D76"/>
    <w:rsid w:val="002A0FE2"/>
    <w:rsid w:val="002A118C"/>
    <w:rsid w:val="002A1F05"/>
    <w:rsid w:val="002A2E07"/>
    <w:rsid w:val="002A43A6"/>
    <w:rsid w:val="002A4FA4"/>
    <w:rsid w:val="002A630A"/>
    <w:rsid w:val="002A6494"/>
    <w:rsid w:val="002A65DD"/>
    <w:rsid w:val="002A7A1D"/>
    <w:rsid w:val="002A7C10"/>
    <w:rsid w:val="002B0839"/>
    <w:rsid w:val="002B272E"/>
    <w:rsid w:val="002B2A58"/>
    <w:rsid w:val="002B2AE9"/>
    <w:rsid w:val="002B2C83"/>
    <w:rsid w:val="002B3FE4"/>
    <w:rsid w:val="002B407F"/>
    <w:rsid w:val="002B49E7"/>
    <w:rsid w:val="002B5C80"/>
    <w:rsid w:val="002B6644"/>
    <w:rsid w:val="002B6B03"/>
    <w:rsid w:val="002B6B44"/>
    <w:rsid w:val="002C122E"/>
    <w:rsid w:val="002C1652"/>
    <w:rsid w:val="002C1B98"/>
    <w:rsid w:val="002C3AA2"/>
    <w:rsid w:val="002C3FE5"/>
    <w:rsid w:val="002C4B34"/>
    <w:rsid w:val="002C4EAD"/>
    <w:rsid w:val="002C6722"/>
    <w:rsid w:val="002C7233"/>
    <w:rsid w:val="002C7471"/>
    <w:rsid w:val="002C7D77"/>
    <w:rsid w:val="002D0255"/>
    <w:rsid w:val="002D0C51"/>
    <w:rsid w:val="002D205C"/>
    <w:rsid w:val="002D2664"/>
    <w:rsid w:val="002D2E82"/>
    <w:rsid w:val="002D3436"/>
    <w:rsid w:val="002D57C0"/>
    <w:rsid w:val="002D5DB2"/>
    <w:rsid w:val="002D7599"/>
    <w:rsid w:val="002E0516"/>
    <w:rsid w:val="002E05AA"/>
    <w:rsid w:val="002E0C72"/>
    <w:rsid w:val="002E1304"/>
    <w:rsid w:val="002E447B"/>
    <w:rsid w:val="002E46C4"/>
    <w:rsid w:val="002E49A4"/>
    <w:rsid w:val="002F0700"/>
    <w:rsid w:val="002F1D22"/>
    <w:rsid w:val="002F27B5"/>
    <w:rsid w:val="002F2BAC"/>
    <w:rsid w:val="002F308F"/>
    <w:rsid w:val="002F36DC"/>
    <w:rsid w:val="002F4B08"/>
    <w:rsid w:val="002F4E8A"/>
    <w:rsid w:val="002F6015"/>
    <w:rsid w:val="002F729B"/>
    <w:rsid w:val="002F7B22"/>
    <w:rsid w:val="003023B3"/>
    <w:rsid w:val="0030301E"/>
    <w:rsid w:val="00304D18"/>
    <w:rsid w:val="00306EAA"/>
    <w:rsid w:val="00307DF1"/>
    <w:rsid w:val="0031143E"/>
    <w:rsid w:val="00314411"/>
    <w:rsid w:val="00316C2C"/>
    <w:rsid w:val="00317B22"/>
    <w:rsid w:val="0032084B"/>
    <w:rsid w:val="00321890"/>
    <w:rsid w:val="00321EC0"/>
    <w:rsid w:val="00325EB2"/>
    <w:rsid w:val="00327B81"/>
    <w:rsid w:val="00327FE3"/>
    <w:rsid w:val="003304DC"/>
    <w:rsid w:val="003305B5"/>
    <w:rsid w:val="00333802"/>
    <w:rsid w:val="0033618E"/>
    <w:rsid w:val="0033645F"/>
    <w:rsid w:val="003369D6"/>
    <w:rsid w:val="00336FD4"/>
    <w:rsid w:val="00340FBF"/>
    <w:rsid w:val="00342807"/>
    <w:rsid w:val="00344EC2"/>
    <w:rsid w:val="0034524E"/>
    <w:rsid w:val="00345B12"/>
    <w:rsid w:val="00345CD7"/>
    <w:rsid w:val="00345DA5"/>
    <w:rsid w:val="00346086"/>
    <w:rsid w:val="00346292"/>
    <w:rsid w:val="00346367"/>
    <w:rsid w:val="003466C9"/>
    <w:rsid w:val="003478F8"/>
    <w:rsid w:val="00351A51"/>
    <w:rsid w:val="003521C2"/>
    <w:rsid w:val="00352776"/>
    <w:rsid w:val="00352793"/>
    <w:rsid w:val="00352EA2"/>
    <w:rsid w:val="00353067"/>
    <w:rsid w:val="003534CE"/>
    <w:rsid w:val="003537C5"/>
    <w:rsid w:val="00353BDD"/>
    <w:rsid w:val="00354E24"/>
    <w:rsid w:val="00355DA5"/>
    <w:rsid w:val="003562C6"/>
    <w:rsid w:val="003615FA"/>
    <w:rsid w:val="00361E43"/>
    <w:rsid w:val="003625AD"/>
    <w:rsid w:val="00362FAE"/>
    <w:rsid w:val="00365E92"/>
    <w:rsid w:val="00365F5D"/>
    <w:rsid w:val="00366032"/>
    <w:rsid w:val="003660C2"/>
    <w:rsid w:val="00367638"/>
    <w:rsid w:val="00367F6D"/>
    <w:rsid w:val="003706CD"/>
    <w:rsid w:val="00371617"/>
    <w:rsid w:val="00372B9E"/>
    <w:rsid w:val="00373709"/>
    <w:rsid w:val="00373A28"/>
    <w:rsid w:val="003759DC"/>
    <w:rsid w:val="00375ACD"/>
    <w:rsid w:val="00375EBC"/>
    <w:rsid w:val="003771FA"/>
    <w:rsid w:val="0037729B"/>
    <w:rsid w:val="003773FD"/>
    <w:rsid w:val="00377E3B"/>
    <w:rsid w:val="00380056"/>
    <w:rsid w:val="00380F3C"/>
    <w:rsid w:val="00381013"/>
    <w:rsid w:val="003824E3"/>
    <w:rsid w:val="00382519"/>
    <w:rsid w:val="00382DD6"/>
    <w:rsid w:val="003838DC"/>
    <w:rsid w:val="00383A65"/>
    <w:rsid w:val="003846E3"/>
    <w:rsid w:val="00384931"/>
    <w:rsid w:val="00384AF4"/>
    <w:rsid w:val="0038596A"/>
    <w:rsid w:val="00386D84"/>
    <w:rsid w:val="0039043E"/>
    <w:rsid w:val="00390656"/>
    <w:rsid w:val="00391419"/>
    <w:rsid w:val="0039256F"/>
    <w:rsid w:val="00392792"/>
    <w:rsid w:val="00392BF9"/>
    <w:rsid w:val="00393206"/>
    <w:rsid w:val="00395641"/>
    <w:rsid w:val="00395F42"/>
    <w:rsid w:val="00397746"/>
    <w:rsid w:val="00397999"/>
    <w:rsid w:val="003A06F7"/>
    <w:rsid w:val="003A06F8"/>
    <w:rsid w:val="003A0D41"/>
    <w:rsid w:val="003A2172"/>
    <w:rsid w:val="003A2EEC"/>
    <w:rsid w:val="003A2F7D"/>
    <w:rsid w:val="003A3AE4"/>
    <w:rsid w:val="003A3BDC"/>
    <w:rsid w:val="003A43B0"/>
    <w:rsid w:val="003A56DB"/>
    <w:rsid w:val="003A65F3"/>
    <w:rsid w:val="003A69A2"/>
    <w:rsid w:val="003A6AEE"/>
    <w:rsid w:val="003B0690"/>
    <w:rsid w:val="003B2DCF"/>
    <w:rsid w:val="003B4453"/>
    <w:rsid w:val="003B45C9"/>
    <w:rsid w:val="003B613F"/>
    <w:rsid w:val="003B647D"/>
    <w:rsid w:val="003B6B30"/>
    <w:rsid w:val="003B6EF0"/>
    <w:rsid w:val="003B7F61"/>
    <w:rsid w:val="003C021D"/>
    <w:rsid w:val="003C04B6"/>
    <w:rsid w:val="003C0F27"/>
    <w:rsid w:val="003C1BD4"/>
    <w:rsid w:val="003C2FD2"/>
    <w:rsid w:val="003C3894"/>
    <w:rsid w:val="003C45E1"/>
    <w:rsid w:val="003C5A23"/>
    <w:rsid w:val="003C6112"/>
    <w:rsid w:val="003C6170"/>
    <w:rsid w:val="003C6692"/>
    <w:rsid w:val="003C6A1A"/>
    <w:rsid w:val="003C74D2"/>
    <w:rsid w:val="003D0FA8"/>
    <w:rsid w:val="003D12CD"/>
    <w:rsid w:val="003D21F4"/>
    <w:rsid w:val="003D3F94"/>
    <w:rsid w:val="003D5C2A"/>
    <w:rsid w:val="003D6142"/>
    <w:rsid w:val="003D629E"/>
    <w:rsid w:val="003D6569"/>
    <w:rsid w:val="003D6A1B"/>
    <w:rsid w:val="003D6B70"/>
    <w:rsid w:val="003E05E6"/>
    <w:rsid w:val="003E3164"/>
    <w:rsid w:val="003E3CD8"/>
    <w:rsid w:val="003E5889"/>
    <w:rsid w:val="003E5923"/>
    <w:rsid w:val="003E5F5F"/>
    <w:rsid w:val="003E7161"/>
    <w:rsid w:val="003E746D"/>
    <w:rsid w:val="003F01FB"/>
    <w:rsid w:val="003F085B"/>
    <w:rsid w:val="003F1BAC"/>
    <w:rsid w:val="003F2A23"/>
    <w:rsid w:val="003F304F"/>
    <w:rsid w:val="003F542C"/>
    <w:rsid w:val="003F5A47"/>
    <w:rsid w:val="003F69AC"/>
    <w:rsid w:val="003F6DC5"/>
    <w:rsid w:val="003F7327"/>
    <w:rsid w:val="003F740A"/>
    <w:rsid w:val="003F7E2E"/>
    <w:rsid w:val="00401091"/>
    <w:rsid w:val="0040122B"/>
    <w:rsid w:val="004029C5"/>
    <w:rsid w:val="00403636"/>
    <w:rsid w:val="004042F2"/>
    <w:rsid w:val="00404AF3"/>
    <w:rsid w:val="004078D5"/>
    <w:rsid w:val="00412575"/>
    <w:rsid w:val="00412DB4"/>
    <w:rsid w:val="00413F32"/>
    <w:rsid w:val="0041542A"/>
    <w:rsid w:val="00416797"/>
    <w:rsid w:val="00420268"/>
    <w:rsid w:val="004203C7"/>
    <w:rsid w:val="00420979"/>
    <w:rsid w:val="00421C33"/>
    <w:rsid w:val="00422897"/>
    <w:rsid w:val="00422F11"/>
    <w:rsid w:val="00423DE9"/>
    <w:rsid w:val="00426085"/>
    <w:rsid w:val="00426F6F"/>
    <w:rsid w:val="0042714F"/>
    <w:rsid w:val="0042733F"/>
    <w:rsid w:val="00430708"/>
    <w:rsid w:val="00430CBB"/>
    <w:rsid w:val="004319D4"/>
    <w:rsid w:val="00432061"/>
    <w:rsid w:val="00432BB4"/>
    <w:rsid w:val="0043512A"/>
    <w:rsid w:val="00437B97"/>
    <w:rsid w:val="004403D0"/>
    <w:rsid w:val="0044082F"/>
    <w:rsid w:val="00441B14"/>
    <w:rsid w:val="00441C84"/>
    <w:rsid w:val="00442326"/>
    <w:rsid w:val="00443975"/>
    <w:rsid w:val="0044424D"/>
    <w:rsid w:val="00444253"/>
    <w:rsid w:val="0044503E"/>
    <w:rsid w:val="00446165"/>
    <w:rsid w:val="004466CB"/>
    <w:rsid w:val="00447E4B"/>
    <w:rsid w:val="004513A4"/>
    <w:rsid w:val="00453669"/>
    <w:rsid w:val="0045457C"/>
    <w:rsid w:val="00454C23"/>
    <w:rsid w:val="00461254"/>
    <w:rsid w:val="00462ECC"/>
    <w:rsid w:val="00464CF4"/>
    <w:rsid w:val="0046512A"/>
    <w:rsid w:val="00465954"/>
    <w:rsid w:val="00465C5D"/>
    <w:rsid w:val="0046649F"/>
    <w:rsid w:val="004677B2"/>
    <w:rsid w:val="004702E6"/>
    <w:rsid w:val="00470701"/>
    <w:rsid w:val="0047094E"/>
    <w:rsid w:val="00470C85"/>
    <w:rsid w:val="00470DDD"/>
    <w:rsid w:val="00471873"/>
    <w:rsid w:val="004726F0"/>
    <w:rsid w:val="00472726"/>
    <w:rsid w:val="00473CF3"/>
    <w:rsid w:val="00473D81"/>
    <w:rsid w:val="004755C0"/>
    <w:rsid w:val="004769C5"/>
    <w:rsid w:val="0047712F"/>
    <w:rsid w:val="00477667"/>
    <w:rsid w:val="004805D2"/>
    <w:rsid w:val="00480B7E"/>
    <w:rsid w:val="00481932"/>
    <w:rsid w:val="00481B6B"/>
    <w:rsid w:val="004820BD"/>
    <w:rsid w:val="004822F1"/>
    <w:rsid w:val="004822FD"/>
    <w:rsid w:val="004825D8"/>
    <w:rsid w:val="00482BC7"/>
    <w:rsid w:val="00482C65"/>
    <w:rsid w:val="00482CB7"/>
    <w:rsid w:val="00483204"/>
    <w:rsid w:val="004845A4"/>
    <w:rsid w:val="00484E0E"/>
    <w:rsid w:val="004851CC"/>
    <w:rsid w:val="00486615"/>
    <w:rsid w:val="00486696"/>
    <w:rsid w:val="00486725"/>
    <w:rsid w:val="00490C8B"/>
    <w:rsid w:val="004919ED"/>
    <w:rsid w:val="00494376"/>
    <w:rsid w:val="004963FB"/>
    <w:rsid w:val="004968BE"/>
    <w:rsid w:val="004969E9"/>
    <w:rsid w:val="00496C03"/>
    <w:rsid w:val="0049762A"/>
    <w:rsid w:val="004A0A9E"/>
    <w:rsid w:val="004A14FD"/>
    <w:rsid w:val="004A19AF"/>
    <w:rsid w:val="004A2231"/>
    <w:rsid w:val="004A2B3E"/>
    <w:rsid w:val="004A3381"/>
    <w:rsid w:val="004A3CC5"/>
    <w:rsid w:val="004A435E"/>
    <w:rsid w:val="004A4633"/>
    <w:rsid w:val="004A46DC"/>
    <w:rsid w:val="004A5088"/>
    <w:rsid w:val="004A6324"/>
    <w:rsid w:val="004B0525"/>
    <w:rsid w:val="004B1A04"/>
    <w:rsid w:val="004B20DE"/>
    <w:rsid w:val="004B2864"/>
    <w:rsid w:val="004B33C7"/>
    <w:rsid w:val="004B3D50"/>
    <w:rsid w:val="004B3F66"/>
    <w:rsid w:val="004B4006"/>
    <w:rsid w:val="004B49CF"/>
    <w:rsid w:val="004B6B05"/>
    <w:rsid w:val="004B7C34"/>
    <w:rsid w:val="004B7D0C"/>
    <w:rsid w:val="004C01B4"/>
    <w:rsid w:val="004C1017"/>
    <w:rsid w:val="004C11E4"/>
    <w:rsid w:val="004C2138"/>
    <w:rsid w:val="004C2A2B"/>
    <w:rsid w:val="004C4C32"/>
    <w:rsid w:val="004C63C5"/>
    <w:rsid w:val="004C6621"/>
    <w:rsid w:val="004D1B01"/>
    <w:rsid w:val="004D27C4"/>
    <w:rsid w:val="004D37F8"/>
    <w:rsid w:val="004D3862"/>
    <w:rsid w:val="004D3DCF"/>
    <w:rsid w:val="004D3F1B"/>
    <w:rsid w:val="004D5E71"/>
    <w:rsid w:val="004D7D08"/>
    <w:rsid w:val="004E02C8"/>
    <w:rsid w:val="004E1739"/>
    <w:rsid w:val="004E33B5"/>
    <w:rsid w:val="004E3D2D"/>
    <w:rsid w:val="004E5328"/>
    <w:rsid w:val="004E5908"/>
    <w:rsid w:val="004E65BF"/>
    <w:rsid w:val="004E6733"/>
    <w:rsid w:val="004E7C3A"/>
    <w:rsid w:val="004F123B"/>
    <w:rsid w:val="004F1B47"/>
    <w:rsid w:val="004F2DF1"/>
    <w:rsid w:val="004F2FCF"/>
    <w:rsid w:val="004F2FF1"/>
    <w:rsid w:val="004F35F7"/>
    <w:rsid w:val="004F428A"/>
    <w:rsid w:val="004F642F"/>
    <w:rsid w:val="004F6A11"/>
    <w:rsid w:val="004F6A1A"/>
    <w:rsid w:val="004F6CA1"/>
    <w:rsid w:val="004F72D4"/>
    <w:rsid w:val="004F753F"/>
    <w:rsid w:val="00500416"/>
    <w:rsid w:val="005004EB"/>
    <w:rsid w:val="00500D3E"/>
    <w:rsid w:val="00502258"/>
    <w:rsid w:val="00503198"/>
    <w:rsid w:val="005033F4"/>
    <w:rsid w:val="0050468D"/>
    <w:rsid w:val="0050478A"/>
    <w:rsid w:val="0050772E"/>
    <w:rsid w:val="00510553"/>
    <w:rsid w:val="005108E6"/>
    <w:rsid w:val="00512BF5"/>
    <w:rsid w:val="00515CC5"/>
    <w:rsid w:val="00515E09"/>
    <w:rsid w:val="005166DE"/>
    <w:rsid w:val="00517348"/>
    <w:rsid w:val="00517507"/>
    <w:rsid w:val="005209B7"/>
    <w:rsid w:val="00520F62"/>
    <w:rsid w:val="00521BA3"/>
    <w:rsid w:val="00524990"/>
    <w:rsid w:val="00526CA5"/>
    <w:rsid w:val="00527C6C"/>
    <w:rsid w:val="00530ECB"/>
    <w:rsid w:val="00533D0F"/>
    <w:rsid w:val="00534AA1"/>
    <w:rsid w:val="005367B6"/>
    <w:rsid w:val="0053780A"/>
    <w:rsid w:val="00537B1C"/>
    <w:rsid w:val="00540204"/>
    <w:rsid w:val="0054422E"/>
    <w:rsid w:val="00544E6A"/>
    <w:rsid w:val="00544E7E"/>
    <w:rsid w:val="00545527"/>
    <w:rsid w:val="00546F14"/>
    <w:rsid w:val="0055101F"/>
    <w:rsid w:val="00553F3A"/>
    <w:rsid w:val="005544FA"/>
    <w:rsid w:val="00554DAB"/>
    <w:rsid w:val="00554F8C"/>
    <w:rsid w:val="005550DA"/>
    <w:rsid w:val="00556555"/>
    <w:rsid w:val="00560336"/>
    <w:rsid w:val="00561B59"/>
    <w:rsid w:val="00564CE5"/>
    <w:rsid w:val="00565CC1"/>
    <w:rsid w:val="005713EA"/>
    <w:rsid w:val="00572141"/>
    <w:rsid w:val="0057263B"/>
    <w:rsid w:val="0057291D"/>
    <w:rsid w:val="00573F6D"/>
    <w:rsid w:val="00574C0E"/>
    <w:rsid w:val="0057530B"/>
    <w:rsid w:val="005762D6"/>
    <w:rsid w:val="00576991"/>
    <w:rsid w:val="00580A8C"/>
    <w:rsid w:val="00580C97"/>
    <w:rsid w:val="0058196C"/>
    <w:rsid w:val="0058230C"/>
    <w:rsid w:val="005838C8"/>
    <w:rsid w:val="00583CC9"/>
    <w:rsid w:val="00583DB8"/>
    <w:rsid w:val="00583FB5"/>
    <w:rsid w:val="00584010"/>
    <w:rsid w:val="00584A48"/>
    <w:rsid w:val="005860DA"/>
    <w:rsid w:val="005907FB"/>
    <w:rsid w:val="00590DBB"/>
    <w:rsid w:val="005913EB"/>
    <w:rsid w:val="00591457"/>
    <w:rsid w:val="00591914"/>
    <w:rsid w:val="00591970"/>
    <w:rsid w:val="005919EA"/>
    <w:rsid w:val="00591E94"/>
    <w:rsid w:val="005939B7"/>
    <w:rsid w:val="005952FB"/>
    <w:rsid w:val="00596D5C"/>
    <w:rsid w:val="00597538"/>
    <w:rsid w:val="005A05AC"/>
    <w:rsid w:val="005A1264"/>
    <w:rsid w:val="005A15EA"/>
    <w:rsid w:val="005A1F68"/>
    <w:rsid w:val="005A24C0"/>
    <w:rsid w:val="005A3616"/>
    <w:rsid w:val="005A56D7"/>
    <w:rsid w:val="005A6CC3"/>
    <w:rsid w:val="005A6F7C"/>
    <w:rsid w:val="005A74B3"/>
    <w:rsid w:val="005B0B3E"/>
    <w:rsid w:val="005B0DBB"/>
    <w:rsid w:val="005B175F"/>
    <w:rsid w:val="005B375C"/>
    <w:rsid w:val="005B4DEE"/>
    <w:rsid w:val="005B54A8"/>
    <w:rsid w:val="005B6669"/>
    <w:rsid w:val="005C069A"/>
    <w:rsid w:val="005C1AFA"/>
    <w:rsid w:val="005C1FAB"/>
    <w:rsid w:val="005C2A03"/>
    <w:rsid w:val="005C2E41"/>
    <w:rsid w:val="005C3DB6"/>
    <w:rsid w:val="005C4DBD"/>
    <w:rsid w:val="005C5B2B"/>
    <w:rsid w:val="005C7192"/>
    <w:rsid w:val="005D0781"/>
    <w:rsid w:val="005D2364"/>
    <w:rsid w:val="005D3F49"/>
    <w:rsid w:val="005D49A8"/>
    <w:rsid w:val="005D49F9"/>
    <w:rsid w:val="005D4C32"/>
    <w:rsid w:val="005D520B"/>
    <w:rsid w:val="005E0A06"/>
    <w:rsid w:val="005E0E65"/>
    <w:rsid w:val="005E1028"/>
    <w:rsid w:val="005E2D1C"/>
    <w:rsid w:val="005E39FB"/>
    <w:rsid w:val="005E4273"/>
    <w:rsid w:val="005E42F4"/>
    <w:rsid w:val="005E5B59"/>
    <w:rsid w:val="005E6F4D"/>
    <w:rsid w:val="005E6FB7"/>
    <w:rsid w:val="005E7162"/>
    <w:rsid w:val="005F0C15"/>
    <w:rsid w:val="005F104C"/>
    <w:rsid w:val="005F15F6"/>
    <w:rsid w:val="005F4145"/>
    <w:rsid w:val="005F485E"/>
    <w:rsid w:val="005F4906"/>
    <w:rsid w:val="005F6ED0"/>
    <w:rsid w:val="005F760D"/>
    <w:rsid w:val="00602B17"/>
    <w:rsid w:val="0060322E"/>
    <w:rsid w:val="006048A9"/>
    <w:rsid w:val="0060721B"/>
    <w:rsid w:val="00611C06"/>
    <w:rsid w:val="00614BA4"/>
    <w:rsid w:val="00614BC9"/>
    <w:rsid w:val="00616340"/>
    <w:rsid w:val="00616D9C"/>
    <w:rsid w:val="006170D0"/>
    <w:rsid w:val="006179BB"/>
    <w:rsid w:val="006201A7"/>
    <w:rsid w:val="006212E9"/>
    <w:rsid w:val="00621824"/>
    <w:rsid w:val="00622321"/>
    <w:rsid w:val="00623F9E"/>
    <w:rsid w:val="00625055"/>
    <w:rsid w:val="00625154"/>
    <w:rsid w:val="00625A9B"/>
    <w:rsid w:val="006268BB"/>
    <w:rsid w:val="00626AE3"/>
    <w:rsid w:val="00626CA9"/>
    <w:rsid w:val="00627644"/>
    <w:rsid w:val="00627650"/>
    <w:rsid w:val="00627D6F"/>
    <w:rsid w:val="00630DB3"/>
    <w:rsid w:val="00631936"/>
    <w:rsid w:val="006322DF"/>
    <w:rsid w:val="0063249B"/>
    <w:rsid w:val="00632865"/>
    <w:rsid w:val="006329D2"/>
    <w:rsid w:val="00633E70"/>
    <w:rsid w:val="006347CA"/>
    <w:rsid w:val="00634EE4"/>
    <w:rsid w:val="00637410"/>
    <w:rsid w:val="006406D7"/>
    <w:rsid w:val="006408CA"/>
    <w:rsid w:val="00640AF3"/>
    <w:rsid w:val="0064254D"/>
    <w:rsid w:val="006428EF"/>
    <w:rsid w:val="00644B1E"/>
    <w:rsid w:val="00645DE1"/>
    <w:rsid w:val="006464A7"/>
    <w:rsid w:val="00647A3F"/>
    <w:rsid w:val="00650C71"/>
    <w:rsid w:val="00651057"/>
    <w:rsid w:val="00651161"/>
    <w:rsid w:val="00651368"/>
    <w:rsid w:val="006515EE"/>
    <w:rsid w:val="00653248"/>
    <w:rsid w:val="006532D9"/>
    <w:rsid w:val="00653A45"/>
    <w:rsid w:val="00654F1D"/>
    <w:rsid w:val="00655AED"/>
    <w:rsid w:val="00656196"/>
    <w:rsid w:val="00656367"/>
    <w:rsid w:val="00656FA7"/>
    <w:rsid w:val="00657089"/>
    <w:rsid w:val="00657E14"/>
    <w:rsid w:val="00660327"/>
    <w:rsid w:val="00660728"/>
    <w:rsid w:val="006607C9"/>
    <w:rsid w:val="0066082E"/>
    <w:rsid w:val="006615AF"/>
    <w:rsid w:val="00661877"/>
    <w:rsid w:val="00661F13"/>
    <w:rsid w:val="00662627"/>
    <w:rsid w:val="0066468C"/>
    <w:rsid w:val="0066622E"/>
    <w:rsid w:val="006662B9"/>
    <w:rsid w:val="0066637A"/>
    <w:rsid w:val="00667B0B"/>
    <w:rsid w:val="006704E8"/>
    <w:rsid w:val="0067152E"/>
    <w:rsid w:val="006716DE"/>
    <w:rsid w:val="00672A20"/>
    <w:rsid w:val="006737C8"/>
    <w:rsid w:val="006738D2"/>
    <w:rsid w:val="0067446B"/>
    <w:rsid w:val="006744C3"/>
    <w:rsid w:val="00676D16"/>
    <w:rsid w:val="0067746F"/>
    <w:rsid w:val="00677ECA"/>
    <w:rsid w:val="00677F01"/>
    <w:rsid w:val="00677F9D"/>
    <w:rsid w:val="00680C21"/>
    <w:rsid w:val="00681A16"/>
    <w:rsid w:val="00683206"/>
    <w:rsid w:val="00684DA2"/>
    <w:rsid w:val="006850A4"/>
    <w:rsid w:val="00687191"/>
    <w:rsid w:val="00690E14"/>
    <w:rsid w:val="0069112B"/>
    <w:rsid w:val="0069113A"/>
    <w:rsid w:val="006912AB"/>
    <w:rsid w:val="0069187D"/>
    <w:rsid w:val="0069192B"/>
    <w:rsid w:val="00695752"/>
    <w:rsid w:val="00697240"/>
    <w:rsid w:val="0069788E"/>
    <w:rsid w:val="006A11B7"/>
    <w:rsid w:val="006A1B47"/>
    <w:rsid w:val="006A2318"/>
    <w:rsid w:val="006A27BF"/>
    <w:rsid w:val="006A327D"/>
    <w:rsid w:val="006A5290"/>
    <w:rsid w:val="006A69A0"/>
    <w:rsid w:val="006B1F52"/>
    <w:rsid w:val="006B432D"/>
    <w:rsid w:val="006B4CDE"/>
    <w:rsid w:val="006B6172"/>
    <w:rsid w:val="006B729A"/>
    <w:rsid w:val="006C0235"/>
    <w:rsid w:val="006C06F3"/>
    <w:rsid w:val="006C1440"/>
    <w:rsid w:val="006C23A0"/>
    <w:rsid w:val="006C3D1B"/>
    <w:rsid w:val="006C3E46"/>
    <w:rsid w:val="006C41A4"/>
    <w:rsid w:val="006C485B"/>
    <w:rsid w:val="006C5B85"/>
    <w:rsid w:val="006C5E57"/>
    <w:rsid w:val="006C5F1E"/>
    <w:rsid w:val="006C77AF"/>
    <w:rsid w:val="006C7C53"/>
    <w:rsid w:val="006D1CAC"/>
    <w:rsid w:val="006D358D"/>
    <w:rsid w:val="006D3A86"/>
    <w:rsid w:val="006D3C40"/>
    <w:rsid w:val="006D4289"/>
    <w:rsid w:val="006D4F4E"/>
    <w:rsid w:val="006D5E8E"/>
    <w:rsid w:val="006D6AA3"/>
    <w:rsid w:val="006D7144"/>
    <w:rsid w:val="006D78EB"/>
    <w:rsid w:val="006E0943"/>
    <w:rsid w:val="006E0B46"/>
    <w:rsid w:val="006E2C85"/>
    <w:rsid w:val="006E51D0"/>
    <w:rsid w:val="006E51FA"/>
    <w:rsid w:val="006E5AA9"/>
    <w:rsid w:val="006E5C07"/>
    <w:rsid w:val="006E692E"/>
    <w:rsid w:val="006E6DE5"/>
    <w:rsid w:val="006E7980"/>
    <w:rsid w:val="006E799F"/>
    <w:rsid w:val="006E7B1B"/>
    <w:rsid w:val="006F0BB9"/>
    <w:rsid w:val="006F39CC"/>
    <w:rsid w:val="006F427F"/>
    <w:rsid w:val="006F4936"/>
    <w:rsid w:val="006F672F"/>
    <w:rsid w:val="006F730C"/>
    <w:rsid w:val="007006ED"/>
    <w:rsid w:val="00701210"/>
    <w:rsid w:val="00701E1C"/>
    <w:rsid w:val="00702B2B"/>
    <w:rsid w:val="00703242"/>
    <w:rsid w:val="007045FF"/>
    <w:rsid w:val="0070476F"/>
    <w:rsid w:val="00704BFC"/>
    <w:rsid w:val="00713B2A"/>
    <w:rsid w:val="007141D1"/>
    <w:rsid w:val="007159D9"/>
    <w:rsid w:val="00715DC1"/>
    <w:rsid w:val="007162FE"/>
    <w:rsid w:val="00716C3F"/>
    <w:rsid w:val="00717E08"/>
    <w:rsid w:val="00720AD3"/>
    <w:rsid w:val="00720C09"/>
    <w:rsid w:val="00722DD6"/>
    <w:rsid w:val="0072302F"/>
    <w:rsid w:val="00724513"/>
    <w:rsid w:val="00724A83"/>
    <w:rsid w:val="00725961"/>
    <w:rsid w:val="00727805"/>
    <w:rsid w:val="007312B1"/>
    <w:rsid w:val="0073158F"/>
    <w:rsid w:val="0073226A"/>
    <w:rsid w:val="007333BA"/>
    <w:rsid w:val="00733860"/>
    <w:rsid w:val="00733F43"/>
    <w:rsid w:val="00734A8A"/>
    <w:rsid w:val="00734FFF"/>
    <w:rsid w:val="00735473"/>
    <w:rsid w:val="0073685D"/>
    <w:rsid w:val="007405EB"/>
    <w:rsid w:val="00740AA1"/>
    <w:rsid w:val="00740E37"/>
    <w:rsid w:val="00740E3D"/>
    <w:rsid w:val="00740FE2"/>
    <w:rsid w:val="00741E24"/>
    <w:rsid w:val="007421CF"/>
    <w:rsid w:val="00742D7E"/>
    <w:rsid w:val="00743816"/>
    <w:rsid w:val="0074468D"/>
    <w:rsid w:val="00744847"/>
    <w:rsid w:val="00745D6A"/>
    <w:rsid w:val="007467C0"/>
    <w:rsid w:val="00747440"/>
    <w:rsid w:val="00747733"/>
    <w:rsid w:val="007513E7"/>
    <w:rsid w:val="00754FDB"/>
    <w:rsid w:val="00755966"/>
    <w:rsid w:val="007565F4"/>
    <w:rsid w:val="00756A7F"/>
    <w:rsid w:val="00756BEF"/>
    <w:rsid w:val="00757A98"/>
    <w:rsid w:val="00757D3F"/>
    <w:rsid w:val="00760C36"/>
    <w:rsid w:val="0076148B"/>
    <w:rsid w:val="00762ABB"/>
    <w:rsid w:val="007644E6"/>
    <w:rsid w:val="00764C95"/>
    <w:rsid w:val="00767CFA"/>
    <w:rsid w:val="00770332"/>
    <w:rsid w:val="0077066D"/>
    <w:rsid w:val="007720EC"/>
    <w:rsid w:val="007745D9"/>
    <w:rsid w:val="0077471F"/>
    <w:rsid w:val="00775801"/>
    <w:rsid w:val="0077588A"/>
    <w:rsid w:val="00777523"/>
    <w:rsid w:val="00780804"/>
    <w:rsid w:val="00781070"/>
    <w:rsid w:val="007817B4"/>
    <w:rsid w:val="00783297"/>
    <w:rsid w:val="00783DE6"/>
    <w:rsid w:val="007840C1"/>
    <w:rsid w:val="00784C8A"/>
    <w:rsid w:val="0078503A"/>
    <w:rsid w:val="0078591E"/>
    <w:rsid w:val="007866CE"/>
    <w:rsid w:val="007868DA"/>
    <w:rsid w:val="007914CE"/>
    <w:rsid w:val="00792A9E"/>
    <w:rsid w:val="007930A2"/>
    <w:rsid w:val="007934B7"/>
    <w:rsid w:val="007949AA"/>
    <w:rsid w:val="00796E39"/>
    <w:rsid w:val="0079709D"/>
    <w:rsid w:val="00797571"/>
    <w:rsid w:val="00797F17"/>
    <w:rsid w:val="007A0749"/>
    <w:rsid w:val="007A0940"/>
    <w:rsid w:val="007A1AA3"/>
    <w:rsid w:val="007A26D2"/>
    <w:rsid w:val="007A32FF"/>
    <w:rsid w:val="007A4337"/>
    <w:rsid w:val="007A4434"/>
    <w:rsid w:val="007A4812"/>
    <w:rsid w:val="007A4D01"/>
    <w:rsid w:val="007A5872"/>
    <w:rsid w:val="007B0943"/>
    <w:rsid w:val="007B0D6E"/>
    <w:rsid w:val="007B11B9"/>
    <w:rsid w:val="007B1575"/>
    <w:rsid w:val="007B15F7"/>
    <w:rsid w:val="007B3D41"/>
    <w:rsid w:val="007B4A90"/>
    <w:rsid w:val="007B66E0"/>
    <w:rsid w:val="007C14A1"/>
    <w:rsid w:val="007C3211"/>
    <w:rsid w:val="007C3466"/>
    <w:rsid w:val="007C3EE4"/>
    <w:rsid w:val="007C459D"/>
    <w:rsid w:val="007C64F4"/>
    <w:rsid w:val="007C6AD1"/>
    <w:rsid w:val="007C6F3D"/>
    <w:rsid w:val="007C7415"/>
    <w:rsid w:val="007C7DE6"/>
    <w:rsid w:val="007D0D5F"/>
    <w:rsid w:val="007D1D83"/>
    <w:rsid w:val="007D39BD"/>
    <w:rsid w:val="007D5B56"/>
    <w:rsid w:val="007D692C"/>
    <w:rsid w:val="007D72B5"/>
    <w:rsid w:val="007D7545"/>
    <w:rsid w:val="007E09D6"/>
    <w:rsid w:val="007E265E"/>
    <w:rsid w:val="007E2A94"/>
    <w:rsid w:val="007E3C04"/>
    <w:rsid w:val="007E5531"/>
    <w:rsid w:val="007E6931"/>
    <w:rsid w:val="007E7D70"/>
    <w:rsid w:val="007F0672"/>
    <w:rsid w:val="007F0709"/>
    <w:rsid w:val="007F3613"/>
    <w:rsid w:val="007F5214"/>
    <w:rsid w:val="007F5C5C"/>
    <w:rsid w:val="007F66C4"/>
    <w:rsid w:val="007F74BB"/>
    <w:rsid w:val="00800F87"/>
    <w:rsid w:val="008014EE"/>
    <w:rsid w:val="00801E0E"/>
    <w:rsid w:val="00801FE8"/>
    <w:rsid w:val="00802D9F"/>
    <w:rsid w:val="0080416D"/>
    <w:rsid w:val="00804323"/>
    <w:rsid w:val="00805186"/>
    <w:rsid w:val="0080716D"/>
    <w:rsid w:val="008077D7"/>
    <w:rsid w:val="00807B50"/>
    <w:rsid w:val="0081025F"/>
    <w:rsid w:val="008113E4"/>
    <w:rsid w:val="0081148F"/>
    <w:rsid w:val="008118B7"/>
    <w:rsid w:val="0081378C"/>
    <w:rsid w:val="008140B4"/>
    <w:rsid w:val="008154B5"/>
    <w:rsid w:val="008159DB"/>
    <w:rsid w:val="00817643"/>
    <w:rsid w:val="00822888"/>
    <w:rsid w:val="0082293A"/>
    <w:rsid w:val="00822944"/>
    <w:rsid w:val="00822AB7"/>
    <w:rsid w:val="0083093E"/>
    <w:rsid w:val="008336C3"/>
    <w:rsid w:val="008353EC"/>
    <w:rsid w:val="00835978"/>
    <w:rsid w:val="008368A1"/>
    <w:rsid w:val="00836971"/>
    <w:rsid w:val="00837EF9"/>
    <w:rsid w:val="0084066A"/>
    <w:rsid w:val="00843053"/>
    <w:rsid w:val="00843142"/>
    <w:rsid w:val="008438F7"/>
    <w:rsid w:val="00843FC8"/>
    <w:rsid w:val="008457CC"/>
    <w:rsid w:val="00846480"/>
    <w:rsid w:val="00850C03"/>
    <w:rsid w:val="008555D7"/>
    <w:rsid w:val="00856439"/>
    <w:rsid w:val="00856DBD"/>
    <w:rsid w:val="0085709C"/>
    <w:rsid w:val="00857551"/>
    <w:rsid w:val="008602FF"/>
    <w:rsid w:val="008614DB"/>
    <w:rsid w:val="00861F53"/>
    <w:rsid w:val="00862381"/>
    <w:rsid w:val="00862E2A"/>
    <w:rsid w:val="00863711"/>
    <w:rsid w:val="00865186"/>
    <w:rsid w:val="0086645C"/>
    <w:rsid w:val="008671F5"/>
    <w:rsid w:val="008724EB"/>
    <w:rsid w:val="00874551"/>
    <w:rsid w:val="00874848"/>
    <w:rsid w:val="00874AA4"/>
    <w:rsid w:val="00875136"/>
    <w:rsid w:val="00875201"/>
    <w:rsid w:val="00875C18"/>
    <w:rsid w:val="00877DFC"/>
    <w:rsid w:val="00880591"/>
    <w:rsid w:val="008813C8"/>
    <w:rsid w:val="008819BD"/>
    <w:rsid w:val="008819DC"/>
    <w:rsid w:val="00881C75"/>
    <w:rsid w:val="008828FC"/>
    <w:rsid w:val="00884138"/>
    <w:rsid w:val="00887921"/>
    <w:rsid w:val="0089228D"/>
    <w:rsid w:val="00893915"/>
    <w:rsid w:val="00894B0A"/>
    <w:rsid w:val="00894C72"/>
    <w:rsid w:val="00894CC6"/>
    <w:rsid w:val="0089615D"/>
    <w:rsid w:val="00896221"/>
    <w:rsid w:val="008964B4"/>
    <w:rsid w:val="008972CA"/>
    <w:rsid w:val="008A07ED"/>
    <w:rsid w:val="008A0C55"/>
    <w:rsid w:val="008A0CEC"/>
    <w:rsid w:val="008A2CD3"/>
    <w:rsid w:val="008A2FB8"/>
    <w:rsid w:val="008A3654"/>
    <w:rsid w:val="008A36E0"/>
    <w:rsid w:val="008A38E4"/>
    <w:rsid w:val="008A443F"/>
    <w:rsid w:val="008A5261"/>
    <w:rsid w:val="008A721A"/>
    <w:rsid w:val="008A74D1"/>
    <w:rsid w:val="008A7EC8"/>
    <w:rsid w:val="008B045E"/>
    <w:rsid w:val="008B0F36"/>
    <w:rsid w:val="008B1893"/>
    <w:rsid w:val="008B2377"/>
    <w:rsid w:val="008B279F"/>
    <w:rsid w:val="008B27C4"/>
    <w:rsid w:val="008B2A46"/>
    <w:rsid w:val="008B37FD"/>
    <w:rsid w:val="008B4634"/>
    <w:rsid w:val="008B4D35"/>
    <w:rsid w:val="008B5456"/>
    <w:rsid w:val="008B75D5"/>
    <w:rsid w:val="008B7EA7"/>
    <w:rsid w:val="008C0167"/>
    <w:rsid w:val="008C1F32"/>
    <w:rsid w:val="008C2DEA"/>
    <w:rsid w:val="008C5124"/>
    <w:rsid w:val="008C6480"/>
    <w:rsid w:val="008C6FF5"/>
    <w:rsid w:val="008D042F"/>
    <w:rsid w:val="008D0553"/>
    <w:rsid w:val="008D188C"/>
    <w:rsid w:val="008D18D7"/>
    <w:rsid w:val="008D2034"/>
    <w:rsid w:val="008D2402"/>
    <w:rsid w:val="008D2431"/>
    <w:rsid w:val="008D288F"/>
    <w:rsid w:val="008D31F3"/>
    <w:rsid w:val="008D3C33"/>
    <w:rsid w:val="008D4C58"/>
    <w:rsid w:val="008D4E53"/>
    <w:rsid w:val="008D65E9"/>
    <w:rsid w:val="008D66A4"/>
    <w:rsid w:val="008D6D06"/>
    <w:rsid w:val="008E0502"/>
    <w:rsid w:val="008E1D7B"/>
    <w:rsid w:val="008E2364"/>
    <w:rsid w:val="008E276F"/>
    <w:rsid w:val="008E308A"/>
    <w:rsid w:val="008E436B"/>
    <w:rsid w:val="008E49A9"/>
    <w:rsid w:val="008E69C9"/>
    <w:rsid w:val="008F0ED4"/>
    <w:rsid w:val="008F1067"/>
    <w:rsid w:val="008F15C0"/>
    <w:rsid w:val="008F2246"/>
    <w:rsid w:val="008F22B8"/>
    <w:rsid w:val="008F3157"/>
    <w:rsid w:val="009027E6"/>
    <w:rsid w:val="00903A3A"/>
    <w:rsid w:val="00903FA5"/>
    <w:rsid w:val="00904264"/>
    <w:rsid w:val="0090489F"/>
    <w:rsid w:val="00906429"/>
    <w:rsid w:val="00906920"/>
    <w:rsid w:val="0091138D"/>
    <w:rsid w:val="009125E4"/>
    <w:rsid w:val="0091388A"/>
    <w:rsid w:val="00915900"/>
    <w:rsid w:val="00915C5C"/>
    <w:rsid w:val="00916745"/>
    <w:rsid w:val="0092117F"/>
    <w:rsid w:val="009215D0"/>
    <w:rsid w:val="0092234C"/>
    <w:rsid w:val="00922703"/>
    <w:rsid w:val="0092468B"/>
    <w:rsid w:val="00924A05"/>
    <w:rsid w:val="00924BAF"/>
    <w:rsid w:val="00924DB2"/>
    <w:rsid w:val="009256C6"/>
    <w:rsid w:val="009258B3"/>
    <w:rsid w:val="00926EEA"/>
    <w:rsid w:val="009273B6"/>
    <w:rsid w:val="00930607"/>
    <w:rsid w:val="009306F1"/>
    <w:rsid w:val="0093111C"/>
    <w:rsid w:val="009314A6"/>
    <w:rsid w:val="009316F7"/>
    <w:rsid w:val="009325F2"/>
    <w:rsid w:val="00932EC4"/>
    <w:rsid w:val="00933734"/>
    <w:rsid w:val="0093636B"/>
    <w:rsid w:val="00937CED"/>
    <w:rsid w:val="00937FCD"/>
    <w:rsid w:val="00941056"/>
    <w:rsid w:val="00941532"/>
    <w:rsid w:val="00942525"/>
    <w:rsid w:val="00942F85"/>
    <w:rsid w:val="00943439"/>
    <w:rsid w:val="009436AD"/>
    <w:rsid w:val="00943AEF"/>
    <w:rsid w:val="00945248"/>
    <w:rsid w:val="00945561"/>
    <w:rsid w:val="0094556C"/>
    <w:rsid w:val="009463DB"/>
    <w:rsid w:val="00950F86"/>
    <w:rsid w:val="00952801"/>
    <w:rsid w:val="009532A7"/>
    <w:rsid w:val="00954C71"/>
    <w:rsid w:val="00954F37"/>
    <w:rsid w:val="00955DE7"/>
    <w:rsid w:val="00956441"/>
    <w:rsid w:val="00960EA5"/>
    <w:rsid w:val="0096165D"/>
    <w:rsid w:val="009616AB"/>
    <w:rsid w:val="009622E0"/>
    <w:rsid w:val="009634EF"/>
    <w:rsid w:val="00964584"/>
    <w:rsid w:val="009647B6"/>
    <w:rsid w:val="009652B2"/>
    <w:rsid w:val="009660B4"/>
    <w:rsid w:val="009671DD"/>
    <w:rsid w:val="00970A43"/>
    <w:rsid w:val="00971731"/>
    <w:rsid w:val="009719E3"/>
    <w:rsid w:val="00973008"/>
    <w:rsid w:val="00973C6E"/>
    <w:rsid w:val="00973FB5"/>
    <w:rsid w:val="00974033"/>
    <w:rsid w:val="00974204"/>
    <w:rsid w:val="00974720"/>
    <w:rsid w:val="009757DF"/>
    <w:rsid w:val="009774C2"/>
    <w:rsid w:val="00977CF8"/>
    <w:rsid w:val="009814E8"/>
    <w:rsid w:val="00981640"/>
    <w:rsid w:val="00981FD3"/>
    <w:rsid w:val="0098255A"/>
    <w:rsid w:val="00982A20"/>
    <w:rsid w:val="00983B12"/>
    <w:rsid w:val="00984325"/>
    <w:rsid w:val="009851CB"/>
    <w:rsid w:val="009871C9"/>
    <w:rsid w:val="0099043E"/>
    <w:rsid w:val="0099068D"/>
    <w:rsid w:val="009913C3"/>
    <w:rsid w:val="00991D20"/>
    <w:rsid w:val="0099459F"/>
    <w:rsid w:val="009949CE"/>
    <w:rsid w:val="00995705"/>
    <w:rsid w:val="00997C0C"/>
    <w:rsid w:val="009A006B"/>
    <w:rsid w:val="009A06DB"/>
    <w:rsid w:val="009A1082"/>
    <w:rsid w:val="009A1B8E"/>
    <w:rsid w:val="009A2C0A"/>
    <w:rsid w:val="009A30B2"/>
    <w:rsid w:val="009A3A47"/>
    <w:rsid w:val="009A3D90"/>
    <w:rsid w:val="009A4634"/>
    <w:rsid w:val="009A46AE"/>
    <w:rsid w:val="009A4F04"/>
    <w:rsid w:val="009A580C"/>
    <w:rsid w:val="009A5E17"/>
    <w:rsid w:val="009A614A"/>
    <w:rsid w:val="009A618F"/>
    <w:rsid w:val="009B1307"/>
    <w:rsid w:val="009B21EB"/>
    <w:rsid w:val="009B28E6"/>
    <w:rsid w:val="009B5F15"/>
    <w:rsid w:val="009B6AF4"/>
    <w:rsid w:val="009C0697"/>
    <w:rsid w:val="009C123B"/>
    <w:rsid w:val="009C2066"/>
    <w:rsid w:val="009C2941"/>
    <w:rsid w:val="009C32AA"/>
    <w:rsid w:val="009C32C6"/>
    <w:rsid w:val="009C370A"/>
    <w:rsid w:val="009C37BA"/>
    <w:rsid w:val="009C3A97"/>
    <w:rsid w:val="009C40A5"/>
    <w:rsid w:val="009C48C3"/>
    <w:rsid w:val="009C4C99"/>
    <w:rsid w:val="009C63E4"/>
    <w:rsid w:val="009C6486"/>
    <w:rsid w:val="009C68C0"/>
    <w:rsid w:val="009D04FB"/>
    <w:rsid w:val="009D0E54"/>
    <w:rsid w:val="009D1787"/>
    <w:rsid w:val="009D21BC"/>
    <w:rsid w:val="009D3913"/>
    <w:rsid w:val="009D478F"/>
    <w:rsid w:val="009D4B3D"/>
    <w:rsid w:val="009D62D3"/>
    <w:rsid w:val="009D6573"/>
    <w:rsid w:val="009D73B9"/>
    <w:rsid w:val="009E0746"/>
    <w:rsid w:val="009E0B89"/>
    <w:rsid w:val="009E0D86"/>
    <w:rsid w:val="009E1752"/>
    <w:rsid w:val="009E272C"/>
    <w:rsid w:val="009E3931"/>
    <w:rsid w:val="009E46DE"/>
    <w:rsid w:val="009E4E3F"/>
    <w:rsid w:val="009E5191"/>
    <w:rsid w:val="009E6600"/>
    <w:rsid w:val="009E6D80"/>
    <w:rsid w:val="009E6DAA"/>
    <w:rsid w:val="009F1D9E"/>
    <w:rsid w:val="009F2092"/>
    <w:rsid w:val="009F3F82"/>
    <w:rsid w:val="009F52BB"/>
    <w:rsid w:val="009F680F"/>
    <w:rsid w:val="00A01596"/>
    <w:rsid w:val="00A01C4F"/>
    <w:rsid w:val="00A02097"/>
    <w:rsid w:val="00A02743"/>
    <w:rsid w:val="00A06304"/>
    <w:rsid w:val="00A06B8C"/>
    <w:rsid w:val="00A10ECB"/>
    <w:rsid w:val="00A11023"/>
    <w:rsid w:val="00A11F92"/>
    <w:rsid w:val="00A1226C"/>
    <w:rsid w:val="00A12A38"/>
    <w:rsid w:val="00A12F9B"/>
    <w:rsid w:val="00A133DD"/>
    <w:rsid w:val="00A1356C"/>
    <w:rsid w:val="00A1486D"/>
    <w:rsid w:val="00A14DD1"/>
    <w:rsid w:val="00A1503F"/>
    <w:rsid w:val="00A163A6"/>
    <w:rsid w:val="00A16559"/>
    <w:rsid w:val="00A2012E"/>
    <w:rsid w:val="00A21DC2"/>
    <w:rsid w:val="00A2269C"/>
    <w:rsid w:val="00A229E3"/>
    <w:rsid w:val="00A2302B"/>
    <w:rsid w:val="00A264B2"/>
    <w:rsid w:val="00A2698C"/>
    <w:rsid w:val="00A278C6"/>
    <w:rsid w:val="00A301CC"/>
    <w:rsid w:val="00A31318"/>
    <w:rsid w:val="00A31F56"/>
    <w:rsid w:val="00A32CB3"/>
    <w:rsid w:val="00A32D36"/>
    <w:rsid w:val="00A32FBD"/>
    <w:rsid w:val="00A33B00"/>
    <w:rsid w:val="00A35115"/>
    <w:rsid w:val="00A35E70"/>
    <w:rsid w:val="00A36660"/>
    <w:rsid w:val="00A36671"/>
    <w:rsid w:val="00A37098"/>
    <w:rsid w:val="00A37C54"/>
    <w:rsid w:val="00A400C1"/>
    <w:rsid w:val="00A40CFE"/>
    <w:rsid w:val="00A41AA9"/>
    <w:rsid w:val="00A42AA6"/>
    <w:rsid w:val="00A42C8C"/>
    <w:rsid w:val="00A432E6"/>
    <w:rsid w:val="00A46C59"/>
    <w:rsid w:val="00A476A3"/>
    <w:rsid w:val="00A47AC6"/>
    <w:rsid w:val="00A50E26"/>
    <w:rsid w:val="00A51C79"/>
    <w:rsid w:val="00A51DB3"/>
    <w:rsid w:val="00A525FA"/>
    <w:rsid w:val="00A52B42"/>
    <w:rsid w:val="00A53583"/>
    <w:rsid w:val="00A54CDE"/>
    <w:rsid w:val="00A55D6B"/>
    <w:rsid w:val="00A56F71"/>
    <w:rsid w:val="00A572AA"/>
    <w:rsid w:val="00A57A5F"/>
    <w:rsid w:val="00A57B4B"/>
    <w:rsid w:val="00A60199"/>
    <w:rsid w:val="00A60230"/>
    <w:rsid w:val="00A606B4"/>
    <w:rsid w:val="00A618A1"/>
    <w:rsid w:val="00A62877"/>
    <w:rsid w:val="00A64FBF"/>
    <w:rsid w:val="00A65218"/>
    <w:rsid w:val="00A6562F"/>
    <w:rsid w:val="00A65C32"/>
    <w:rsid w:val="00A67F62"/>
    <w:rsid w:val="00A71B80"/>
    <w:rsid w:val="00A73B41"/>
    <w:rsid w:val="00A74AD2"/>
    <w:rsid w:val="00A7512C"/>
    <w:rsid w:val="00A753D2"/>
    <w:rsid w:val="00A75E4D"/>
    <w:rsid w:val="00A765FE"/>
    <w:rsid w:val="00A768A8"/>
    <w:rsid w:val="00A8215C"/>
    <w:rsid w:val="00A84980"/>
    <w:rsid w:val="00A86610"/>
    <w:rsid w:val="00A86BE1"/>
    <w:rsid w:val="00A86DAC"/>
    <w:rsid w:val="00A86E89"/>
    <w:rsid w:val="00A87699"/>
    <w:rsid w:val="00A87953"/>
    <w:rsid w:val="00A902E1"/>
    <w:rsid w:val="00A90F81"/>
    <w:rsid w:val="00A9159A"/>
    <w:rsid w:val="00A93D95"/>
    <w:rsid w:val="00A96146"/>
    <w:rsid w:val="00A96213"/>
    <w:rsid w:val="00A9623E"/>
    <w:rsid w:val="00A96AF1"/>
    <w:rsid w:val="00A96C90"/>
    <w:rsid w:val="00AA20B2"/>
    <w:rsid w:val="00AA2B7D"/>
    <w:rsid w:val="00AA2FF6"/>
    <w:rsid w:val="00AA350E"/>
    <w:rsid w:val="00AA3714"/>
    <w:rsid w:val="00AA4655"/>
    <w:rsid w:val="00AA5C00"/>
    <w:rsid w:val="00AA7D72"/>
    <w:rsid w:val="00AB0577"/>
    <w:rsid w:val="00AB3187"/>
    <w:rsid w:val="00AB3660"/>
    <w:rsid w:val="00AB3FE5"/>
    <w:rsid w:val="00AB42A0"/>
    <w:rsid w:val="00AB7D1C"/>
    <w:rsid w:val="00AC0A2F"/>
    <w:rsid w:val="00AC1087"/>
    <w:rsid w:val="00AC1150"/>
    <w:rsid w:val="00AC1FB5"/>
    <w:rsid w:val="00AC2422"/>
    <w:rsid w:val="00AC2F46"/>
    <w:rsid w:val="00AC3547"/>
    <w:rsid w:val="00AC3C34"/>
    <w:rsid w:val="00AC3F12"/>
    <w:rsid w:val="00AC4B1B"/>
    <w:rsid w:val="00AC65C7"/>
    <w:rsid w:val="00AC7098"/>
    <w:rsid w:val="00AC7EF1"/>
    <w:rsid w:val="00AD0B34"/>
    <w:rsid w:val="00AD11E0"/>
    <w:rsid w:val="00AD2B7C"/>
    <w:rsid w:val="00AD2F77"/>
    <w:rsid w:val="00AD33A7"/>
    <w:rsid w:val="00AD3E88"/>
    <w:rsid w:val="00AD4B07"/>
    <w:rsid w:val="00AD5DCC"/>
    <w:rsid w:val="00AD71D8"/>
    <w:rsid w:val="00AE01A4"/>
    <w:rsid w:val="00AE03C5"/>
    <w:rsid w:val="00AE09B9"/>
    <w:rsid w:val="00AE1C88"/>
    <w:rsid w:val="00AE1FD4"/>
    <w:rsid w:val="00AE36CA"/>
    <w:rsid w:val="00AE48EA"/>
    <w:rsid w:val="00AE49B4"/>
    <w:rsid w:val="00AE4EB5"/>
    <w:rsid w:val="00AE6346"/>
    <w:rsid w:val="00AE6D7F"/>
    <w:rsid w:val="00AF0115"/>
    <w:rsid w:val="00AF0AD1"/>
    <w:rsid w:val="00AF0F90"/>
    <w:rsid w:val="00AF2386"/>
    <w:rsid w:val="00AF284C"/>
    <w:rsid w:val="00AF37CE"/>
    <w:rsid w:val="00AF3C7B"/>
    <w:rsid w:val="00AF3EC1"/>
    <w:rsid w:val="00AF4AAF"/>
    <w:rsid w:val="00AF4DA1"/>
    <w:rsid w:val="00AF5D8D"/>
    <w:rsid w:val="00AF62F2"/>
    <w:rsid w:val="00AF67D9"/>
    <w:rsid w:val="00AF6B94"/>
    <w:rsid w:val="00B015CE"/>
    <w:rsid w:val="00B018F7"/>
    <w:rsid w:val="00B02238"/>
    <w:rsid w:val="00B03CDA"/>
    <w:rsid w:val="00B03FAD"/>
    <w:rsid w:val="00B05C5E"/>
    <w:rsid w:val="00B05D15"/>
    <w:rsid w:val="00B07B82"/>
    <w:rsid w:val="00B1038D"/>
    <w:rsid w:val="00B117B3"/>
    <w:rsid w:val="00B133A6"/>
    <w:rsid w:val="00B147B0"/>
    <w:rsid w:val="00B22D95"/>
    <w:rsid w:val="00B23299"/>
    <w:rsid w:val="00B23483"/>
    <w:rsid w:val="00B234C8"/>
    <w:rsid w:val="00B23C90"/>
    <w:rsid w:val="00B24345"/>
    <w:rsid w:val="00B2467A"/>
    <w:rsid w:val="00B24F4C"/>
    <w:rsid w:val="00B25137"/>
    <w:rsid w:val="00B253E7"/>
    <w:rsid w:val="00B26198"/>
    <w:rsid w:val="00B27E7E"/>
    <w:rsid w:val="00B301C7"/>
    <w:rsid w:val="00B31971"/>
    <w:rsid w:val="00B329EB"/>
    <w:rsid w:val="00B339AD"/>
    <w:rsid w:val="00B34CF8"/>
    <w:rsid w:val="00B3733A"/>
    <w:rsid w:val="00B40207"/>
    <w:rsid w:val="00B40742"/>
    <w:rsid w:val="00B40D9E"/>
    <w:rsid w:val="00B40DA7"/>
    <w:rsid w:val="00B41979"/>
    <w:rsid w:val="00B4240F"/>
    <w:rsid w:val="00B43CEA"/>
    <w:rsid w:val="00B444FC"/>
    <w:rsid w:val="00B44B6D"/>
    <w:rsid w:val="00B46983"/>
    <w:rsid w:val="00B4725F"/>
    <w:rsid w:val="00B47C51"/>
    <w:rsid w:val="00B50AA7"/>
    <w:rsid w:val="00B514AE"/>
    <w:rsid w:val="00B5342A"/>
    <w:rsid w:val="00B53C48"/>
    <w:rsid w:val="00B55530"/>
    <w:rsid w:val="00B557F8"/>
    <w:rsid w:val="00B55FF1"/>
    <w:rsid w:val="00B571D6"/>
    <w:rsid w:val="00B5770E"/>
    <w:rsid w:val="00B57C78"/>
    <w:rsid w:val="00B60325"/>
    <w:rsid w:val="00B611C5"/>
    <w:rsid w:val="00B613A2"/>
    <w:rsid w:val="00B637F6"/>
    <w:rsid w:val="00B65ABA"/>
    <w:rsid w:val="00B65C12"/>
    <w:rsid w:val="00B7034B"/>
    <w:rsid w:val="00B704F8"/>
    <w:rsid w:val="00B712F5"/>
    <w:rsid w:val="00B71FB7"/>
    <w:rsid w:val="00B7347B"/>
    <w:rsid w:val="00B73B9C"/>
    <w:rsid w:val="00B7463C"/>
    <w:rsid w:val="00B75228"/>
    <w:rsid w:val="00B76465"/>
    <w:rsid w:val="00B77210"/>
    <w:rsid w:val="00B819B8"/>
    <w:rsid w:val="00B8367F"/>
    <w:rsid w:val="00B8373F"/>
    <w:rsid w:val="00B8418F"/>
    <w:rsid w:val="00B855A3"/>
    <w:rsid w:val="00B86040"/>
    <w:rsid w:val="00B8712F"/>
    <w:rsid w:val="00B90AAA"/>
    <w:rsid w:val="00B90CC3"/>
    <w:rsid w:val="00B914A4"/>
    <w:rsid w:val="00B91F26"/>
    <w:rsid w:val="00B93553"/>
    <w:rsid w:val="00B94FA4"/>
    <w:rsid w:val="00BA0A7E"/>
    <w:rsid w:val="00BA1135"/>
    <w:rsid w:val="00BA142D"/>
    <w:rsid w:val="00BA2DB3"/>
    <w:rsid w:val="00BA2FB0"/>
    <w:rsid w:val="00BA355D"/>
    <w:rsid w:val="00BA45F2"/>
    <w:rsid w:val="00BA6942"/>
    <w:rsid w:val="00BA7B16"/>
    <w:rsid w:val="00BB05EA"/>
    <w:rsid w:val="00BB15B7"/>
    <w:rsid w:val="00BB1B29"/>
    <w:rsid w:val="00BB1D41"/>
    <w:rsid w:val="00BB3F75"/>
    <w:rsid w:val="00BB4472"/>
    <w:rsid w:val="00BB5719"/>
    <w:rsid w:val="00BB5B25"/>
    <w:rsid w:val="00BB5C05"/>
    <w:rsid w:val="00BB5E77"/>
    <w:rsid w:val="00BB5E8D"/>
    <w:rsid w:val="00BB5FE8"/>
    <w:rsid w:val="00BB75C7"/>
    <w:rsid w:val="00BB766A"/>
    <w:rsid w:val="00BC1841"/>
    <w:rsid w:val="00BC263A"/>
    <w:rsid w:val="00BC2A2D"/>
    <w:rsid w:val="00BC3304"/>
    <w:rsid w:val="00BC3860"/>
    <w:rsid w:val="00BC39E2"/>
    <w:rsid w:val="00BC412A"/>
    <w:rsid w:val="00BC5BC2"/>
    <w:rsid w:val="00BC6D31"/>
    <w:rsid w:val="00BC6DFC"/>
    <w:rsid w:val="00BC7809"/>
    <w:rsid w:val="00BD0963"/>
    <w:rsid w:val="00BD0979"/>
    <w:rsid w:val="00BD0C92"/>
    <w:rsid w:val="00BD0F20"/>
    <w:rsid w:val="00BD1166"/>
    <w:rsid w:val="00BD2227"/>
    <w:rsid w:val="00BD243B"/>
    <w:rsid w:val="00BD2933"/>
    <w:rsid w:val="00BD4773"/>
    <w:rsid w:val="00BD4B79"/>
    <w:rsid w:val="00BD6D9A"/>
    <w:rsid w:val="00BD7894"/>
    <w:rsid w:val="00BD7B4D"/>
    <w:rsid w:val="00BD7DE1"/>
    <w:rsid w:val="00BE0DE8"/>
    <w:rsid w:val="00BE1030"/>
    <w:rsid w:val="00BE3732"/>
    <w:rsid w:val="00BE3A50"/>
    <w:rsid w:val="00BE43DD"/>
    <w:rsid w:val="00BE4599"/>
    <w:rsid w:val="00BE556D"/>
    <w:rsid w:val="00BE5691"/>
    <w:rsid w:val="00BE63DB"/>
    <w:rsid w:val="00BF06F6"/>
    <w:rsid w:val="00BF1A19"/>
    <w:rsid w:val="00BF3201"/>
    <w:rsid w:val="00BF3A8A"/>
    <w:rsid w:val="00BF3F6A"/>
    <w:rsid w:val="00BF5E98"/>
    <w:rsid w:val="00C0037B"/>
    <w:rsid w:val="00C0143B"/>
    <w:rsid w:val="00C014A4"/>
    <w:rsid w:val="00C023B5"/>
    <w:rsid w:val="00C02678"/>
    <w:rsid w:val="00C02F23"/>
    <w:rsid w:val="00C04955"/>
    <w:rsid w:val="00C04CA1"/>
    <w:rsid w:val="00C056A8"/>
    <w:rsid w:val="00C06A38"/>
    <w:rsid w:val="00C074F8"/>
    <w:rsid w:val="00C10841"/>
    <w:rsid w:val="00C113FB"/>
    <w:rsid w:val="00C12508"/>
    <w:rsid w:val="00C1295E"/>
    <w:rsid w:val="00C13289"/>
    <w:rsid w:val="00C13309"/>
    <w:rsid w:val="00C13391"/>
    <w:rsid w:val="00C1401C"/>
    <w:rsid w:val="00C14047"/>
    <w:rsid w:val="00C142B1"/>
    <w:rsid w:val="00C156C9"/>
    <w:rsid w:val="00C15F79"/>
    <w:rsid w:val="00C16B72"/>
    <w:rsid w:val="00C1753B"/>
    <w:rsid w:val="00C20553"/>
    <w:rsid w:val="00C20F5E"/>
    <w:rsid w:val="00C22391"/>
    <w:rsid w:val="00C22F33"/>
    <w:rsid w:val="00C2396A"/>
    <w:rsid w:val="00C23EB7"/>
    <w:rsid w:val="00C240AF"/>
    <w:rsid w:val="00C2588E"/>
    <w:rsid w:val="00C26F11"/>
    <w:rsid w:val="00C27537"/>
    <w:rsid w:val="00C27F9D"/>
    <w:rsid w:val="00C32CA9"/>
    <w:rsid w:val="00C34DB3"/>
    <w:rsid w:val="00C3505C"/>
    <w:rsid w:val="00C357C6"/>
    <w:rsid w:val="00C36DF4"/>
    <w:rsid w:val="00C3703E"/>
    <w:rsid w:val="00C37FC4"/>
    <w:rsid w:val="00C420D2"/>
    <w:rsid w:val="00C424E8"/>
    <w:rsid w:val="00C4365E"/>
    <w:rsid w:val="00C4501B"/>
    <w:rsid w:val="00C453B7"/>
    <w:rsid w:val="00C503AB"/>
    <w:rsid w:val="00C50E21"/>
    <w:rsid w:val="00C515D4"/>
    <w:rsid w:val="00C51ACF"/>
    <w:rsid w:val="00C5253B"/>
    <w:rsid w:val="00C52F17"/>
    <w:rsid w:val="00C5384F"/>
    <w:rsid w:val="00C53A3D"/>
    <w:rsid w:val="00C53E4F"/>
    <w:rsid w:val="00C549FC"/>
    <w:rsid w:val="00C56AB4"/>
    <w:rsid w:val="00C613F0"/>
    <w:rsid w:val="00C61432"/>
    <w:rsid w:val="00C61582"/>
    <w:rsid w:val="00C61B81"/>
    <w:rsid w:val="00C64854"/>
    <w:rsid w:val="00C64960"/>
    <w:rsid w:val="00C65C59"/>
    <w:rsid w:val="00C66311"/>
    <w:rsid w:val="00C674B0"/>
    <w:rsid w:val="00C7002F"/>
    <w:rsid w:val="00C707BF"/>
    <w:rsid w:val="00C70B3D"/>
    <w:rsid w:val="00C7142E"/>
    <w:rsid w:val="00C715D3"/>
    <w:rsid w:val="00C71B12"/>
    <w:rsid w:val="00C745B1"/>
    <w:rsid w:val="00C777A1"/>
    <w:rsid w:val="00C77E57"/>
    <w:rsid w:val="00C83246"/>
    <w:rsid w:val="00C8443A"/>
    <w:rsid w:val="00C8570B"/>
    <w:rsid w:val="00C85C48"/>
    <w:rsid w:val="00C87063"/>
    <w:rsid w:val="00C90E16"/>
    <w:rsid w:val="00C90E53"/>
    <w:rsid w:val="00C92B0F"/>
    <w:rsid w:val="00C92F2F"/>
    <w:rsid w:val="00C9447C"/>
    <w:rsid w:val="00C952E5"/>
    <w:rsid w:val="00CA1460"/>
    <w:rsid w:val="00CA185B"/>
    <w:rsid w:val="00CA188C"/>
    <w:rsid w:val="00CA293F"/>
    <w:rsid w:val="00CA2C06"/>
    <w:rsid w:val="00CA2C2A"/>
    <w:rsid w:val="00CA2EC6"/>
    <w:rsid w:val="00CA38A8"/>
    <w:rsid w:val="00CA4849"/>
    <w:rsid w:val="00CA63D3"/>
    <w:rsid w:val="00CA75E3"/>
    <w:rsid w:val="00CB025C"/>
    <w:rsid w:val="00CB0779"/>
    <w:rsid w:val="00CB0B97"/>
    <w:rsid w:val="00CB1235"/>
    <w:rsid w:val="00CB141F"/>
    <w:rsid w:val="00CB21A4"/>
    <w:rsid w:val="00CB3BF6"/>
    <w:rsid w:val="00CB464D"/>
    <w:rsid w:val="00CB4CC4"/>
    <w:rsid w:val="00CB51DC"/>
    <w:rsid w:val="00CB5545"/>
    <w:rsid w:val="00CB5A57"/>
    <w:rsid w:val="00CB61B1"/>
    <w:rsid w:val="00CB6F31"/>
    <w:rsid w:val="00CB70B9"/>
    <w:rsid w:val="00CB70EC"/>
    <w:rsid w:val="00CB74A8"/>
    <w:rsid w:val="00CB7FAA"/>
    <w:rsid w:val="00CC2A65"/>
    <w:rsid w:val="00CC2B80"/>
    <w:rsid w:val="00CC3855"/>
    <w:rsid w:val="00CC4055"/>
    <w:rsid w:val="00CC42A2"/>
    <w:rsid w:val="00CC44C7"/>
    <w:rsid w:val="00CC78C9"/>
    <w:rsid w:val="00CC7F21"/>
    <w:rsid w:val="00CD084F"/>
    <w:rsid w:val="00CD0CDF"/>
    <w:rsid w:val="00CD18F2"/>
    <w:rsid w:val="00CD1923"/>
    <w:rsid w:val="00CD20C3"/>
    <w:rsid w:val="00CD49F8"/>
    <w:rsid w:val="00CD5131"/>
    <w:rsid w:val="00CD683C"/>
    <w:rsid w:val="00CD6F65"/>
    <w:rsid w:val="00CE0E54"/>
    <w:rsid w:val="00CE18CD"/>
    <w:rsid w:val="00CE1946"/>
    <w:rsid w:val="00CE1DA7"/>
    <w:rsid w:val="00CE265A"/>
    <w:rsid w:val="00CE2795"/>
    <w:rsid w:val="00CE32B1"/>
    <w:rsid w:val="00CE34F1"/>
    <w:rsid w:val="00CE3819"/>
    <w:rsid w:val="00CE41BE"/>
    <w:rsid w:val="00CE4298"/>
    <w:rsid w:val="00CE4AB8"/>
    <w:rsid w:val="00CE526E"/>
    <w:rsid w:val="00CF0616"/>
    <w:rsid w:val="00CF0EB3"/>
    <w:rsid w:val="00CF1E81"/>
    <w:rsid w:val="00CF2C01"/>
    <w:rsid w:val="00CF3D12"/>
    <w:rsid w:val="00CF4D7F"/>
    <w:rsid w:val="00CF5EFB"/>
    <w:rsid w:val="00CF6113"/>
    <w:rsid w:val="00CF7BE2"/>
    <w:rsid w:val="00D008A2"/>
    <w:rsid w:val="00D01EA6"/>
    <w:rsid w:val="00D02234"/>
    <w:rsid w:val="00D0260C"/>
    <w:rsid w:val="00D029AA"/>
    <w:rsid w:val="00D02A00"/>
    <w:rsid w:val="00D02FAD"/>
    <w:rsid w:val="00D04E7B"/>
    <w:rsid w:val="00D05866"/>
    <w:rsid w:val="00D05E99"/>
    <w:rsid w:val="00D072BE"/>
    <w:rsid w:val="00D10CAB"/>
    <w:rsid w:val="00D11758"/>
    <w:rsid w:val="00D1197B"/>
    <w:rsid w:val="00D13574"/>
    <w:rsid w:val="00D14BC6"/>
    <w:rsid w:val="00D14F05"/>
    <w:rsid w:val="00D15FAD"/>
    <w:rsid w:val="00D1687D"/>
    <w:rsid w:val="00D17626"/>
    <w:rsid w:val="00D17CDE"/>
    <w:rsid w:val="00D2143A"/>
    <w:rsid w:val="00D224E9"/>
    <w:rsid w:val="00D22B1C"/>
    <w:rsid w:val="00D2313A"/>
    <w:rsid w:val="00D234BA"/>
    <w:rsid w:val="00D23871"/>
    <w:rsid w:val="00D2422D"/>
    <w:rsid w:val="00D24523"/>
    <w:rsid w:val="00D2468B"/>
    <w:rsid w:val="00D252BB"/>
    <w:rsid w:val="00D260B3"/>
    <w:rsid w:val="00D2659E"/>
    <w:rsid w:val="00D269BC"/>
    <w:rsid w:val="00D272B5"/>
    <w:rsid w:val="00D27758"/>
    <w:rsid w:val="00D309FB"/>
    <w:rsid w:val="00D31385"/>
    <w:rsid w:val="00D32619"/>
    <w:rsid w:val="00D32639"/>
    <w:rsid w:val="00D3386E"/>
    <w:rsid w:val="00D33D39"/>
    <w:rsid w:val="00D341A0"/>
    <w:rsid w:val="00D34FD5"/>
    <w:rsid w:val="00D35EE8"/>
    <w:rsid w:val="00D36560"/>
    <w:rsid w:val="00D40900"/>
    <w:rsid w:val="00D41CF8"/>
    <w:rsid w:val="00D44221"/>
    <w:rsid w:val="00D446C8"/>
    <w:rsid w:val="00D44B0E"/>
    <w:rsid w:val="00D455FB"/>
    <w:rsid w:val="00D463CC"/>
    <w:rsid w:val="00D507FA"/>
    <w:rsid w:val="00D509ED"/>
    <w:rsid w:val="00D509FA"/>
    <w:rsid w:val="00D50A7A"/>
    <w:rsid w:val="00D51406"/>
    <w:rsid w:val="00D52DCE"/>
    <w:rsid w:val="00D535E2"/>
    <w:rsid w:val="00D540E6"/>
    <w:rsid w:val="00D54CDE"/>
    <w:rsid w:val="00D558CA"/>
    <w:rsid w:val="00D55F89"/>
    <w:rsid w:val="00D5607D"/>
    <w:rsid w:val="00D563FD"/>
    <w:rsid w:val="00D56A56"/>
    <w:rsid w:val="00D56C1C"/>
    <w:rsid w:val="00D57A09"/>
    <w:rsid w:val="00D57F55"/>
    <w:rsid w:val="00D6233D"/>
    <w:rsid w:val="00D629BE"/>
    <w:rsid w:val="00D63FCA"/>
    <w:rsid w:val="00D64040"/>
    <w:rsid w:val="00D645A3"/>
    <w:rsid w:val="00D649D5"/>
    <w:rsid w:val="00D65712"/>
    <w:rsid w:val="00D6605D"/>
    <w:rsid w:val="00D672DE"/>
    <w:rsid w:val="00D701D5"/>
    <w:rsid w:val="00D70365"/>
    <w:rsid w:val="00D71048"/>
    <w:rsid w:val="00D7144E"/>
    <w:rsid w:val="00D7154D"/>
    <w:rsid w:val="00D7487D"/>
    <w:rsid w:val="00D75522"/>
    <w:rsid w:val="00D7601C"/>
    <w:rsid w:val="00D77478"/>
    <w:rsid w:val="00D7772A"/>
    <w:rsid w:val="00D81B9E"/>
    <w:rsid w:val="00D82551"/>
    <w:rsid w:val="00D836B4"/>
    <w:rsid w:val="00D836DC"/>
    <w:rsid w:val="00D83F5A"/>
    <w:rsid w:val="00D85790"/>
    <w:rsid w:val="00D8645F"/>
    <w:rsid w:val="00D9469B"/>
    <w:rsid w:val="00D94B54"/>
    <w:rsid w:val="00D95E93"/>
    <w:rsid w:val="00D97E7A"/>
    <w:rsid w:val="00DA010B"/>
    <w:rsid w:val="00DA12A1"/>
    <w:rsid w:val="00DA2BD0"/>
    <w:rsid w:val="00DA2C8B"/>
    <w:rsid w:val="00DA3547"/>
    <w:rsid w:val="00DA3B56"/>
    <w:rsid w:val="00DA48C5"/>
    <w:rsid w:val="00DA6326"/>
    <w:rsid w:val="00DA7AD7"/>
    <w:rsid w:val="00DB0037"/>
    <w:rsid w:val="00DB0D7C"/>
    <w:rsid w:val="00DB25D0"/>
    <w:rsid w:val="00DB4879"/>
    <w:rsid w:val="00DB4FD2"/>
    <w:rsid w:val="00DB5AD7"/>
    <w:rsid w:val="00DB6545"/>
    <w:rsid w:val="00DB7CA5"/>
    <w:rsid w:val="00DC0F23"/>
    <w:rsid w:val="00DC1E5C"/>
    <w:rsid w:val="00DC1E73"/>
    <w:rsid w:val="00DC21CA"/>
    <w:rsid w:val="00DC29F7"/>
    <w:rsid w:val="00DC3167"/>
    <w:rsid w:val="00DC4344"/>
    <w:rsid w:val="00DC4998"/>
    <w:rsid w:val="00DC4B78"/>
    <w:rsid w:val="00DC4B9A"/>
    <w:rsid w:val="00DC5529"/>
    <w:rsid w:val="00DC562C"/>
    <w:rsid w:val="00DC5965"/>
    <w:rsid w:val="00DC675C"/>
    <w:rsid w:val="00DC725E"/>
    <w:rsid w:val="00DC7CC0"/>
    <w:rsid w:val="00DD02C7"/>
    <w:rsid w:val="00DD2A4A"/>
    <w:rsid w:val="00DD2ECC"/>
    <w:rsid w:val="00DD5546"/>
    <w:rsid w:val="00DE29D6"/>
    <w:rsid w:val="00DE37B5"/>
    <w:rsid w:val="00DE4B13"/>
    <w:rsid w:val="00DE545B"/>
    <w:rsid w:val="00DE74D0"/>
    <w:rsid w:val="00DE77D1"/>
    <w:rsid w:val="00DE7E43"/>
    <w:rsid w:val="00DF0C7D"/>
    <w:rsid w:val="00DF1BA1"/>
    <w:rsid w:val="00DF2E67"/>
    <w:rsid w:val="00DF3536"/>
    <w:rsid w:val="00DF4160"/>
    <w:rsid w:val="00DF464C"/>
    <w:rsid w:val="00DF5F73"/>
    <w:rsid w:val="00E007A6"/>
    <w:rsid w:val="00E020DF"/>
    <w:rsid w:val="00E02DF3"/>
    <w:rsid w:val="00E033B2"/>
    <w:rsid w:val="00E051A1"/>
    <w:rsid w:val="00E057D7"/>
    <w:rsid w:val="00E069AD"/>
    <w:rsid w:val="00E079BA"/>
    <w:rsid w:val="00E079C6"/>
    <w:rsid w:val="00E11131"/>
    <w:rsid w:val="00E117AB"/>
    <w:rsid w:val="00E123E5"/>
    <w:rsid w:val="00E14B20"/>
    <w:rsid w:val="00E14F8C"/>
    <w:rsid w:val="00E1579A"/>
    <w:rsid w:val="00E159AE"/>
    <w:rsid w:val="00E15B4D"/>
    <w:rsid w:val="00E17F5A"/>
    <w:rsid w:val="00E210D4"/>
    <w:rsid w:val="00E22076"/>
    <w:rsid w:val="00E2208D"/>
    <w:rsid w:val="00E220C0"/>
    <w:rsid w:val="00E22376"/>
    <w:rsid w:val="00E225AA"/>
    <w:rsid w:val="00E22E91"/>
    <w:rsid w:val="00E22FB9"/>
    <w:rsid w:val="00E2516A"/>
    <w:rsid w:val="00E252B5"/>
    <w:rsid w:val="00E2624B"/>
    <w:rsid w:val="00E26E5F"/>
    <w:rsid w:val="00E26F52"/>
    <w:rsid w:val="00E30670"/>
    <w:rsid w:val="00E30C1E"/>
    <w:rsid w:val="00E31F79"/>
    <w:rsid w:val="00E33C3A"/>
    <w:rsid w:val="00E3440F"/>
    <w:rsid w:val="00E34DAD"/>
    <w:rsid w:val="00E3569E"/>
    <w:rsid w:val="00E35A47"/>
    <w:rsid w:val="00E369B2"/>
    <w:rsid w:val="00E4035D"/>
    <w:rsid w:val="00E41303"/>
    <w:rsid w:val="00E426CB"/>
    <w:rsid w:val="00E427D2"/>
    <w:rsid w:val="00E42B55"/>
    <w:rsid w:val="00E436B5"/>
    <w:rsid w:val="00E43F71"/>
    <w:rsid w:val="00E44043"/>
    <w:rsid w:val="00E44EA0"/>
    <w:rsid w:val="00E4586F"/>
    <w:rsid w:val="00E45D60"/>
    <w:rsid w:val="00E46CE8"/>
    <w:rsid w:val="00E46E25"/>
    <w:rsid w:val="00E47144"/>
    <w:rsid w:val="00E47B65"/>
    <w:rsid w:val="00E47F19"/>
    <w:rsid w:val="00E516AD"/>
    <w:rsid w:val="00E518B4"/>
    <w:rsid w:val="00E5225C"/>
    <w:rsid w:val="00E5255B"/>
    <w:rsid w:val="00E52DE4"/>
    <w:rsid w:val="00E53344"/>
    <w:rsid w:val="00E54A79"/>
    <w:rsid w:val="00E54FC8"/>
    <w:rsid w:val="00E55077"/>
    <w:rsid w:val="00E55482"/>
    <w:rsid w:val="00E55753"/>
    <w:rsid w:val="00E559CC"/>
    <w:rsid w:val="00E55B79"/>
    <w:rsid w:val="00E55F75"/>
    <w:rsid w:val="00E57305"/>
    <w:rsid w:val="00E607F0"/>
    <w:rsid w:val="00E60BB3"/>
    <w:rsid w:val="00E63175"/>
    <w:rsid w:val="00E637E3"/>
    <w:rsid w:val="00E63905"/>
    <w:rsid w:val="00E66292"/>
    <w:rsid w:val="00E667AF"/>
    <w:rsid w:val="00E66FE2"/>
    <w:rsid w:val="00E6782B"/>
    <w:rsid w:val="00E704F0"/>
    <w:rsid w:val="00E709B3"/>
    <w:rsid w:val="00E70E98"/>
    <w:rsid w:val="00E714A0"/>
    <w:rsid w:val="00E72510"/>
    <w:rsid w:val="00E7318B"/>
    <w:rsid w:val="00E7378D"/>
    <w:rsid w:val="00E739B9"/>
    <w:rsid w:val="00E74B72"/>
    <w:rsid w:val="00E76278"/>
    <w:rsid w:val="00E82EE6"/>
    <w:rsid w:val="00E84465"/>
    <w:rsid w:val="00E85284"/>
    <w:rsid w:val="00E858F0"/>
    <w:rsid w:val="00E8755C"/>
    <w:rsid w:val="00E90868"/>
    <w:rsid w:val="00E92033"/>
    <w:rsid w:val="00E924DC"/>
    <w:rsid w:val="00E92D31"/>
    <w:rsid w:val="00E9628E"/>
    <w:rsid w:val="00E97041"/>
    <w:rsid w:val="00E97BAE"/>
    <w:rsid w:val="00EA14C7"/>
    <w:rsid w:val="00EA1A93"/>
    <w:rsid w:val="00EA2359"/>
    <w:rsid w:val="00EA26A6"/>
    <w:rsid w:val="00EA3548"/>
    <w:rsid w:val="00EA42AA"/>
    <w:rsid w:val="00EA4BB3"/>
    <w:rsid w:val="00EA5D1C"/>
    <w:rsid w:val="00EA6235"/>
    <w:rsid w:val="00EA6944"/>
    <w:rsid w:val="00EA7204"/>
    <w:rsid w:val="00EB071A"/>
    <w:rsid w:val="00EB4214"/>
    <w:rsid w:val="00EB64F5"/>
    <w:rsid w:val="00EB6CA1"/>
    <w:rsid w:val="00EB6F27"/>
    <w:rsid w:val="00EB7C16"/>
    <w:rsid w:val="00EC0385"/>
    <w:rsid w:val="00EC0A68"/>
    <w:rsid w:val="00EC113B"/>
    <w:rsid w:val="00EC18C2"/>
    <w:rsid w:val="00EC1BFD"/>
    <w:rsid w:val="00EC1C07"/>
    <w:rsid w:val="00EC1FB2"/>
    <w:rsid w:val="00EC5942"/>
    <w:rsid w:val="00EC6683"/>
    <w:rsid w:val="00EC6CA0"/>
    <w:rsid w:val="00EC703C"/>
    <w:rsid w:val="00EC7EC7"/>
    <w:rsid w:val="00ED03F4"/>
    <w:rsid w:val="00ED046E"/>
    <w:rsid w:val="00ED050C"/>
    <w:rsid w:val="00ED0AAE"/>
    <w:rsid w:val="00ED0BE2"/>
    <w:rsid w:val="00ED0D42"/>
    <w:rsid w:val="00ED1BC3"/>
    <w:rsid w:val="00ED217F"/>
    <w:rsid w:val="00ED236F"/>
    <w:rsid w:val="00ED2A0C"/>
    <w:rsid w:val="00ED2DE2"/>
    <w:rsid w:val="00ED328E"/>
    <w:rsid w:val="00ED3392"/>
    <w:rsid w:val="00ED3462"/>
    <w:rsid w:val="00ED3587"/>
    <w:rsid w:val="00ED36AB"/>
    <w:rsid w:val="00ED3979"/>
    <w:rsid w:val="00ED6D59"/>
    <w:rsid w:val="00EE12CD"/>
    <w:rsid w:val="00EE1A8B"/>
    <w:rsid w:val="00EE2CFF"/>
    <w:rsid w:val="00EE37B9"/>
    <w:rsid w:val="00EE4228"/>
    <w:rsid w:val="00EE44A6"/>
    <w:rsid w:val="00EE5884"/>
    <w:rsid w:val="00EE6BF9"/>
    <w:rsid w:val="00EE6CF0"/>
    <w:rsid w:val="00EE7C4A"/>
    <w:rsid w:val="00EE7C7E"/>
    <w:rsid w:val="00EF09B7"/>
    <w:rsid w:val="00EF0D11"/>
    <w:rsid w:val="00EF202A"/>
    <w:rsid w:val="00EF2332"/>
    <w:rsid w:val="00EF2EAB"/>
    <w:rsid w:val="00EF5713"/>
    <w:rsid w:val="00EF6010"/>
    <w:rsid w:val="00EF6459"/>
    <w:rsid w:val="00EF7295"/>
    <w:rsid w:val="00EF7A8F"/>
    <w:rsid w:val="00EF7CE8"/>
    <w:rsid w:val="00F03A81"/>
    <w:rsid w:val="00F0424F"/>
    <w:rsid w:val="00F04F04"/>
    <w:rsid w:val="00F053E3"/>
    <w:rsid w:val="00F0592B"/>
    <w:rsid w:val="00F06549"/>
    <w:rsid w:val="00F07112"/>
    <w:rsid w:val="00F07EB9"/>
    <w:rsid w:val="00F10EC4"/>
    <w:rsid w:val="00F11C7E"/>
    <w:rsid w:val="00F130A1"/>
    <w:rsid w:val="00F13DF3"/>
    <w:rsid w:val="00F1401D"/>
    <w:rsid w:val="00F1582D"/>
    <w:rsid w:val="00F15D28"/>
    <w:rsid w:val="00F17ABE"/>
    <w:rsid w:val="00F235FB"/>
    <w:rsid w:val="00F2412D"/>
    <w:rsid w:val="00F25521"/>
    <w:rsid w:val="00F25B95"/>
    <w:rsid w:val="00F2687B"/>
    <w:rsid w:val="00F3145C"/>
    <w:rsid w:val="00F3169A"/>
    <w:rsid w:val="00F3191E"/>
    <w:rsid w:val="00F31BFE"/>
    <w:rsid w:val="00F3301B"/>
    <w:rsid w:val="00F33A05"/>
    <w:rsid w:val="00F33A0C"/>
    <w:rsid w:val="00F33B7B"/>
    <w:rsid w:val="00F34AAD"/>
    <w:rsid w:val="00F34F06"/>
    <w:rsid w:val="00F352C1"/>
    <w:rsid w:val="00F3676F"/>
    <w:rsid w:val="00F3792A"/>
    <w:rsid w:val="00F4005A"/>
    <w:rsid w:val="00F4313C"/>
    <w:rsid w:val="00F4427A"/>
    <w:rsid w:val="00F448F0"/>
    <w:rsid w:val="00F467B7"/>
    <w:rsid w:val="00F46D7E"/>
    <w:rsid w:val="00F470E2"/>
    <w:rsid w:val="00F50748"/>
    <w:rsid w:val="00F5193B"/>
    <w:rsid w:val="00F53880"/>
    <w:rsid w:val="00F53F1F"/>
    <w:rsid w:val="00F5425C"/>
    <w:rsid w:val="00F552AE"/>
    <w:rsid w:val="00F55AA1"/>
    <w:rsid w:val="00F55D39"/>
    <w:rsid w:val="00F55D7B"/>
    <w:rsid w:val="00F61132"/>
    <w:rsid w:val="00F612F7"/>
    <w:rsid w:val="00F613E9"/>
    <w:rsid w:val="00F614C6"/>
    <w:rsid w:val="00F61ABE"/>
    <w:rsid w:val="00F62DAD"/>
    <w:rsid w:val="00F637CF"/>
    <w:rsid w:val="00F64176"/>
    <w:rsid w:val="00F6452A"/>
    <w:rsid w:val="00F6454D"/>
    <w:rsid w:val="00F64AE7"/>
    <w:rsid w:val="00F653AB"/>
    <w:rsid w:val="00F65E91"/>
    <w:rsid w:val="00F65FD4"/>
    <w:rsid w:val="00F673CF"/>
    <w:rsid w:val="00F6780B"/>
    <w:rsid w:val="00F70240"/>
    <w:rsid w:val="00F703A9"/>
    <w:rsid w:val="00F70D3E"/>
    <w:rsid w:val="00F70EFF"/>
    <w:rsid w:val="00F7196D"/>
    <w:rsid w:val="00F720EC"/>
    <w:rsid w:val="00F72875"/>
    <w:rsid w:val="00F72B3A"/>
    <w:rsid w:val="00F741A1"/>
    <w:rsid w:val="00F75FAA"/>
    <w:rsid w:val="00F76BF8"/>
    <w:rsid w:val="00F76DD6"/>
    <w:rsid w:val="00F773CD"/>
    <w:rsid w:val="00F80AF4"/>
    <w:rsid w:val="00F8106D"/>
    <w:rsid w:val="00F81980"/>
    <w:rsid w:val="00F8207A"/>
    <w:rsid w:val="00F823B5"/>
    <w:rsid w:val="00F8263D"/>
    <w:rsid w:val="00F82F06"/>
    <w:rsid w:val="00F8350F"/>
    <w:rsid w:val="00F838D9"/>
    <w:rsid w:val="00F85A66"/>
    <w:rsid w:val="00F85C4B"/>
    <w:rsid w:val="00F868FC"/>
    <w:rsid w:val="00F8713B"/>
    <w:rsid w:val="00F90977"/>
    <w:rsid w:val="00F91E90"/>
    <w:rsid w:val="00F928A3"/>
    <w:rsid w:val="00F92929"/>
    <w:rsid w:val="00F92A51"/>
    <w:rsid w:val="00F949A1"/>
    <w:rsid w:val="00F95127"/>
    <w:rsid w:val="00F95567"/>
    <w:rsid w:val="00F9568A"/>
    <w:rsid w:val="00F965AF"/>
    <w:rsid w:val="00F96D52"/>
    <w:rsid w:val="00F9787B"/>
    <w:rsid w:val="00F97897"/>
    <w:rsid w:val="00FA019A"/>
    <w:rsid w:val="00FA0E1F"/>
    <w:rsid w:val="00FA2719"/>
    <w:rsid w:val="00FA2756"/>
    <w:rsid w:val="00FA2FB2"/>
    <w:rsid w:val="00FA4596"/>
    <w:rsid w:val="00FA61C0"/>
    <w:rsid w:val="00FA620A"/>
    <w:rsid w:val="00FA6BD3"/>
    <w:rsid w:val="00FA7025"/>
    <w:rsid w:val="00FA7E19"/>
    <w:rsid w:val="00FB0304"/>
    <w:rsid w:val="00FB1A87"/>
    <w:rsid w:val="00FB1F59"/>
    <w:rsid w:val="00FB200E"/>
    <w:rsid w:val="00FB41E1"/>
    <w:rsid w:val="00FB46B4"/>
    <w:rsid w:val="00FB4CB7"/>
    <w:rsid w:val="00FB60CF"/>
    <w:rsid w:val="00FB6631"/>
    <w:rsid w:val="00FC0D84"/>
    <w:rsid w:val="00FC2EE5"/>
    <w:rsid w:val="00FC2EF4"/>
    <w:rsid w:val="00FC2FE5"/>
    <w:rsid w:val="00FC31DC"/>
    <w:rsid w:val="00FC31E3"/>
    <w:rsid w:val="00FC34E8"/>
    <w:rsid w:val="00FC54E1"/>
    <w:rsid w:val="00FC57E2"/>
    <w:rsid w:val="00FC5886"/>
    <w:rsid w:val="00FC6609"/>
    <w:rsid w:val="00FD1BB2"/>
    <w:rsid w:val="00FD1F03"/>
    <w:rsid w:val="00FD2556"/>
    <w:rsid w:val="00FD2D1E"/>
    <w:rsid w:val="00FD319E"/>
    <w:rsid w:val="00FD55C4"/>
    <w:rsid w:val="00FD7BEC"/>
    <w:rsid w:val="00FE1ACC"/>
    <w:rsid w:val="00FE1FFB"/>
    <w:rsid w:val="00FE21DA"/>
    <w:rsid w:val="00FE2B23"/>
    <w:rsid w:val="00FE2B8F"/>
    <w:rsid w:val="00FE2E26"/>
    <w:rsid w:val="00FE3B7D"/>
    <w:rsid w:val="00FE6103"/>
    <w:rsid w:val="00FE6BAA"/>
    <w:rsid w:val="00FE74D3"/>
    <w:rsid w:val="00FE77C7"/>
    <w:rsid w:val="00FF00DE"/>
    <w:rsid w:val="00FF28E7"/>
    <w:rsid w:val="00FF4BB6"/>
    <w:rsid w:val="00FF60BB"/>
    <w:rsid w:val="00FF7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E0D8C"/>
  <w15:chartTrackingRefBased/>
  <w15:docId w15:val="{E604A844-7B31-417B-82E6-0052BE60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C7E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C7E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C7E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C7E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C7E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C7E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C7E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C7E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C7E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C7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C7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C7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C7EF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C7EF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C7EF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C7EF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C7EF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C7EF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C7E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C7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C7E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C7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C7E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C7EF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C7EF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C7EF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C7E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C7EF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C7EF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71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7186E"/>
  </w:style>
  <w:style w:type="paragraph" w:styleId="Piedepgina">
    <w:name w:val="footer"/>
    <w:basedOn w:val="Normal"/>
    <w:link w:val="PiedepginaCar"/>
    <w:uiPriority w:val="99"/>
    <w:unhideWhenUsed/>
    <w:rsid w:val="00271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7186E"/>
  </w:style>
  <w:style w:type="character" w:styleId="Hipervnculo">
    <w:name w:val="Hyperlink"/>
    <w:uiPriority w:val="99"/>
    <w:unhideWhenUsed/>
    <w:rsid w:val="005D078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34A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0B68C2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862381"/>
    <w:rPr>
      <w:b/>
      <w:bCs/>
    </w:rPr>
  </w:style>
  <w:style w:type="character" w:customStyle="1" w:styleId="ui-provider">
    <w:name w:val="ui-provider"/>
    <w:basedOn w:val="Fuentedeprrafopredeter"/>
    <w:rsid w:val="00B57C78"/>
  </w:style>
  <w:style w:type="character" w:styleId="Refdecomentario">
    <w:name w:val="annotation reference"/>
    <w:basedOn w:val="Fuentedeprrafopredeter"/>
    <w:uiPriority w:val="99"/>
    <w:semiHidden/>
    <w:unhideWhenUsed/>
    <w:rsid w:val="00D836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836D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836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836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836D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660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1C2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bservatoriodelalquiler.org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fundacionalquilerseguro.org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dfe94c-0cad-405c-9c1d-c4b8836841c9">
      <Terms xmlns="http://schemas.microsoft.com/office/infopath/2007/PartnerControls"/>
    </lcf76f155ced4ddcb4097134ff3c332f>
    <TaxCatchAll xmlns="4bdc35ca-d498-4be8-8ca3-0de12fcdb3f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0D4C2C3FA2C46A5823140B444E860" ma:contentTypeVersion="15" ma:contentTypeDescription="Crear nuevo documento." ma:contentTypeScope="" ma:versionID="ace3a986a3e95b06696c9bec3b7247bc">
  <xsd:schema xmlns:xsd="http://www.w3.org/2001/XMLSchema" xmlns:xs="http://www.w3.org/2001/XMLSchema" xmlns:p="http://schemas.microsoft.com/office/2006/metadata/properties" xmlns:ns2="99dfe94c-0cad-405c-9c1d-c4b8836841c9" xmlns:ns3="4bdc35ca-d498-4be8-8ca3-0de12fcdb3f1" targetNamespace="http://schemas.microsoft.com/office/2006/metadata/properties" ma:root="true" ma:fieldsID="3b331e3576cbf7e98bdc73ebacf7eb34" ns2:_="" ns3:_="">
    <xsd:import namespace="99dfe94c-0cad-405c-9c1d-c4b8836841c9"/>
    <xsd:import namespace="4bdc35ca-d498-4be8-8ca3-0de12fcdb3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fe94c-0cad-405c-9c1d-c4b8836841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c7a22f14-e6bf-42fb-8733-2126455cba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dc35ca-d498-4be8-8ca3-0de12fcdb3f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71dbcf6-b935-443d-8293-2932bcb94f36}" ma:internalName="TaxCatchAll" ma:showField="CatchAllData" ma:web="4bdc35ca-d498-4be8-8ca3-0de12fcdb3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3C34E-5050-4B75-94A9-1BE4AF85F0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A03AE-FFBF-4873-98F1-E9C3245E2865}">
  <ds:schemaRefs>
    <ds:schemaRef ds:uri="http://schemas.microsoft.com/office/2006/metadata/properties"/>
    <ds:schemaRef ds:uri="http://schemas.microsoft.com/office/infopath/2007/PartnerControls"/>
    <ds:schemaRef ds:uri="99dfe94c-0cad-405c-9c1d-c4b8836841c9"/>
    <ds:schemaRef ds:uri="4bdc35ca-d498-4be8-8ca3-0de12fcdb3f1"/>
  </ds:schemaRefs>
</ds:datastoreItem>
</file>

<file path=customXml/itemProps3.xml><?xml version="1.0" encoding="utf-8"?>
<ds:datastoreItem xmlns:ds="http://schemas.openxmlformats.org/officeDocument/2006/customXml" ds:itemID="{A7FE21E2-4C61-48EF-99AC-954F68C3F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dfe94c-0cad-405c-9c1d-c4b8836841c9"/>
    <ds:schemaRef ds:uri="4bdc35ca-d498-4be8-8ca3-0de12fcdb3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6B0435-8FF0-42D9-A24A-8D7A9EB2F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5</Pages>
  <Words>1149</Words>
  <Characters>6320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7455</CharactersWithSpaces>
  <SharedDoc>false</SharedDoc>
  <HLinks>
    <vt:vector size="12" baseType="variant">
      <vt:variant>
        <vt:i4>327774</vt:i4>
      </vt:variant>
      <vt:variant>
        <vt:i4>3</vt:i4>
      </vt:variant>
      <vt:variant>
        <vt:i4>0</vt:i4>
      </vt:variant>
      <vt:variant>
        <vt:i4>5</vt:i4>
      </vt:variant>
      <vt:variant>
        <vt:lpwstr>https://fundacionalquilerseguro.org/</vt:lpwstr>
      </vt:variant>
      <vt:variant>
        <vt:lpwstr/>
      </vt:variant>
      <vt:variant>
        <vt:i4>196686</vt:i4>
      </vt:variant>
      <vt:variant>
        <vt:i4>0</vt:i4>
      </vt:variant>
      <vt:variant>
        <vt:i4>0</vt:i4>
      </vt:variant>
      <vt:variant>
        <vt:i4>5</vt:i4>
      </vt:variant>
      <vt:variant>
        <vt:lpwstr>https://observatoriodelalquiler.org/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Negrete | Alquiler Seguro</dc:creator>
  <cp:keywords/>
  <dc:description/>
  <cp:lastModifiedBy>Lucas Tarancón | Alquiler Seguro</cp:lastModifiedBy>
  <cp:revision>328</cp:revision>
  <dcterms:created xsi:type="dcterms:W3CDTF">2025-06-09T11:52:00Z</dcterms:created>
  <dcterms:modified xsi:type="dcterms:W3CDTF">2025-07-08T09:56:00Z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0x010100C630D4C2C3FA2C46A5823140B444E860</vt:lpwstr>
  </property>
  <property fmtid="{D5CDD505-2E9C-101B-9397-08002B2CF9AE}" pid="3" name="MediaServiceImageTags">
    <vt:lpwstr/>
  </property>
</Properties>
</file>