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21AF" w14:textId="49B1FEB9" w:rsidR="002C1652" w:rsidRPr="00A06B8C" w:rsidRDefault="002C1652" w:rsidP="005C4DBD">
      <w:pPr>
        <w:jc w:val="center"/>
        <w:rPr>
          <w:b/>
          <w:color w:val="FF5A00"/>
          <w:sz w:val="32"/>
          <w:szCs w:val="32"/>
        </w:rPr>
      </w:pPr>
      <w:r>
        <w:rPr>
          <w:b/>
          <w:color w:val="FF5A00"/>
          <w:sz w:val="32"/>
          <w:szCs w:val="32"/>
        </w:rPr>
        <w:t xml:space="preserve">LAS ZONAS TENSIONADAS MULTIPLICAN POR CUATRO LA </w:t>
      </w:r>
      <w:r w:rsidR="00EE1A8B">
        <w:rPr>
          <w:b/>
          <w:color w:val="FF5A00"/>
          <w:sz w:val="32"/>
          <w:szCs w:val="32"/>
        </w:rPr>
        <w:t>COMPETENCIA POR</w:t>
      </w:r>
      <w:r>
        <w:rPr>
          <w:b/>
          <w:color w:val="FF5A00"/>
          <w:sz w:val="32"/>
          <w:szCs w:val="32"/>
        </w:rPr>
        <w:t xml:space="preserve"> UNA VIVIENDA </w:t>
      </w:r>
      <w:r w:rsidR="0066637A">
        <w:rPr>
          <w:b/>
          <w:color w:val="FF5A00"/>
          <w:sz w:val="32"/>
          <w:szCs w:val="32"/>
        </w:rPr>
        <w:t>DE</w:t>
      </w:r>
      <w:r>
        <w:rPr>
          <w:b/>
          <w:color w:val="FF5A00"/>
          <w:sz w:val="32"/>
          <w:szCs w:val="32"/>
        </w:rPr>
        <w:t xml:space="preserve"> ALQUILER</w:t>
      </w:r>
    </w:p>
    <w:p w14:paraId="6AE3047D" w14:textId="29518A4E" w:rsidR="005C4DBD" w:rsidRDefault="005C4DBD" w:rsidP="00626CA9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8415A" wp14:editId="7F1588CE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372100" cy="9525"/>
                <wp:effectExtent l="0" t="0" r="19050" b="28575"/>
                <wp:wrapNone/>
                <wp:docPr id="166832554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5A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903ECA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8pt,4.9pt" to="794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" strokecolor="#ff5a00" strokeweight="1.5pt">
                <v:stroke joinstyle="miter"/>
                <w10:wrap anchorx="margin"/>
              </v:line>
            </w:pict>
          </mc:Fallback>
        </mc:AlternateContent>
      </w:r>
    </w:p>
    <w:p w14:paraId="5658C403" w14:textId="4CEBF7A9" w:rsidR="00D260B3" w:rsidRDefault="00D629BE" w:rsidP="00626C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presión del alquiler en España es de 112 interesados por vivienda, pero si se excluye el peso de las comunidades autónomas que han declarado zonas tensionadas, se queda en 65.</w:t>
      </w:r>
    </w:p>
    <w:p w14:paraId="2472D395" w14:textId="6BC91B2B" w:rsidR="007B4A90" w:rsidRDefault="00D629BE" w:rsidP="00626C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 Cataluña y el País Vasco, en cambio, la presión se dispara hasta los 255.</w:t>
      </w:r>
    </w:p>
    <w:p w14:paraId="4CD4D6C2" w14:textId="6804F4DA" w:rsidR="000F5045" w:rsidRDefault="00F81980" w:rsidP="00626C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oferta de vivienda en alquiler aún no ha tocado fondo y seguirá cayendo en </w:t>
      </w:r>
      <w:r w:rsidR="00973C6E">
        <w:rPr>
          <w:b/>
          <w:bCs/>
          <w:sz w:val="24"/>
          <w:szCs w:val="24"/>
        </w:rPr>
        <w:t>35.000 inmuebles más en 2025.</w:t>
      </w:r>
    </w:p>
    <w:p w14:paraId="55CF1779" w14:textId="72C6A58F" w:rsidR="00D629BE" w:rsidRDefault="00291284" w:rsidP="00626C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caída de la oferta en las regiones con zonas tensionadas será del 14,6% en 2025</w:t>
      </w:r>
      <w:r w:rsidR="00397746">
        <w:rPr>
          <w:b/>
          <w:bCs/>
          <w:sz w:val="24"/>
          <w:szCs w:val="24"/>
        </w:rPr>
        <w:t>, frente al 3,3% del resto del país.</w:t>
      </w:r>
    </w:p>
    <w:p w14:paraId="1F4E2E0F" w14:textId="1E87AF02" w:rsidR="00973C6E" w:rsidRDefault="002A7A1D" w:rsidP="00626C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 precio del alquiler ya supera los 1.000€ en once provincias, con Barcelona, Baleares y Madrid a la cabeza.</w:t>
      </w:r>
    </w:p>
    <w:p w14:paraId="254D2468" w14:textId="07405BB2" w:rsidR="00F96D52" w:rsidRPr="00B93553" w:rsidRDefault="00B93553" w:rsidP="00B93553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93B6E4" wp14:editId="7027AA38">
                <wp:simplePos x="0" y="0"/>
                <wp:positionH relativeFrom="margin">
                  <wp:posOffset>5714</wp:posOffset>
                </wp:positionH>
                <wp:positionV relativeFrom="paragraph">
                  <wp:posOffset>80644</wp:posOffset>
                </wp:positionV>
                <wp:extent cx="5381625" cy="19050"/>
                <wp:effectExtent l="0" t="0" r="28575" b="19050"/>
                <wp:wrapNone/>
                <wp:docPr id="16244439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5A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CD64524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6.35pt" to="424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" strokecolor="#ff5a00" strokeweight="1.5pt">
                <v:stroke joinstyle="miter"/>
                <w10:wrap anchorx="margin"/>
              </v:line>
            </w:pict>
          </mc:Fallback>
        </mc:AlternateContent>
      </w:r>
    </w:p>
    <w:p w14:paraId="7A17DEDB" w14:textId="1B42073D" w:rsidR="00FA6BD3" w:rsidRPr="00D70365" w:rsidRDefault="007421CF" w:rsidP="00676D16">
      <w:pPr>
        <w:jc w:val="both"/>
        <w:rPr>
          <w:color w:val="ADADAD" w:themeColor="background2" w:themeShade="BF"/>
        </w:rPr>
      </w:pPr>
      <w:r w:rsidRPr="002C6722">
        <w:rPr>
          <w:color w:val="ADADAD" w:themeColor="background2" w:themeShade="BF"/>
        </w:rPr>
        <w:t xml:space="preserve">Madrid, </w:t>
      </w:r>
      <w:r w:rsidR="000206A5">
        <w:rPr>
          <w:color w:val="ADADAD" w:themeColor="background2" w:themeShade="BF"/>
        </w:rPr>
        <w:t>10</w:t>
      </w:r>
      <w:r w:rsidRPr="002C6722">
        <w:rPr>
          <w:color w:val="ADADAD" w:themeColor="background2" w:themeShade="BF"/>
        </w:rPr>
        <w:t xml:space="preserve"> de </w:t>
      </w:r>
      <w:r w:rsidR="000206A5">
        <w:rPr>
          <w:color w:val="ADADAD" w:themeColor="background2" w:themeShade="BF"/>
        </w:rPr>
        <w:t>abril</w:t>
      </w:r>
      <w:r w:rsidRPr="002C6722">
        <w:rPr>
          <w:color w:val="ADADAD" w:themeColor="background2" w:themeShade="BF"/>
        </w:rPr>
        <w:t xml:space="preserve"> de 202</w:t>
      </w:r>
      <w:r w:rsidR="002B49E7">
        <w:rPr>
          <w:color w:val="ADADAD" w:themeColor="background2" w:themeShade="BF"/>
        </w:rPr>
        <w:t>5</w:t>
      </w:r>
      <w:r w:rsidRPr="002C6722">
        <w:rPr>
          <w:color w:val="ADADAD" w:themeColor="background2" w:themeShade="BF"/>
        </w:rPr>
        <w:t>.</w:t>
      </w:r>
      <w:r w:rsidR="00D70365">
        <w:rPr>
          <w:color w:val="ADADAD" w:themeColor="background2" w:themeShade="BF"/>
        </w:rPr>
        <w:t xml:space="preserve"> </w:t>
      </w:r>
      <w:r w:rsidR="00393206">
        <w:t xml:space="preserve">Un año después de la entrada en vigor de la primera declaración de </w:t>
      </w:r>
      <w:r w:rsidR="00393206" w:rsidRPr="005B6669">
        <w:rPr>
          <w:b/>
          <w:bCs/>
        </w:rPr>
        <w:t>zona tensionada</w:t>
      </w:r>
      <w:r w:rsidR="00393206">
        <w:t xml:space="preserve">, </w:t>
      </w:r>
      <w:r w:rsidR="006428EF">
        <w:t>la presión</w:t>
      </w:r>
      <w:r w:rsidR="00B40742">
        <w:t xml:space="preserve"> del alquiler, es decir, el número de inquilinos que compiten por cada vivienda que sale al mercado, </w:t>
      </w:r>
      <w:r w:rsidR="00D70365">
        <w:t xml:space="preserve">en Cataluña y el País Vasco </w:t>
      </w:r>
      <w:r w:rsidR="00073C3B">
        <w:t xml:space="preserve">es cuatro veces superior a la del resto del país. </w:t>
      </w:r>
      <w:r w:rsidR="00526CA5">
        <w:t xml:space="preserve">En estas dos regiones, las únicas que han puesto en marcha zonas tensionadas hasta ahora, </w:t>
      </w:r>
      <w:r w:rsidR="0066622E">
        <w:t>esta medida ha contribuido a destruir la oferta de inmuebles disponibles para alquilar.</w:t>
      </w:r>
    </w:p>
    <w:p w14:paraId="5420E54B" w14:textId="0C2A0ABC" w:rsidR="00073C3B" w:rsidRDefault="007E5531" w:rsidP="00676D16">
      <w:pPr>
        <w:jc w:val="both"/>
      </w:pPr>
      <w:r>
        <w:t xml:space="preserve">La presión que la demanda ejerce sobre la oferta en el conjunto del mercado del alquiler español es de </w:t>
      </w:r>
      <w:r w:rsidRPr="00AA4655">
        <w:rPr>
          <w:b/>
          <w:bCs/>
        </w:rPr>
        <w:t>112 interesados por vivienda en diez días</w:t>
      </w:r>
      <w:r>
        <w:t xml:space="preserve">, pero si se </w:t>
      </w:r>
      <w:r w:rsidR="003B613F">
        <w:t xml:space="preserve">neutraliza el peso de Cataluña y País Vasco, </w:t>
      </w:r>
      <w:r w:rsidR="003B613F" w:rsidRPr="00AA4655">
        <w:rPr>
          <w:b/>
          <w:bCs/>
        </w:rPr>
        <w:t>la cifra desciende hasta los 60 contactos por inmueble</w:t>
      </w:r>
      <w:r w:rsidR="003B613F">
        <w:t>, un dato mucho más cercano a los 50 que se registraban hace un año.</w:t>
      </w:r>
      <w:r w:rsidR="00E020DF">
        <w:t xml:space="preserve"> En cambio, la presión conjunta de las comunidades autónomas donde se han decretado zonas de mercado tensionado ascendería hasta l</w:t>
      </w:r>
      <w:r w:rsidR="00AA4655">
        <w:t xml:space="preserve">as </w:t>
      </w:r>
      <w:r w:rsidR="00AA4655" w:rsidRPr="00E22FB9">
        <w:rPr>
          <w:b/>
          <w:bCs/>
        </w:rPr>
        <w:t>255 personas</w:t>
      </w:r>
      <w:r w:rsidR="00E22FB9">
        <w:t>.</w:t>
      </w:r>
    </w:p>
    <w:p w14:paraId="694DDE68" w14:textId="77777777" w:rsidR="000D2FF4" w:rsidRDefault="000D2FF4" w:rsidP="000D2FF4">
      <w:pPr>
        <w:jc w:val="both"/>
      </w:pPr>
      <w:r>
        <w:t xml:space="preserve">Así se desprende de la nueva oleada del </w:t>
      </w:r>
      <w:r w:rsidRPr="002A06CF">
        <w:rPr>
          <w:b/>
          <w:bCs/>
        </w:rPr>
        <w:t>Barómetro del Alquiler</w:t>
      </w:r>
      <w:r>
        <w:t xml:space="preserve"> del </w:t>
      </w:r>
      <w:r w:rsidRPr="002A06CF">
        <w:rPr>
          <w:b/>
          <w:bCs/>
        </w:rPr>
        <w:t>Observatorio del Alquiler</w:t>
      </w:r>
      <w:r>
        <w:t xml:space="preserve">, un centro de estudios impulsado por la </w:t>
      </w:r>
      <w:r w:rsidRPr="002A06CF">
        <w:rPr>
          <w:b/>
          <w:bCs/>
        </w:rPr>
        <w:t>Fundación Alquiler Seguro</w:t>
      </w:r>
      <w:r>
        <w:t xml:space="preserve"> y la </w:t>
      </w:r>
      <w:r w:rsidRPr="002A06CF">
        <w:rPr>
          <w:b/>
          <w:bCs/>
        </w:rPr>
        <w:t>Universidad Rey Juan Carlos</w:t>
      </w:r>
      <w:r>
        <w:t>.</w:t>
      </w:r>
    </w:p>
    <w:p w14:paraId="674D9D25" w14:textId="77777777" w:rsidR="00AB42A0" w:rsidRDefault="00AB42A0" w:rsidP="000D2FF4">
      <w:pPr>
        <w:jc w:val="both"/>
      </w:pPr>
    </w:p>
    <w:p w14:paraId="3C719A38" w14:textId="77777777" w:rsidR="00AB42A0" w:rsidRDefault="00AB42A0" w:rsidP="000D2FF4">
      <w:pPr>
        <w:jc w:val="both"/>
      </w:pPr>
    </w:p>
    <w:p w14:paraId="51B85A32" w14:textId="77777777" w:rsidR="00AB42A0" w:rsidRDefault="00AB42A0" w:rsidP="000D2FF4">
      <w:pPr>
        <w:jc w:val="both"/>
      </w:pPr>
    </w:p>
    <w:p w14:paraId="61A30F2C" w14:textId="77777777" w:rsidR="00AB42A0" w:rsidRDefault="00AB42A0" w:rsidP="000D2FF4">
      <w:pPr>
        <w:jc w:val="both"/>
      </w:pPr>
    </w:p>
    <w:p w14:paraId="407BD2AC" w14:textId="62B88FCD" w:rsidR="000D2FF4" w:rsidRPr="00AB42A0" w:rsidRDefault="000D2FF4" w:rsidP="00AB42A0">
      <w:pPr>
        <w:jc w:val="center"/>
        <w:rPr>
          <w:b/>
          <w:bCs/>
        </w:rPr>
      </w:pPr>
      <w:r w:rsidRPr="00AB42A0">
        <w:rPr>
          <w:b/>
          <w:bCs/>
        </w:rPr>
        <w:lastRenderedPageBreak/>
        <w:t xml:space="preserve">GRÁFICO 1. </w:t>
      </w:r>
      <w:r w:rsidR="00AB42A0" w:rsidRPr="00AB42A0">
        <w:rPr>
          <w:b/>
          <w:bCs/>
        </w:rPr>
        <w:t>Impacto de las zonas tensionadas en la presión del alquiler</w:t>
      </w:r>
    </w:p>
    <w:p w14:paraId="65CD7467" w14:textId="65CD6E1E" w:rsidR="00E1579A" w:rsidRPr="00E1579A" w:rsidRDefault="00E1579A" w:rsidP="00E1579A">
      <w:pPr>
        <w:jc w:val="both"/>
      </w:pPr>
      <w:r w:rsidRPr="00E1579A">
        <w:drawing>
          <wp:inline distT="0" distB="0" distL="0" distR="0" wp14:anchorId="00A21A09" wp14:editId="0FE886A8">
            <wp:extent cx="5400040" cy="2687320"/>
            <wp:effectExtent l="0" t="0" r="0" b="0"/>
            <wp:docPr id="1292585992" name="Imagen 4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85992" name="Imagen 4" descr="Imagen que contiene 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9"/>
                    <a:stretch/>
                  </pic:blipFill>
                  <pic:spPr bwMode="auto">
                    <a:xfrm>
                      <a:off x="0" y="0"/>
                      <a:ext cx="540004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FDC41" w14:textId="6EC62F3D" w:rsidR="00713B2A" w:rsidRDefault="00E55482" w:rsidP="00676D16">
      <w:pPr>
        <w:jc w:val="both"/>
      </w:pPr>
      <w:r>
        <w:t xml:space="preserve">En el conjunto del país, la presión </w:t>
      </w:r>
      <w:r w:rsidR="00E97041">
        <w:t xml:space="preserve">del alquiler se ha disparado en el último año, aunque </w:t>
      </w:r>
      <w:r w:rsidR="000947E9">
        <w:t xml:space="preserve">se ha reducido en estos últimos tres meses, </w:t>
      </w:r>
      <w:r w:rsidR="00D1197B">
        <w:t xml:space="preserve">un efecto esperado por las oscilaciones temporales que afectan al mercado. </w:t>
      </w:r>
    </w:p>
    <w:p w14:paraId="64B98C3C" w14:textId="5C00BB8A" w:rsidR="007D5B56" w:rsidRDefault="007D5B56" w:rsidP="00676D16">
      <w:pPr>
        <w:jc w:val="both"/>
      </w:pPr>
      <w:r>
        <w:t xml:space="preserve">Sin embargo, </w:t>
      </w:r>
      <w:r w:rsidR="002A0A3C">
        <w:t xml:space="preserve">la presión es muy desigual entre los diferentes territorios del país. </w:t>
      </w:r>
      <w:r w:rsidR="00462ECC" w:rsidRPr="00942F85">
        <w:rPr>
          <w:b/>
          <w:bCs/>
        </w:rPr>
        <w:t>Barcelona</w:t>
      </w:r>
      <w:r w:rsidR="00462ECC">
        <w:t xml:space="preserve"> sigue siendo la provincia con la presión más alta, con un total de </w:t>
      </w:r>
      <w:r w:rsidR="00462ECC" w:rsidRPr="00942F85">
        <w:rPr>
          <w:b/>
          <w:bCs/>
        </w:rPr>
        <w:t>341 interesados por vivienda en diez días</w:t>
      </w:r>
      <w:r w:rsidR="00462ECC">
        <w:t xml:space="preserve">, seguida de </w:t>
      </w:r>
      <w:r w:rsidR="00462ECC" w:rsidRPr="00942F85">
        <w:rPr>
          <w:b/>
          <w:bCs/>
        </w:rPr>
        <w:t>Baleares</w:t>
      </w:r>
      <w:r w:rsidR="00462ECC">
        <w:t xml:space="preserve">, con </w:t>
      </w:r>
      <w:r w:rsidR="00D234BA">
        <w:t xml:space="preserve">142, y de </w:t>
      </w:r>
      <w:r w:rsidR="00D234BA" w:rsidRPr="00942F85">
        <w:rPr>
          <w:b/>
          <w:bCs/>
        </w:rPr>
        <w:t>Las Palmas</w:t>
      </w:r>
      <w:r w:rsidR="00D234BA">
        <w:t>, con 134. Por encima de los 100 contactos por inmueble</w:t>
      </w:r>
      <w:r w:rsidR="005F0C15">
        <w:t>,</w:t>
      </w:r>
      <w:r w:rsidR="00D234BA">
        <w:t xml:space="preserve"> se encuentran también </w:t>
      </w:r>
      <w:r w:rsidR="00D234BA" w:rsidRPr="00942F85">
        <w:rPr>
          <w:b/>
          <w:bCs/>
        </w:rPr>
        <w:t>Girona</w:t>
      </w:r>
      <w:r w:rsidR="00D234BA">
        <w:t xml:space="preserve"> (106), </w:t>
      </w:r>
      <w:r w:rsidR="00D234BA" w:rsidRPr="00942F85">
        <w:rPr>
          <w:b/>
          <w:bCs/>
        </w:rPr>
        <w:t>Vizcaya</w:t>
      </w:r>
      <w:r w:rsidR="00D234BA">
        <w:t xml:space="preserve"> (113), </w:t>
      </w:r>
      <w:r w:rsidR="00D234BA" w:rsidRPr="00942F85">
        <w:rPr>
          <w:b/>
          <w:bCs/>
        </w:rPr>
        <w:t>Tarragona</w:t>
      </w:r>
      <w:r w:rsidR="00D234BA">
        <w:t xml:space="preserve"> (102)</w:t>
      </w:r>
      <w:r w:rsidR="008D0553">
        <w:t xml:space="preserve">, </w:t>
      </w:r>
      <w:r w:rsidR="008D0553" w:rsidRPr="00942F85">
        <w:rPr>
          <w:b/>
          <w:bCs/>
        </w:rPr>
        <w:t>Santa Cruz de Tenerife</w:t>
      </w:r>
      <w:r w:rsidR="008D0553">
        <w:t xml:space="preserve"> (101), </w:t>
      </w:r>
      <w:r w:rsidR="008D0553" w:rsidRPr="00942F85">
        <w:rPr>
          <w:b/>
          <w:bCs/>
        </w:rPr>
        <w:t>Madrid</w:t>
      </w:r>
      <w:r w:rsidR="008D0553">
        <w:t xml:space="preserve"> (101) y </w:t>
      </w:r>
      <w:r w:rsidR="008D0553" w:rsidRPr="00942F85">
        <w:rPr>
          <w:b/>
          <w:bCs/>
        </w:rPr>
        <w:t>Valencia</w:t>
      </w:r>
      <w:r w:rsidR="008D0553">
        <w:t xml:space="preserve"> (100).</w:t>
      </w:r>
    </w:p>
    <w:p w14:paraId="117AB3E5" w14:textId="430C1AC4" w:rsidR="00B23483" w:rsidRPr="000C22F5" w:rsidRDefault="00B23483" w:rsidP="00676D16">
      <w:pPr>
        <w:jc w:val="both"/>
        <w:rPr>
          <w:b/>
          <w:bCs/>
          <w:color w:val="FF5A00"/>
        </w:rPr>
      </w:pPr>
      <w:r w:rsidRPr="000C22F5">
        <w:rPr>
          <w:b/>
          <w:bCs/>
          <w:color w:val="FF5A00"/>
        </w:rPr>
        <w:t>LA OFERTA CAE</w:t>
      </w:r>
      <w:r w:rsidR="00D64040">
        <w:rPr>
          <w:b/>
          <w:bCs/>
          <w:color w:val="FF5A00"/>
        </w:rPr>
        <w:t xml:space="preserve">RÁ EN 2025 </w:t>
      </w:r>
      <w:r w:rsidR="00A1356C">
        <w:rPr>
          <w:b/>
          <w:bCs/>
          <w:color w:val="FF5A00"/>
        </w:rPr>
        <w:t>UN 4,9%</w:t>
      </w:r>
      <w:r w:rsidRPr="000C22F5">
        <w:rPr>
          <w:b/>
          <w:bCs/>
          <w:color w:val="FF5A00"/>
        </w:rPr>
        <w:t xml:space="preserve">, </w:t>
      </w:r>
      <w:r w:rsidR="00A1356C">
        <w:rPr>
          <w:b/>
          <w:bCs/>
          <w:color w:val="FF5A00"/>
        </w:rPr>
        <w:t>MENOS QUE EN 2024</w:t>
      </w:r>
    </w:p>
    <w:p w14:paraId="2AF23997" w14:textId="67744F2F" w:rsidR="00B23483" w:rsidRDefault="00B1038D" w:rsidP="00676D16">
      <w:pPr>
        <w:jc w:val="both"/>
      </w:pPr>
      <w:r>
        <w:t>El crecimiento continuado de la presión de la demanda se explica por la escasez de oferta. Cuant</w:t>
      </w:r>
      <w:r w:rsidR="00677F01">
        <w:t>os menos inmuebles</w:t>
      </w:r>
      <w:r>
        <w:t xml:space="preserve"> hay en el mercado de alquiler residencial, m</w:t>
      </w:r>
      <w:r w:rsidR="00677F01">
        <w:t xml:space="preserve">ayor es la competencia entre los inquilinos por acceder a una vivienda. Y es que, observando el comportamiento de la oferta en este primer trimestre de 2025, la previsión del Observatorio del Alquiler para este año es que </w:t>
      </w:r>
      <w:r w:rsidR="00677F01" w:rsidRPr="000C457E">
        <w:rPr>
          <w:b/>
          <w:bCs/>
        </w:rPr>
        <w:t xml:space="preserve">la oferta caiga desde los 717.338 </w:t>
      </w:r>
      <w:r w:rsidR="0070476F" w:rsidRPr="000C457E">
        <w:rPr>
          <w:b/>
          <w:bCs/>
        </w:rPr>
        <w:t>inmuebles que se ofertaron en 2024 hasta los 681.920</w:t>
      </w:r>
      <w:r w:rsidR="00B7034B">
        <w:t xml:space="preserve">, </w:t>
      </w:r>
      <w:r w:rsidR="00FA2719">
        <w:t xml:space="preserve">es decir, </w:t>
      </w:r>
      <w:r w:rsidR="00EC5942">
        <w:t>35.418 menos.</w:t>
      </w:r>
    </w:p>
    <w:p w14:paraId="0E7BA8A3" w14:textId="3CAEE378" w:rsidR="0070476F" w:rsidRDefault="007F5C5C" w:rsidP="00676D16">
      <w:pPr>
        <w:jc w:val="both"/>
      </w:pPr>
      <w:r>
        <w:t xml:space="preserve">Con todo, </w:t>
      </w:r>
      <w:r w:rsidRPr="000C457E">
        <w:rPr>
          <w:b/>
          <w:bCs/>
        </w:rPr>
        <w:t>la caída prevista es del 4,9%</w:t>
      </w:r>
      <w:r>
        <w:t>, considerablemente menor a la que registró el mercado entre 202</w:t>
      </w:r>
      <w:r w:rsidR="005E42F4">
        <w:t xml:space="preserve">3 y 2024, que fue del </w:t>
      </w:r>
      <w:r w:rsidR="00430CBB">
        <w:t xml:space="preserve">11,9%. </w:t>
      </w:r>
      <w:r w:rsidR="008B7EA7">
        <w:t xml:space="preserve">De cualquier manera, la tendencia muestra que la caída de oferta se va estabilizando, pero que </w:t>
      </w:r>
      <w:r w:rsidR="008B7EA7" w:rsidRPr="006C5B85">
        <w:rPr>
          <w:b/>
          <w:bCs/>
        </w:rPr>
        <w:t>todavía no ha tocado fondo</w:t>
      </w:r>
      <w:r w:rsidR="008B7EA7">
        <w:t xml:space="preserve">, </w:t>
      </w:r>
      <w:r w:rsidR="00B5770E">
        <w:t>y no parece que vaya a remontar mientras se mantengan las condiciones actuales.</w:t>
      </w:r>
    </w:p>
    <w:p w14:paraId="1096DD36" w14:textId="26F92872" w:rsidR="000C22F5" w:rsidRDefault="000C22F5" w:rsidP="00676D16">
      <w:pPr>
        <w:jc w:val="both"/>
      </w:pPr>
      <w:r>
        <w:t>Por provincias, Barcelona sería la que más viviendas perdería, con una estimación de un</w:t>
      </w:r>
      <w:r w:rsidR="00DA48C5">
        <w:t>os 12.000 inmuebles menos. Destacan también Cádiz</w:t>
      </w:r>
      <w:r w:rsidR="00BC3860">
        <w:t xml:space="preserve"> (-4.624), Madrid (-3.816), Sevilla (-3.215) o Asturias (-1.831).</w:t>
      </w:r>
    </w:p>
    <w:p w14:paraId="7DF8FD50" w14:textId="7132120F" w:rsidR="00382519" w:rsidRDefault="008118B7" w:rsidP="008B27C4">
      <w:pPr>
        <w:jc w:val="both"/>
      </w:pPr>
      <w:r>
        <w:lastRenderedPageBreak/>
        <w:t xml:space="preserve">De nuevo, la </w:t>
      </w:r>
      <w:r w:rsidR="00C7142E">
        <w:t>reducción</w:t>
      </w:r>
      <w:r>
        <w:t xml:space="preserve"> de</w:t>
      </w:r>
      <w:r w:rsidR="00C7142E">
        <w:t xml:space="preserve"> la</w:t>
      </w:r>
      <w:r>
        <w:t xml:space="preserve"> oferta será mucho mayor en las comunidades autónomas con zonas tensionadas.</w:t>
      </w:r>
      <w:r w:rsidR="00757D3F">
        <w:t xml:space="preserve"> El número de viviendas disponibles para alquilar caerá en todo el conjunto del país en un 4,9%, pero si se elimina el efecto de Cataluña y el País Vasco, </w:t>
      </w:r>
      <w:r w:rsidR="00757D3F" w:rsidRPr="00213CC4">
        <w:rPr>
          <w:b/>
          <w:bCs/>
        </w:rPr>
        <w:t>la pérdida se reduce al 3,3%.</w:t>
      </w:r>
      <w:r w:rsidR="00757D3F">
        <w:t xml:space="preserve"> En cambio, en estas dos regiones, la disminución será del 1</w:t>
      </w:r>
      <w:r w:rsidR="004F2FCF">
        <w:t>2</w:t>
      </w:r>
      <w:r w:rsidR="00757D3F">
        <w:t>,</w:t>
      </w:r>
      <w:r w:rsidR="004F2FCF">
        <w:t>5</w:t>
      </w:r>
      <w:r w:rsidR="00757D3F">
        <w:t>%.</w:t>
      </w:r>
    </w:p>
    <w:p w14:paraId="6DA999F9" w14:textId="6CC18E68" w:rsidR="00941056" w:rsidRPr="00941056" w:rsidRDefault="00AB42A0" w:rsidP="00941056">
      <w:pPr>
        <w:jc w:val="center"/>
        <w:rPr>
          <w:b/>
          <w:bCs/>
        </w:rPr>
      </w:pPr>
      <w:r w:rsidRPr="00AB42A0">
        <w:rPr>
          <w:b/>
          <w:bCs/>
        </w:rPr>
        <w:t>GRÁFICO 2. Impacto de las zonas tensionadas en la caída de la oferta</w:t>
      </w:r>
    </w:p>
    <w:p w14:paraId="30341FCC" w14:textId="0FE20A16" w:rsidR="00C3505C" w:rsidRDefault="00C3505C" w:rsidP="00941056">
      <w:pPr>
        <w:jc w:val="center"/>
      </w:pPr>
      <w:r w:rsidRPr="00C3505C">
        <w:drawing>
          <wp:inline distT="0" distB="0" distL="0" distR="0" wp14:anchorId="6DB0422C" wp14:editId="140525E6">
            <wp:extent cx="5252231" cy="3383280"/>
            <wp:effectExtent l="0" t="0" r="0" b="0"/>
            <wp:docPr id="1073203823" name="Imagen 6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03823" name="Imagen 6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t="5267" r="12088" b="6188"/>
                    <a:stretch/>
                  </pic:blipFill>
                  <pic:spPr bwMode="auto">
                    <a:xfrm>
                      <a:off x="0" y="0"/>
                      <a:ext cx="5260227" cy="338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78CB7" w14:textId="4659E90E" w:rsidR="00757D3F" w:rsidRPr="000D143C" w:rsidRDefault="00757D3F" w:rsidP="008B27C4">
      <w:pPr>
        <w:jc w:val="both"/>
        <w:rPr>
          <w:b/>
          <w:bCs/>
          <w:color w:val="FF5A00"/>
        </w:rPr>
      </w:pPr>
      <w:r w:rsidRPr="000D143C">
        <w:rPr>
          <w:b/>
          <w:bCs/>
          <w:color w:val="FF5A00"/>
        </w:rPr>
        <w:t>PRECIOS DE MÁS DE 1.000€ EN ONCE PROVINCIAS</w:t>
      </w:r>
    </w:p>
    <w:p w14:paraId="1E7D15DF" w14:textId="10540F30" w:rsidR="00757D3F" w:rsidRDefault="00757D3F" w:rsidP="008B27C4">
      <w:pPr>
        <w:jc w:val="both"/>
      </w:pPr>
      <w:r>
        <w:t xml:space="preserve">Otro dato interesante que arroja esta nueva oleada del Barómetro del Alquiler es que, </w:t>
      </w:r>
      <w:r w:rsidRPr="00213CC4">
        <w:rPr>
          <w:b/>
          <w:bCs/>
        </w:rPr>
        <w:t>por primera vez, diez provincias superan ya los 1.000€ de media en el precio del alquiler</w:t>
      </w:r>
      <w:r>
        <w:t xml:space="preserve">. </w:t>
      </w:r>
      <w:r w:rsidRPr="00213CC4">
        <w:rPr>
          <w:b/>
          <w:bCs/>
        </w:rPr>
        <w:t>Barcelona</w:t>
      </w:r>
      <w:r w:rsidR="00D56A56">
        <w:t xml:space="preserve"> (16.49€) se impone a </w:t>
      </w:r>
      <w:r w:rsidR="00D56A56" w:rsidRPr="00213CC4">
        <w:rPr>
          <w:b/>
          <w:bCs/>
        </w:rPr>
        <w:t>Baleares</w:t>
      </w:r>
      <w:r w:rsidR="00D56A56">
        <w:t xml:space="preserve"> (</w:t>
      </w:r>
      <w:r w:rsidR="00874551">
        <w:t xml:space="preserve">1.641€), que hace un año era la más cara, lo que pone en duda la eficacia de la declaración de zonas tensionadas para contener las subidas de precios. </w:t>
      </w:r>
    </w:p>
    <w:p w14:paraId="7A009EE6" w14:textId="2F599E84" w:rsidR="00874551" w:rsidRDefault="00874551" w:rsidP="008B27C4">
      <w:pPr>
        <w:jc w:val="both"/>
      </w:pPr>
      <w:r>
        <w:t xml:space="preserve">También por encima de los 1.000€ se encuentran </w:t>
      </w:r>
      <w:r w:rsidR="00560336" w:rsidRPr="00483FC0">
        <w:rPr>
          <w:b/>
          <w:bCs/>
        </w:rPr>
        <w:t>Madrid</w:t>
      </w:r>
      <w:r w:rsidR="00560336">
        <w:t xml:space="preserve"> (1.558€), </w:t>
      </w:r>
      <w:r w:rsidR="00560336" w:rsidRPr="00483FC0">
        <w:rPr>
          <w:b/>
          <w:bCs/>
        </w:rPr>
        <w:t>Guipúzcoa</w:t>
      </w:r>
      <w:r w:rsidR="00560336">
        <w:t xml:space="preserve"> (1.465€), </w:t>
      </w:r>
      <w:r w:rsidR="00560336" w:rsidRPr="00483FC0">
        <w:rPr>
          <w:b/>
          <w:bCs/>
        </w:rPr>
        <w:t>Vizcaya</w:t>
      </w:r>
      <w:r w:rsidR="00560336">
        <w:t xml:space="preserve"> (1.289€), </w:t>
      </w:r>
      <w:r w:rsidR="00560336" w:rsidRPr="00483FC0">
        <w:rPr>
          <w:b/>
          <w:bCs/>
        </w:rPr>
        <w:t>Málaga</w:t>
      </w:r>
      <w:r w:rsidR="00560336">
        <w:t xml:space="preserve"> (1.258€), </w:t>
      </w:r>
      <w:r w:rsidR="00560336" w:rsidRPr="00483FC0">
        <w:rPr>
          <w:b/>
          <w:bCs/>
        </w:rPr>
        <w:t>Las Palmas</w:t>
      </w:r>
      <w:r w:rsidR="00560336">
        <w:t xml:space="preserve"> (1.112€), </w:t>
      </w:r>
      <w:r w:rsidR="00560336" w:rsidRPr="00483FC0">
        <w:rPr>
          <w:b/>
          <w:bCs/>
        </w:rPr>
        <w:t>Valencia</w:t>
      </w:r>
      <w:r w:rsidR="00560336">
        <w:t xml:space="preserve"> (1.081€), </w:t>
      </w:r>
      <w:r w:rsidR="00560336" w:rsidRPr="00483FC0">
        <w:rPr>
          <w:b/>
          <w:bCs/>
        </w:rPr>
        <w:t>Santa Cruz de Tenerife</w:t>
      </w:r>
      <w:r w:rsidR="00560336">
        <w:t xml:space="preserve"> (1.064€), </w:t>
      </w:r>
      <w:r w:rsidR="00560336" w:rsidRPr="00483FC0">
        <w:rPr>
          <w:b/>
          <w:bCs/>
        </w:rPr>
        <w:t>Álava</w:t>
      </w:r>
      <w:r w:rsidR="00560336">
        <w:t xml:space="preserve"> (1.030€) y </w:t>
      </w:r>
      <w:r w:rsidR="00560336" w:rsidRPr="00483FC0">
        <w:rPr>
          <w:b/>
          <w:bCs/>
        </w:rPr>
        <w:t>Navarra</w:t>
      </w:r>
      <w:r w:rsidR="00560336">
        <w:t xml:space="preserve"> (1.011€).</w:t>
      </w:r>
    </w:p>
    <w:p w14:paraId="167C2CC8" w14:textId="65A86DF9" w:rsidR="00AB42A0" w:rsidRDefault="00560336" w:rsidP="003D6569">
      <w:pPr>
        <w:jc w:val="both"/>
      </w:pPr>
      <w:r>
        <w:t xml:space="preserve">Además de en estos lugares, </w:t>
      </w:r>
      <w:r w:rsidRPr="00F62DAD">
        <w:rPr>
          <w:b/>
          <w:bCs/>
        </w:rPr>
        <w:t xml:space="preserve">los precios suben de forma generalizada un </w:t>
      </w:r>
      <w:r w:rsidR="003521C2" w:rsidRPr="00F62DAD">
        <w:rPr>
          <w:b/>
          <w:bCs/>
        </w:rPr>
        <w:t>7,2% interanual y un 2,5% desde finales de 2024</w:t>
      </w:r>
      <w:r w:rsidR="003521C2">
        <w:t xml:space="preserve">, hasta situarse en una media nacional de </w:t>
      </w:r>
      <w:r w:rsidR="003521C2" w:rsidRPr="00F62DAD">
        <w:rPr>
          <w:b/>
          <w:bCs/>
        </w:rPr>
        <w:t>1.146€.</w:t>
      </w:r>
      <w:r w:rsidR="003521C2">
        <w:t xml:space="preserve"> </w:t>
      </w:r>
      <w:r w:rsidR="003D6569">
        <w:t xml:space="preserve">Las </w:t>
      </w:r>
      <w:r w:rsidR="003D6569" w:rsidRPr="00B7530C">
        <w:rPr>
          <w:b/>
          <w:bCs/>
        </w:rPr>
        <w:t>provincias donde más ha</w:t>
      </w:r>
      <w:r w:rsidR="000D143C">
        <w:rPr>
          <w:b/>
          <w:bCs/>
        </w:rPr>
        <w:t xml:space="preserve"> aumentado </w:t>
      </w:r>
      <w:r w:rsidR="003D6569" w:rsidRPr="00B7530C">
        <w:rPr>
          <w:b/>
          <w:bCs/>
        </w:rPr>
        <w:t xml:space="preserve">el precio en este trimestre </w:t>
      </w:r>
      <w:r w:rsidR="003D6569">
        <w:t xml:space="preserve">son Ciudad Real (+8,9%), Zamora (+8,3%) y Soria (+7,7%). En cambio, los mayores </w:t>
      </w:r>
      <w:r w:rsidR="003D6569" w:rsidRPr="00B7530C">
        <w:rPr>
          <w:b/>
          <w:bCs/>
        </w:rPr>
        <w:t>crecimientos interanuales</w:t>
      </w:r>
      <w:r w:rsidR="003D6569">
        <w:t xml:space="preserve"> se han producido en Guadalajara (+10,6%), Zaragoza (+10,5%), Valladolid (+10,2%) y Soria (+10%).</w:t>
      </w:r>
    </w:p>
    <w:p w14:paraId="1265F3A8" w14:textId="126D98CB" w:rsidR="00941056" w:rsidRPr="00941056" w:rsidRDefault="00AB42A0" w:rsidP="00941056">
      <w:pPr>
        <w:jc w:val="center"/>
        <w:rPr>
          <w:b/>
          <w:bCs/>
        </w:rPr>
      </w:pPr>
      <w:r w:rsidRPr="00AB42A0">
        <w:rPr>
          <w:b/>
          <w:bCs/>
        </w:rPr>
        <w:lastRenderedPageBreak/>
        <w:t xml:space="preserve">GRÁFICO 3. </w:t>
      </w:r>
      <w:r>
        <w:rPr>
          <w:b/>
          <w:bCs/>
        </w:rPr>
        <w:t>Mapa del precio medio del alquiler por provincias</w:t>
      </w:r>
    </w:p>
    <w:p w14:paraId="7AA9E8C4" w14:textId="5B0CBAC5" w:rsidR="00AB42A0" w:rsidRDefault="00AB42A0" w:rsidP="00941056">
      <w:pPr>
        <w:jc w:val="center"/>
      </w:pPr>
      <w:r w:rsidRPr="00C3505C">
        <w:drawing>
          <wp:inline distT="0" distB="0" distL="0" distR="0" wp14:anchorId="19AF04F3" wp14:editId="0561CD14">
            <wp:extent cx="5266153" cy="3733800"/>
            <wp:effectExtent l="0" t="0" r="0" b="0"/>
            <wp:docPr id="2109799470" name="Imagen 8" descr="Dibujo de la tierra desde el espac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99470" name="Imagen 8" descr="Dibujo de la tierra desde el espaci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9" r="6987"/>
                    <a:stretch/>
                  </pic:blipFill>
                  <pic:spPr bwMode="auto">
                    <a:xfrm>
                      <a:off x="0" y="0"/>
                      <a:ext cx="5273047" cy="373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57B1B" w14:textId="77777777" w:rsidR="00735473" w:rsidRDefault="00735473" w:rsidP="008B27C4">
      <w:pPr>
        <w:jc w:val="both"/>
      </w:pPr>
    </w:p>
    <w:p w14:paraId="1717C15D" w14:textId="77777777" w:rsidR="00941056" w:rsidRPr="00481932" w:rsidRDefault="00941056" w:rsidP="008B27C4">
      <w:pPr>
        <w:jc w:val="both"/>
      </w:pPr>
    </w:p>
    <w:p w14:paraId="790F807C" w14:textId="77777777" w:rsidR="00EB64F5" w:rsidRPr="00AC1A9D" w:rsidRDefault="00EB64F5" w:rsidP="00EB64F5">
      <w:pPr>
        <w:pBdr>
          <w:top w:val="single" w:sz="4" w:space="1" w:color="FF5A00"/>
        </w:pBdr>
        <w:jc w:val="both"/>
        <w:rPr>
          <w:rFonts w:ascii="Gill Sans Nova Light" w:hAnsi="Gill Sans Nova Light" w:cs="Arial"/>
          <w:color w:val="FF5A00"/>
          <w:sz w:val="20"/>
        </w:rPr>
      </w:pPr>
      <w:bookmarkStart w:id="0" w:name="_Hlk113896170"/>
      <w:r w:rsidRPr="00AC1A9D">
        <w:rPr>
          <w:rFonts w:ascii="Gill Sans Nova Light" w:hAnsi="Gill Sans Nova Light" w:cs="Arial"/>
          <w:sz w:val="20"/>
          <w:lang w:val="pt-PT"/>
        </w:rPr>
        <w:t>Acerca de la</w:t>
      </w:r>
      <w:r w:rsidRPr="00AC1A9D">
        <w:rPr>
          <w:rFonts w:ascii="Gill Sans Nova Light" w:hAnsi="Gill Sans Nova Light" w:cs="Arial"/>
          <w:b/>
          <w:color w:val="1E6BAF"/>
          <w:sz w:val="20"/>
          <w:lang w:val="pt-PT"/>
        </w:rPr>
        <w:t xml:space="preserve"> </w:t>
      </w:r>
      <w:r w:rsidRPr="00AC1A9D">
        <w:rPr>
          <w:rFonts w:ascii="Gill Sans Nova Light" w:hAnsi="Gill Sans Nova Light" w:cs="Arial"/>
          <w:b/>
          <w:color w:val="FF5A00"/>
          <w:sz w:val="20"/>
          <w:lang w:val="pt-PT"/>
        </w:rPr>
        <w:t>Fundación Alquiler Seguro</w:t>
      </w:r>
      <w:r w:rsidRPr="00AC1A9D">
        <w:rPr>
          <w:rFonts w:ascii="Gill Sans Nova Light" w:hAnsi="Gill Sans Nova Light" w:cs="Arial"/>
          <w:sz w:val="20"/>
          <w:lang w:val="pt-PT"/>
        </w:rPr>
        <w:t xml:space="preserve"> | </w:t>
      </w:r>
      <w:hyperlink r:id="rId14" w:history="1">
        <w:r w:rsidRPr="00AC1A9D">
          <w:rPr>
            <w:rStyle w:val="Hipervnculo"/>
            <w:rFonts w:ascii="Gill Sans Nova Light" w:hAnsi="Gill Sans Nova Light" w:cs="Arial"/>
            <w:color w:val="FF5A00"/>
            <w:sz w:val="20"/>
          </w:rPr>
          <w:t>fundacionalquilerseguro.org</w:t>
        </w:r>
      </w:hyperlink>
    </w:p>
    <w:p w14:paraId="62C10A75" w14:textId="77777777" w:rsidR="00EB64F5" w:rsidRPr="00AC1A9D" w:rsidRDefault="00EB64F5" w:rsidP="00EB64F5">
      <w:pPr>
        <w:pBdr>
          <w:top w:val="single" w:sz="4" w:space="1" w:color="FF5A00"/>
        </w:pBdr>
        <w:jc w:val="both"/>
        <w:rPr>
          <w:rFonts w:ascii="Gilroy-Regular" w:hAnsi="Gilroy-Regular" w:cs="Arial"/>
          <w:color w:val="000000"/>
          <w:sz w:val="18"/>
          <w:szCs w:val="18"/>
        </w:rPr>
      </w:pPr>
      <w:bookmarkStart w:id="1" w:name="_Hlk114649558"/>
      <w:bookmarkEnd w:id="0"/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El </w:t>
      </w:r>
      <w:r w:rsidRPr="00AC1A9D">
        <w:rPr>
          <w:rFonts w:ascii="Gilroy-Regular" w:hAnsi="Gilroy-Regular" w:cs="Arial"/>
          <w:color w:val="FF5A00"/>
          <w:sz w:val="18"/>
          <w:szCs w:val="18"/>
        </w:rPr>
        <w:t xml:space="preserve">Departamento de Estudios de la Fundación Alquiler Seguro </w:t>
      </w:r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cuenta con un profundo conocimiento </w:t>
      </w:r>
      <w:r>
        <w:rPr>
          <w:rFonts w:ascii="Gilroy-Regular" w:hAnsi="Gilroy-Regular" w:cs="Arial"/>
          <w:color w:val="000000"/>
          <w:sz w:val="18"/>
          <w:szCs w:val="18"/>
        </w:rPr>
        <w:t>en</w:t>
      </w:r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 el sector de los arrendamientos. Su principal objetivo es facilitar información y dotar de transparencia a un mercado tradicionalmente opaco para promover su desarrollo y profesionalización. La dilatada experiencia de Alquiler Seguro en el sector</w:t>
      </w:r>
      <w:r>
        <w:rPr>
          <w:rFonts w:ascii="Gilroy-Regular" w:hAnsi="Gilroy-Regular" w:cs="Arial"/>
          <w:color w:val="000000"/>
          <w:sz w:val="18"/>
          <w:szCs w:val="18"/>
        </w:rPr>
        <w:t>,</w:t>
      </w:r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 sumado a la consulta y análisis de datos propios y de fuentes externas, son las bases de los estudios del Departamento </w:t>
      </w:r>
      <w:proofErr w:type="gramStart"/>
      <w:r w:rsidRPr="00AC1A9D">
        <w:rPr>
          <w:rFonts w:ascii="Gilroy-Regular" w:hAnsi="Gilroy-Regular" w:cs="Arial"/>
          <w:color w:val="000000"/>
          <w:sz w:val="18"/>
          <w:szCs w:val="18"/>
        </w:rPr>
        <w:t>que</w:t>
      </w:r>
      <w:proofErr w:type="gramEnd"/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 de forma periódica</w:t>
      </w:r>
      <w:r>
        <w:rPr>
          <w:rFonts w:ascii="Gilroy-Regular" w:hAnsi="Gilroy-Regular" w:cs="Arial"/>
          <w:color w:val="000000"/>
          <w:sz w:val="18"/>
          <w:szCs w:val="18"/>
        </w:rPr>
        <w:t>,</w:t>
      </w:r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 publica documentos de interés para su consulta.</w:t>
      </w:r>
    </w:p>
    <w:bookmarkEnd w:id="1"/>
    <w:p w14:paraId="773CF853" w14:textId="31FAC066" w:rsidR="00EB64F5" w:rsidRDefault="00EB64F5" w:rsidP="004F1B47">
      <w:pPr>
        <w:pBdr>
          <w:top w:val="single" w:sz="4" w:space="1" w:color="FF5A00"/>
        </w:pBdr>
        <w:jc w:val="both"/>
        <w:rPr>
          <w:rFonts w:ascii="Gilroy-Regular" w:hAnsi="Gilroy-Regular" w:cs="Arial"/>
          <w:color w:val="000000"/>
          <w:sz w:val="18"/>
          <w:szCs w:val="18"/>
        </w:rPr>
      </w:pPr>
      <w:r w:rsidRPr="00AC1A9D">
        <w:rPr>
          <w:rFonts w:ascii="Gilroy-Regular" w:hAnsi="Gilroy-Regular" w:cs="Arial"/>
          <w:color w:val="FF5A00"/>
          <w:sz w:val="18"/>
          <w:szCs w:val="18"/>
        </w:rPr>
        <w:t xml:space="preserve">Fundación Alquiler Seguro </w:t>
      </w:r>
      <w:r w:rsidRPr="00AC1A9D">
        <w:rPr>
          <w:rFonts w:ascii="Gilroy-Regular" w:hAnsi="Gilroy-Regular" w:cs="Arial"/>
          <w:color w:val="000000"/>
          <w:sz w:val="18"/>
          <w:szCs w:val="18"/>
        </w:rPr>
        <w:t>tiene como objetivo integrar y gestionar todos los esfuerzos solidarios que Alquiler Seguro Grupo lleva realizando desde sus comienzos con especial sensibilidad en las soluciones habitacionales para personas en riesgo de exclusión social.</w:t>
      </w:r>
    </w:p>
    <w:p w14:paraId="4A454446" w14:textId="22CAF5C8" w:rsidR="00342807" w:rsidRDefault="00342807" w:rsidP="00342807">
      <w:pPr>
        <w:shd w:val="clear" w:color="auto" w:fill="FFFFFF"/>
        <w:spacing w:after="225" w:line="240" w:lineRule="auto"/>
        <w:jc w:val="right"/>
        <w:rPr>
          <w:rFonts w:ascii="Gilroy" w:eastAsia="Times New Roman" w:hAnsi="Gilroy" w:cs="Arial"/>
          <w:b/>
          <w:bCs/>
          <w:color w:val="A4A3A3"/>
          <w:sz w:val="28"/>
          <w:szCs w:val="32"/>
          <w:lang w:eastAsia="es-ES"/>
        </w:rPr>
      </w:pPr>
      <w:r>
        <w:rPr>
          <w:rFonts w:ascii="Gilroy" w:eastAsia="Times New Roman" w:hAnsi="Gilroy" w:cs="Arial"/>
          <w:b/>
          <w:bCs/>
          <w:color w:val="A4A3A3"/>
          <w:sz w:val="28"/>
          <w:szCs w:val="32"/>
          <w:lang w:eastAsia="es-ES"/>
        </w:rPr>
        <w:t>DEPARTAMENTO DE COMUNICACIÓN</w:t>
      </w:r>
    </w:p>
    <w:p w14:paraId="5E59166E" w14:textId="77777777" w:rsidR="00342807" w:rsidRDefault="00342807" w:rsidP="00342807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color w:val="A4A3A3"/>
          <w:sz w:val="28"/>
          <w:szCs w:val="32"/>
          <w:lang w:eastAsia="es-ES"/>
        </w:rPr>
      </w:pP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Gerardo Neistat 650 954 488</w:t>
      </w:r>
    </w:p>
    <w:p w14:paraId="1ABE7479" w14:textId="77777777" w:rsidR="00342807" w:rsidRDefault="00342807" w:rsidP="00342807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color w:val="A4A3A3"/>
          <w:sz w:val="28"/>
          <w:szCs w:val="32"/>
          <w:lang w:eastAsia="es-ES"/>
        </w:rPr>
      </w:pP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Jorge Matute 606 358 732</w:t>
      </w:r>
    </w:p>
    <w:p w14:paraId="594C9F02" w14:textId="60851D50" w:rsidR="00342807" w:rsidRDefault="00342807" w:rsidP="004F1B47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color w:val="A4A3A3"/>
          <w:sz w:val="28"/>
          <w:szCs w:val="32"/>
          <w:lang w:eastAsia="es-ES"/>
        </w:rPr>
      </w:pP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 xml:space="preserve">Lucas Tarancón </w:t>
      </w:r>
      <w:r w:rsidR="00CF4D7F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 xml:space="preserve">658 </w:t>
      </w:r>
      <w:r w:rsidR="00143687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157 488</w:t>
      </w:r>
    </w:p>
    <w:p w14:paraId="471967AD" w14:textId="441C0FD7" w:rsidR="002B6644" w:rsidRDefault="002B6644" w:rsidP="004F1B47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color w:val="A4A3A3"/>
          <w:sz w:val="28"/>
          <w:szCs w:val="32"/>
          <w:lang w:eastAsia="es-ES"/>
        </w:rPr>
      </w:pP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 xml:space="preserve">Virginia Carrasco </w:t>
      </w:r>
      <w:r w:rsidR="000A2B14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651 518 997</w:t>
      </w:r>
    </w:p>
    <w:p w14:paraId="05C772DF" w14:textId="77777777" w:rsidR="004F1B47" w:rsidRDefault="004F1B47" w:rsidP="004F1B47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color w:val="A4A3A3"/>
          <w:sz w:val="28"/>
          <w:szCs w:val="32"/>
          <w:lang w:eastAsia="es-ES"/>
        </w:rPr>
      </w:pPr>
    </w:p>
    <w:p w14:paraId="5DB38013" w14:textId="338E0500" w:rsidR="00AA5C00" w:rsidRPr="004F1B47" w:rsidRDefault="002E0516" w:rsidP="004F1B47">
      <w:pPr>
        <w:shd w:val="clear" w:color="auto" w:fill="FFFFFF"/>
        <w:spacing w:after="225" w:line="240" w:lineRule="auto"/>
        <w:jc w:val="right"/>
        <w:rPr>
          <w:rFonts w:ascii="Gilroy Bold" w:hAnsi="Gilroy Bold"/>
          <w:color w:val="FF5100"/>
          <w:sz w:val="36"/>
          <w:szCs w:val="36"/>
        </w:rPr>
      </w:pP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noticias</w:t>
      </w:r>
      <w:r w:rsidR="00342807" w:rsidRPr="004F1B47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@</w:t>
      </w: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fundacion</w:t>
      </w:r>
      <w:r w:rsidR="00342807" w:rsidRPr="004F1B47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alquilerseguro.es</w:t>
      </w:r>
    </w:p>
    <w:sectPr w:rsidR="00AA5C00" w:rsidRPr="004F1B47" w:rsidSect="006607C9">
      <w:headerReference w:type="default" r:id="rId15"/>
      <w:footerReference w:type="default" r:id="rId16"/>
      <w:pgSz w:w="11906" w:h="16838"/>
      <w:pgMar w:top="2694" w:right="1701" w:bottom="1417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9FA6" w14:textId="77777777" w:rsidR="00CB464D" w:rsidRDefault="00CB464D" w:rsidP="0027186E">
      <w:pPr>
        <w:spacing w:after="0" w:line="240" w:lineRule="auto"/>
      </w:pPr>
      <w:r>
        <w:separator/>
      </w:r>
    </w:p>
  </w:endnote>
  <w:endnote w:type="continuationSeparator" w:id="0">
    <w:p w14:paraId="06B3A304" w14:textId="77777777" w:rsidR="00CB464D" w:rsidRDefault="00CB464D" w:rsidP="0027186E">
      <w:pPr>
        <w:spacing w:after="0" w:line="240" w:lineRule="auto"/>
      </w:pPr>
      <w:r>
        <w:continuationSeparator/>
      </w:r>
    </w:p>
  </w:endnote>
  <w:endnote w:type="continuationNotice" w:id="1">
    <w:p w14:paraId="6767365D" w14:textId="77777777" w:rsidR="00CB464D" w:rsidRDefault="00CB4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-Regular">
    <w:altName w:val="Calibri"/>
    <w:charset w:val="00"/>
    <w:family w:val="auto"/>
    <w:pitch w:val="variable"/>
    <w:sig w:usb0="00000207" w:usb1="00000000" w:usb2="00000000" w:usb3="00000000" w:csb0="00000097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3"/>
      <w:gridCol w:w="222"/>
      <w:gridCol w:w="1566"/>
      <w:gridCol w:w="1461"/>
      <w:gridCol w:w="1608"/>
      <w:gridCol w:w="1417"/>
      <w:gridCol w:w="1355"/>
    </w:tblGrid>
    <w:tr w:rsidR="00C90E53" w14:paraId="2418BA68" w14:textId="77777777">
      <w:trPr>
        <w:jc w:val="center"/>
      </w:trPr>
      <w:tc>
        <w:tcPr>
          <w:tcW w:w="2153" w:type="dxa"/>
        </w:tcPr>
        <w:p w14:paraId="3277FB1D" w14:textId="77777777" w:rsidR="006607C9" w:rsidRDefault="006607C9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63B3DD5A" wp14:editId="063FC108">
                <wp:extent cx="956347" cy="420370"/>
                <wp:effectExtent l="0" t="0" r="0" b="0"/>
                <wp:docPr id="999781710" name="Imagen 7" descr="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245542" name="Imagen 7" descr="For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126" cy="42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3FE95982" w14:textId="77777777" w:rsidR="006607C9" w:rsidRDefault="006607C9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  <w:rPr>
              <w:noProof/>
            </w:rPr>
          </w:pPr>
        </w:p>
      </w:tc>
      <w:tc>
        <w:tcPr>
          <w:tcW w:w="1566" w:type="dxa"/>
          <w:vAlign w:val="center"/>
        </w:tcPr>
        <w:p w14:paraId="761B9F20" w14:textId="42BEBDD4" w:rsidR="006607C9" w:rsidRDefault="006704E8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  <w:r>
            <w:rPr>
              <w:noProof/>
            </w:rPr>
            <w:drawing>
              <wp:inline distT="0" distB="0" distL="0" distR="0" wp14:anchorId="2A855711" wp14:editId="5869F3FA">
                <wp:extent cx="594484" cy="234462"/>
                <wp:effectExtent l="0" t="0" r="0" b="0"/>
                <wp:docPr id="1830970847" name="Imagen 5" descr="AENOR - 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AENOR - YouTub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506" b="28364"/>
                        <a:stretch/>
                      </pic:blipFill>
                      <pic:spPr bwMode="auto">
                        <a:xfrm>
                          <a:off x="0" y="0"/>
                          <a:ext cx="610360" cy="240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1" w:type="dxa"/>
          <w:vAlign w:val="center"/>
        </w:tcPr>
        <w:p w14:paraId="1CB472BB" w14:textId="77777777" w:rsidR="006607C9" w:rsidRDefault="006607C9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  <w:r>
            <w:rPr>
              <w:noProof/>
            </w:rPr>
            <w:drawing>
              <wp:inline distT="0" distB="0" distL="0" distR="0" wp14:anchorId="56396BE9" wp14:editId="73EDBA8F">
                <wp:extent cx="623059" cy="151795"/>
                <wp:effectExtent l="0" t="0" r="5715" b="635"/>
                <wp:docPr id="702516501" name="Imagen 702516501" descr="ST Sociedad de Tasación - SIMAEX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 Sociedad de Tasación - SIMAEX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984" cy="159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dxa"/>
          <w:vAlign w:val="center"/>
        </w:tcPr>
        <w:p w14:paraId="51A23D2F" w14:textId="77777777" w:rsidR="006607C9" w:rsidRDefault="006607C9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  <w:r>
            <w:rPr>
              <w:noProof/>
            </w:rPr>
            <w:drawing>
              <wp:inline distT="0" distB="0" distL="0" distR="0" wp14:anchorId="021AF5E4" wp14:editId="5F57DBB5">
                <wp:extent cx="702945" cy="150487"/>
                <wp:effectExtent l="0" t="0" r="0" b="2540"/>
                <wp:docPr id="5651218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158" cy="154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center"/>
        </w:tcPr>
        <w:p w14:paraId="58121854" w14:textId="77777777" w:rsidR="006607C9" w:rsidRDefault="006607C9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  <w:r>
            <w:rPr>
              <w:noProof/>
            </w:rPr>
            <w:drawing>
              <wp:inline distT="0" distB="0" distL="0" distR="0" wp14:anchorId="48948B38" wp14:editId="09616B89">
                <wp:extent cx="581028" cy="221274"/>
                <wp:effectExtent l="0" t="0" r="0" b="7620"/>
                <wp:docPr id="834090694" name="Imagen 5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516753" name="Imagen 5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11" cy="2369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5" w:type="dxa"/>
          <w:vAlign w:val="center"/>
        </w:tcPr>
        <w:p w14:paraId="13094B90" w14:textId="2D935A21" w:rsidR="00C90E53" w:rsidRPr="00C90E53" w:rsidRDefault="00C90E53" w:rsidP="00C90E53">
          <w:pPr>
            <w:pStyle w:val="Piedepgina"/>
            <w:tabs>
              <w:tab w:val="right" w:pos="3579"/>
            </w:tabs>
            <w:jc w:val="center"/>
            <w:rPr>
              <w:noProof/>
            </w:rPr>
          </w:pPr>
          <w:r w:rsidRPr="00C90E53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B95F5F4" wp14:editId="43C625EA">
                <wp:simplePos x="0" y="0"/>
                <wp:positionH relativeFrom="column">
                  <wp:posOffset>321310</wp:posOffset>
                </wp:positionH>
                <wp:positionV relativeFrom="paragraph">
                  <wp:posOffset>112395</wp:posOffset>
                </wp:positionV>
                <wp:extent cx="417195" cy="123825"/>
                <wp:effectExtent l="0" t="0" r="1905" b="9525"/>
                <wp:wrapNone/>
                <wp:docPr id="213784886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3C29B4" w14:textId="220A98D5" w:rsidR="006607C9" w:rsidRDefault="006607C9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</w:p>
      </w:tc>
    </w:tr>
  </w:tbl>
  <w:p w14:paraId="28B4057B" w14:textId="35C4678C" w:rsidR="003C5A23" w:rsidRDefault="003C5A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6F65" w14:textId="77777777" w:rsidR="00CB464D" w:rsidRDefault="00CB464D" w:rsidP="0027186E">
      <w:pPr>
        <w:spacing w:after="0" w:line="240" w:lineRule="auto"/>
      </w:pPr>
      <w:r>
        <w:separator/>
      </w:r>
    </w:p>
  </w:footnote>
  <w:footnote w:type="continuationSeparator" w:id="0">
    <w:p w14:paraId="33B3D77B" w14:textId="77777777" w:rsidR="00CB464D" w:rsidRDefault="00CB464D" w:rsidP="0027186E">
      <w:pPr>
        <w:spacing w:after="0" w:line="240" w:lineRule="auto"/>
      </w:pPr>
      <w:r>
        <w:continuationSeparator/>
      </w:r>
    </w:p>
  </w:footnote>
  <w:footnote w:type="continuationNotice" w:id="1">
    <w:p w14:paraId="613F5BCC" w14:textId="77777777" w:rsidR="00CB464D" w:rsidRDefault="00CB46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1"/>
      <w:gridCol w:w="2701"/>
      <w:gridCol w:w="3386"/>
    </w:tblGrid>
    <w:tr w:rsidR="006607C9" w14:paraId="696226A8" w14:textId="77777777" w:rsidTr="006607C9">
      <w:trPr>
        <w:jc w:val="center"/>
      </w:trPr>
      <w:tc>
        <w:tcPr>
          <w:tcW w:w="3411" w:type="dxa"/>
          <w:vAlign w:val="center"/>
        </w:tcPr>
        <w:p w14:paraId="43BFDAC8" w14:textId="76D69F20" w:rsidR="006607C9" w:rsidRDefault="006607C9" w:rsidP="006607C9">
          <w:pPr>
            <w:pStyle w:val="Encabezado"/>
          </w:pPr>
          <w:r>
            <w:rPr>
              <w:noProof/>
            </w:rPr>
            <w:drawing>
              <wp:inline distT="0" distB="0" distL="0" distR="0" wp14:anchorId="7571F84F" wp14:editId="304FE384">
                <wp:extent cx="1755232" cy="771525"/>
                <wp:effectExtent l="0" t="0" r="0" b="0"/>
                <wp:docPr id="716422868" name="Imagen 3" descr="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422868" name="Imagen 3" descr="For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073" cy="777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  <w:vAlign w:val="center"/>
        </w:tcPr>
        <w:p w14:paraId="32391595" w14:textId="77777777" w:rsidR="006607C9" w:rsidRDefault="006607C9" w:rsidP="006607C9">
          <w:pPr>
            <w:pStyle w:val="Encabezado"/>
          </w:pPr>
        </w:p>
      </w:tc>
      <w:tc>
        <w:tcPr>
          <w:tcW w:w="3386" w:type="dxa"/>
          <w:vAlign w:val="center"/>
        </w:tcPr>
        <w:p w14:paraId="52FDB052" w14:textId="0389587C" w:rsidR="006607C9" w:rsidRDefault="006607C9" w:rsidP="006607C9">
          <w:pPr>
            <w:pStyle w:val="Encabezado"/>
            <w:jc w:val="both"/>
          </w:pPr>
        </w:p>
      </w:tc>
    </w:tr>
  </w:tbl>
  <w:p w14:paraId="5D2F10A0" w14:textId="391CB732" w:rsidR="00E924DC" w:rsidRDefault="00E924DC">
    <w:pPr>
      <w:pStyle w:val="Encabezado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11AD"/>
    <w:multiLevelType w:val="hybridMultilevel"/>
    <w:tmpl w:val="1C369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9723A"/>
    <w:multiLevelType w:val="hybridMultilevel"/>
    <w:tmpl w:val="B8B8F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2FF2"/>
    <w:multiLevelType w:val="multilevel"/>
    <w:tmpl w:val="08BC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84DCE"/>
    <w:multiLevelType w:val="hybridMultilevel"/>
    <w:tmpl w:val="2EA00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7517D"/>
    <w:multiLevelType w:val="multilevel"/>
    <w:tmpl w:val="CBB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D4A57"/>
    <w:multiLevelType w:val="hybridMultilevel"/>
    <w:tmpl w:val="7944C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C280B"/>
    <w:multiLevelType w:val="multilevel"/>
    <w:tmpl w:val="D056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664A0"/>
    <w:multiLevelType w:val="multilevel"/>
    <w:tmpl w:val="1C3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965470">
    <w:abstractNumId w:val="5"/>
  </w:num>
  <w:num w:numId="2" w16cid:durableId="1134101751">
    <w:abstractNumId w:val="1"/>
  </w:num>
  <w:num w:numId="3" w16cid:durableId="1027607397">
    <w:abstractNumId w:val="3"/>
  </w:num>
  <w:num w:numId="4" w16cid:durableId="117383681">
    <w:abstractNumId w:val="0"/>
  </w:num>
  <w:num w:numId="5" w16cid:durableId="714112894">
    <w:abstractNumId w:val="2"/>
  </w:num>
  <w:num w:numId="6" w16cid:durableId="101999418">
    <w:abstractNumId w:val="4"/>
  </w:num>
  <w:num w:numId="7" w16cid:durableId="291593585">
    <w:abstractNumId w:val="6"/>
  </w:num>
  <w:num w:numId="8" w16cid:durableId="45181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1"/>
    <w:rsid w:val="00000337"/>
    <w:rsid w:val="00000B7D"/>
    <w:rsid w:val="00001F1C"/>
    <w:rsid w:val="00002619"/>
    <w:rsid w:val="000033C3"/>
    <w:rsid w:val="000043F4"/>
    <w:rsid w:val="00004ACC"/>
    <w:rsid w:val="00005272"/>
    <w:rsid w:val="00005BA7"/>
    <w:rsid w:val="000079D1"/>
    <w:rsid w:val="00007D30"/>
    <w:rsid w:val="00011326"/>
    <w:rsid w:val="0001223E"/>
    <w:rsid w:val="00012E36"/>
    <w:rsid w:val="00013D58"/>
    <w:rsid w:val="000154B3"/>
    <w:rsid w:val="000159C7"/>
    <w:rsid w:val="00015A71"/>
    <w:rsid w:val="000169EA"/>
    <w:rsid w:val="0001777A"/>
    <w:rsid w:val="000206A5"/>
    <w:rsid w:val="00021885"/>
    <w:rsid w:val="000230C7"/>
    <w:rsid w:val="00023791"/>
    <w:rsid w:val="00023DB4"/>
    <w:rsid w:val="00024F0C"/>
    <w:rsid w:val="00024F77"/>
    <w:rsid w:val="00025FC4"/>
    <w:rsid w:val="00026B07"/>
    <w:rsid w:val="000270BE"/>
    <w:rsid w:val="0002766D"/>
    <w:rsid w:val="00030CBF"/>
    <w:rsid w:val="00031389"/>
    <w:rsid w:val="000327AF"/>
    <w:rsid w:val="00032F1F"/>
    <w:rsid w:val="00033607"/>
    <w:rsid w:val="000347E6"/>
    <w:rsid w:val="00034F65"/>
    <w:rsid w:val="00035321"/>
    <w:rsid w:val="00035895"/>
    <w:rsid w:val="000365E2"/>
    <w:rsid w:val="00040126"/>
    <w:rsid w:val="00040F78"/>
    <w:rsid w:val="00041C97"/>
    <w:rsid w:val="0004336D"/>
    <w:rsid w:val="00043923"/>
    <w:rsid w:val="00043C2F"/>
    <w:rsid w:val="000440B4"/>
    <w:rsid w:val="00047F38"/>
    <w:rsid w:val="000535F9"/>
    <w:rsid w:val="00053664"/>
    <w:rsid w:val="00053B90"/>
    <w:rsid w:val="000552C3"/>
    <w:rsid w:val="000560A9"/>
    <w:rsid w:val="00056DCC"/>
    <w:rsid w:val="0006087E"/>
    <w:rsid w:val="0006178E"/>
    <w:rsid w:val="000618AF"/>
    <w:rsid w:val="000631E0"/>
    <w:rsid w:val="00063C97"/>
    <w:rsid w:val="0006433F"/>
    <w:rsid w:val="00064D17"/>
    <w:rsid w:val="00065530"/>
    <w:rsid w:val="000662EE"/>
    <w:rsid w:val="00066622"/>
    <w:rsid w:val="0006745E"/>
    <w:rsid w:val="00070DC8"/>
    <w:rsid w:val="00072068"/>
    <w:rsid w:val="00073C3B"/>
    <w:rsid w:val="000744C1"/>
    <w:rsid w:val="00074966"/>
    <w:rsid w:val="000754FA"/>
    <w:rsid w:val="000757B3"/>
    <w:rsid w:val="00075FDD"/>
    <w:rsid w:val="0008082B"/>
    <w:rsid w:val="00080848"/>
    <w:rsid w:val="000820D5"/>
    <w:rsid w:val="000849CA"/>
    <w:rsid w:val="00085605"/>
    <w:rsid w:val="000858AC"/>
    <w:rsid w:val="00085B1F"/>
    <w:rsid w:val="000865BC"/>
    <w:rsid w:val="00086FF3"/>
    <w:rsid w:val="000877C1"/>
    <w:rsid w:val="00090659"/>
    <w:rsid w:val="000907F4"/>
    <w:rsid w:val="0009083E"/>
    <w:rsid w:val="0009119B"/>
    <w:rsid w:val="00091D2E"/>
    <w:rsid w:val="00093BC5"/>
    <w:rsid w:val="00093E3D"/>
    <w:rsid w:val="000947E9"/>
    <w:rsid w:val="000959B2"/>
    <w:rsid w:val="00095A4A"/>
    <w:rsid w:val="00096D3F"/>
    <w:rsid w:val="000A0B11"/>
    <w:rsid w:val="000A1921"/>
    <w:rsid w:val="000A2B14"/>
    <w:rsid w:val="000A42EE"/>
    <w:rsid w:val="000A6776"/>
    <w:rsid w:val="000A7023"/>
    <w:rsid w:val="000A7F3E"/>
    <w:rsid w:val="000A7F78"/>
    <w:rsid w:val="000B0E19"/>
    <w:rsid w:val="000B1138"/>
    <w:rsid w:val="000B11D8"/>
    <w:rsid w:val="000B2615"/>
    <w:rsid w:val="000B60C6"/>
    <w:rsid w:val="000B68C2"/>
    <w:rsid w:val="000C22F5"/>
    <w:rsid w:val="000C2BA7"/>
    <w:rsid w:val="000C2D0D"/>
    <w:rsid w:val="000C4540"/>
    <w:rsid w:val="000C457E"/>
    <w:rsid w:val="000C55D4"/>
    <w:rsid w:val="000C5A5D"/>
    <w:rsid w:val="000C6C18"/>
    <w:rsid w:val="000C6FF1"/>
    <w:rsid w:val="000D05CC"/>
    <w:rsid w:val="000D143C"/>
    <w:rsid w:val="000D21A3"/>
    <w:rsid w:val="000D2FF4"/>
    <w:rsid w:val="000D34B3"/>
    <w:rsid w:val="000D42FF"/>
    <w:rsid w:val="000D560A"/>
    <w:rsid w:val="000D7232"/>
    <w:rsid w:val="000E011F"/>
    <w:rsid w:val="000E4559"/>
    <w:rsid w:val="000E7587"/>
    <w:rsid w:val="000E78CF"/>
    <w:rsid w:val="000F20D8"/>
    <w:rsid w:val="000F22C4"/>
    <w:rsid w:val="000F37CA"/>
    <w:rsid w:val="000F3B52"/>
    <w:rsid w:val="000F5045"/>
    <w:rsid w:val="001024E3"/>
    <w:rsid w:val="00102608"/>
    <w:rsid w:val="00103109"/>
    <w:rsid w:val="0010771E"/>
    <w:rsid w:val="00112050"/>
    <w:rsid w:val="00113273"/>
    <w:rsid w:val="00115A8D"/>
    <w:rsid w:val="00116F2E"/>
    <w:rsid w:val="00121349"/>
    <w:rsid w:val="00121D85"/>
    <w:rsid w:val="001222A2"/>
    <w:rsid w:val="00122440"/>
    <w:rsid w:val="00124AA8"/>
    <w:rsid w:val="001253A2"/>
    <w:rsid w:val="001254B5"/>
    <w:rsid w:val="0012607E"/>
    <w:rsid w:val="0013438A"/>
    <w:rsid w:val="001369DB"/>
    <w:rsid w:val="001370B5"/>
    <w:rsid w:val="00142D20"/>
    <w:rsid w:val="00143041"/>
    <w:rsid w:val="00143687"/>
    <w:rsid w:val="00147B98"/>
    <w:rsid w:val="00147E06"/>
    <w:rsid w:val="00153434"/>
    <w:rsid w:val="0015395B"/>
    <w:rsid w:val="00153FC0"/>
    <w:rsid w:val="00154CB8"/>
    <w:rsid w:val="001565A2"/>
    <w:rsid w:val="00156D59"/>
    <w:rsid w:val="00160101"/>
    <w:rsid w:val="00160B72"/>
    <w:rsid w:val="00161BD6"/>
    <w:rsid w:val="00163566"/>
    <w:rsid w:val="0016554E"/>
    <w:rsid w:val="00165877"/>
    <w:rsid w:val="00165B3A"/>
    <w:rsid w:val="001672C2"/>
    <w:rsid w:val="001675DB"/>
    <w:rsid w:val="00167E4F"/>
    <w:rsid w:val="001700A2"/>
    <w:rsid w:val="00170694"/>
    <w:rsid w:val="001707B2"/>
    <w:rsid w:val="00170815"/>
    <w:rsid w:val="00170857"/>
    <w:rsid w:val="00170DB8"/>
    <w:rsid w:val="00171BE3"/>
    <w:rsid w:val="00173044"/>
    <w:rsid w:val="0017309C"/>
    <w:rsid w:val="00173BA4"/>
    <w:rsid w:val="001740E1"/>
    <w:rsid w:val="001741C8"/>
    <w:rsid w:val="001769CD"/>
    <w:rsid w:val="00176B89"/>
    <w:rsid w:val="00176D6B"/>
    <w:rsid w:val="00176EFA"/>
    <w:rsid w:val="001777B3"/>
    <w:rsid w:val="00181762"/>
    <w:rsid w:val="0018288E"/>
    <w:rsid w:val="00182C7E"/>
    <w:rsid w:val="00183A22"/>
    <w:rsid w:val="00183E4C"/>
    <w:rsid w:val="00184407"/>
    <w:rsid w:val="00184B88"/>
    <w:rsid w:val="00184DE0"/>
    <w:rsid w:val="00185A52"/>
    <w:rsid w:val="00187252"/>
    <w:rsid w:val="0019004D"/>
    <w:rsid w:val="0019292F"/>
    <w:rsid w:val="00192B2E"/>
    <w:rsid w:val="001947E2"/>
    <w:rsid w:val="00195D66"/>
    <w:rsid w:val="00195F4D"/>
    <w:rsid w:val="00196CDE"/>
    <w:rsid w:val="001A39B3"/>
    <w:rsid w:val="001A4A53"/>
    <w:rsid w:val="001A6E01"/>
    <w:rsid w:val="001A70B2"/>
    <w:rsid w:val="001B18D1"/>
    <w:rsid w:val="001B1EE3"/>
    <w:rsid w:val="001B22DE"/>
    <w:rsid w:val="001B3536"/>
    <w:rsid w:val="001B6F2C"/>
    <w:rsid w:val="001B7422"/>
    <w:rsid w:val="001C0270"/>
    <w:rsid w:val="001C0753"/>
    <w:rsid w:val="001C133E"/>
    <w:rsid w:val="001C3F44"/>
    <w:rsid w:val="001C44E1"/>
    <w:rsid w:val="001C6E82"/>
    <w:rsid w:val="001D1726"/>
    <w:rsid w:val="001D2C2E"/>
    <w:rsid w:val="001D3B43"/>
    <w:rsid w:val="001D3CD6"/>
    <w:rsid w:val="001D402B"/>
    <w:rsid w:val="001D44FC"/>
    <w:rsid w:val="001D5D35"/>
    <w:rsid w:val="001D6AE4"/>
    <w:rsid w:val="001D6E40"/>
    <w:rsid w:val="001D71F4"/>
    <w:rsid w:val="001D7453"/>
    <w:rsid w:val="001E07E9"/>
    <w:rsid w:val="001E10B0"/>
    <w:rsid w:val="001E29ED"/>
    <w:rsid w:val="001E472F"/>
    <w:rsid w:val="001E68A2"/>
    <w:rsid w:val="001E68EE"/>
    <w:rsid w:val="001E6ACC"/>
    <w:rsid w:val="001E78C6"/>
    <w:rsid w:val="001F57EC"/>
    <w:rsid w:val="001F7F99"/>
    <w:rsid w:val="00200C9D"/>
    <w:rsid w:val="00201CE1"/>
    <w:rsid w:val="00202A2B"/>
    <w:rsid w:val="002068CE"/>
    <w:rsid w:val="00206B74"/>
    <w:rsid w:val="0020772D"/>
    <w:rsid w:val="00207A73"/>
    <w:rsid w:val="00207E96"/>
    <w:rsid w:val="002111EF"/>
    <w:rsid w:val="00213CC4"/>
    <w:rsid w:val="0021402B"/>
    <w:rsid w:val="002148D2"/>
    <w:rsid w:val="00214FFA"/>
    <w:rsid w:val="002156EB"/>
    <w:rsid w:val="00215874"/>
    <w:rsid w:val="00215FCD"/>
    <w:rsid w:val="002173A4"/>
    <w:rsid w:val="002219CA"/>
    <w:rsid w:val="00222282"/>
    <w:rsid w:val="0022421F"/>
    <w:rsid w:val="002242C4"/>
    <w:rsid w:val="00226CD8"/>
    <w:rsid w:val="002329FC"/>
    <w:rsid w:val="00233BC6"/>
    <w:rsid w:val="00234087"/>
    <w:rsid w:val="00234222"/>
    <w:rsid w:val="00235CBF"/>
    <w:rsid w:val="0023602E"/>
    <w:rsid w:val="002360CB"/>
    <w:rsid w:val="0023670D"/>
    <w:rsid w:val="00236798"/>
    <w:rsid w:val="00240C6E"/>
    <w:rsid w:val="002415CB"/>
    <w:rsid w:val="00241F5A"/>
    <w:rsid w:val="002431B1"/>
    <w:rsid w:val="002433D1"/>
    <w:rsid w:val="0024379A"/>
    <w:rsid w:val="00244F7B"/>
    <w:rsid w:val="00245070"/>
    <w:rsid w:val="00245823"/>
    <w:rsid w:val="00245AFA"/>
    <w:rsid w:val="002462A2"/>
    <w:rsid w:val="00250C57"/>
    <w:rsid w:val="0025118D"/>
    <w:rsid w:val="002514AC"/>
    <w:rsid w:val="002521A3"/>
    <w:rsid w:val="00252BBE"/>
    <w:rsid w:val="00255BD2"/>
    <w:rsid w:val="00256AE7"/>
    <w:rsid w:val="0025767C"/>
    <w:rsid w:val="00260B2A"/>
    <w:rsid w:val="00261FE5"/>
    <w:rsid w:val="002628E3"/>
    <w:rsid w:val="00262ADF"/>
    <w:rsid w:val="00267AE3"/>
    <w:rsid w:val="0027186E"/>
    <w:rsid w:val="00271FBC"/>
    <w:rsid w:val="0027293C"/>
    <w:rsid w:val="0027296E"/>
    <w:rsid w:val="00272A9A"/>
    <w:rsid w:val="00272ABC"/>
    <w:rsid w:val="00272D00"/>
    <w:rsid w:val="00273E34"/>
    <w:rsid w:val="002740BD"/>
    <w:rsid w:val="0027496B"/>
    <w:rsid w:val="00275580"/>
    <w:rsid w:val="00280273"/>
    <w:rsid w:val="00282B92"/>
    <w:rsid w:val="00285C44"/>
    <w:rsid w:val="002861A6"/>
    <w:rsid w:val="00286695"/>
    <w:rsid w:val="00287075"/>
    <w:rsid w:val="00291284"/>
    <w:rsid w:val="00291D81"/>
    <w:rsid w:val="00291F77"/>
    <w:rsid w:val="00292593"/>
    <w:rsid w:val="00292794"/>
    <w:rsid w:val="00295D78"/>
    <w:rsid w:val="00297854"/>
    <w:rsid w:val="002A041C"/>
    <w:rsid w:val="002A06CF"/>
    <w:rsid w:val="002A0A3C"/>
    <w:rsid w:val="002A0D76"/>
    <w:rsid w:val="002A0FE2"/>
    <w:rsid w:val="002A118C"/>
    <w:rsid w:val="002A2E07"/>
    <w:rsid w:val="002A43A6"/>
    <w:rsid w:val="002A4FA4"/>
    <w:rsid w:val="002A630A"/>
    <w:rsid w:val="002A6494"/>
    <w:rsid w:val="002A65DD"/>
    <w:rsid w:val="002A7A1D"/>
    <w:rsid w:val="002A7C10"/>
    <w:rsid w:val="002B0839"/>
    <w:rsid w:val="002B272E"/>
    <w:rsid w:val="002B2A58"/>
    <w:rsid w:val="002B2AE9"/>
    <w:rsid w:val="002B2C83"/>
    <w:rsid w:val="002B407F"/>
    <w:rsid w:val="002B49E7"/>
    <w:rsid w:val="002B5C80"/>
    <w:rsid w:val="002B6644"/>
    <w:rsid w:val="002B6B03"/>
    <w:rsid w:val="002B6B44"/>
    <w:rsid w:val="002C122E"/>
    <w:rsid w:val="002C1652"/>
    <w:rsid w:val="002C1B98"/>
    <w:rsid w:val="002C3FE5"/>
    <w:rsid w:val="002C4EAD"/>
    <w:rsid w:val="002C6722"/>
    <w:rsid w:val="002C7233"/>
    <w:rsid w:val="002C7D77"/>
    <w:rsid w:val="002D0255"/>
    <w:rsid w:val="002D0C51"/>
    <w:rsid w:val="002D205C"/>
    <w:rsid w:val="002D3436"/>
    <w:rsid w:val="002D57C0"/>
    <w:rsid w:val="002D5DB2"/>
    <w:rsid w:val="002D7599"/>
    <w:rsid w:val="002E0516"/>
    <w:rsid w:val="002E05AA"/>
    <w:rsid w:val="002E0C72"/>
    <w:rsid w:val="002E1304"/>
    <w:rsid w:val="002E46C4"/>
    <w:rsid w:val="002E49A4"/>
    <w:rsid w:val="002F1D22"/>
    <w:rsid w:val="002F27B5"/>
    <w:rsid w:val="002F2BAC"/>
    <w:rsid w:val="002F308F"/>
    <w:rsid w:val="002F36DC"/>
    <w:rsid w:val="002F4B08"/>
    <w:rsid w:val="002F4E8A"/>
    <w:rsid w:val="002F6015"/>
    <w:rsid w:val="002F729B"/>
    <w:rsid w:val="002F7B22"/>
    <w:rsid w:val="003023B3"/>
    <w:rsid w:val="00304D18"/>
    <w:rsid w:val="00307DF1"/>
    <w:rsid w:val="0031143E"/>
    <w:rsid w:val="00316C2C"/>
    <w:rsid w:val="00317B22"/>
    <w:rsid w:val="0032084B"/>
    <w:rsid w:val="00321EC0"/>
    <w:rsid w:val="00325EB2"/>
    <w:rsid w:val="00327B81"/>
    <w:rsid w:val="003304DC"/>
    <w:rsid w:val="003305B5"/>
    <w:rsid w:val="00333802"/>
    <w:rsid w:val="0033618E"/>
    <w:rsid w:val="0033645F"/>
    <w:rsid w:val="00336FD4"/>
    <w:rsid w:val="00340FBF"/>
    <w:rsid w:val="00342807"/>
    <w:rsid w:val="00344EC2"/>
    <w:rsid w:val="00345B12"/>
    <w:rsid w:val="00345CD7"/>
    <w:rsid w:val="00345DA5"/>
    <w:rsid w:val="00346086"/>
    <w:rsid w:val="00346292"/>
    <w:rsid w:val="00346367"/>
    <w:rsid w:val="003478F8"/>
    <w:rsid w:val="00351A51"/>
    <w:rsid w:val="003521C2"/>
    <w:rsid w:val="00352776"/>
    <w:rsid w:val="00352EA2"/>
    <w:rsid w:val="00353067"/>
    <w:rsid w:val="003534CE"/>
    <w:rsid w:val="003537C5"/>
    <w:rsid w:val="00353BDD"/>
    <w:rsid w:val="00354E24"/>
    <w:rsid w:val="00355DA5"/>
    <w:rsid w:val="003615FA"/>
    <w:rsid w:val="00361E43"/>
    <w:rsid w:val="003625AD"/>
    <w:rsid w:val="00362FAE"/>
    <w:rsid w:val="00365E92"/>
    <w:rsid w:val="00366032"/>
    <w:rsid w:val="00367638"/>
    <w:rsid w:val="00367F6D"/>
    <w:rsid w:val="003706CD"/>
    <w:rsid w:val="00371617"/>
    <w:rsid w:val="00372B9E"/>
    <w:rsid w:val="00373709"/>
    <w:rsid w:val="00373A28"/>
    <w:rsid w:val="00375ACD"/>
    <w:rsid w:val="00375EBC"/>
    <w:rsid w:val="0037729B"/>
    <w:rsid w:val="00377E3B"/>
    <w:rsid w:val="00381013"/>
    <w:rsid w:val="003824E3"/>
    <w:rsid w:val="00382519"/>
    <w:rsid w:val="00382DD6"/>
    <w:rsid w:val="003838DC"/>
    <w:rsid w:val="00383A65"/>
    <w:rsid w:val="003846E3"/>
    <w:rsid w:val="00384931"/>
    <w:rsid w:val="0038596A"/>
    <w:rsid w:val="00386D84"/>
    <w:rsid w:val="0039043E"/>
    <w:rsid w:val="00390656"/>
    <w:rsid w:val="00391419"/>
    <w:rsid w:val="0039256F"/>
    <w:rsid w:val="00392792"/>
    <w:rsid w:val="00393206"/>
    <w:rsid w:val="00395641"/>
    <w:rsid w:val="00395F42"/>
    <w:rsid w:val="00397746"/>
    <w:rsid w:val="00397999"/>
    <w:rsid w:val="003A06F7"/>
    <w:rsid w:val="003A0D41"/>
    <w:rsid w:val="003A2172"/>
    <w:rsid w:val="003A2F7D"/>
    <w:rsid w:val="003A3BDC"/>
    <w:rsid w:val="003A43B0"/>
    <w:rsid w:val="003A56DB"/>
    <w:rsid w:val="003A65F3"/>
    <w:rsid w:val="003A69A2"/>
    <w:rsid w:val="003A6AEE"/>
    <w:rsid w:val="003B0690"/>
    <w:rsid w:val="003B2DCF"/>
    <w:rsid w:val="003B4453"/>
    <w:rsid w:val="003B45C9"/>
    <w:rsid w:val="003B613F"/>
    <w:rsid w:val="003C021D"/>
    <w:rsid w:val="003C04B6"/>
    <w:rsid w:val="003C0F27"/>
    <w:rsid w:val="003C1BD4"/>
    <w:rsid w:val="003C2FD2"/>
    <w:rsid w:val="003C3894"/>
    <w:rsid w:val="003C45E1"/>
    <w:rsid w:val="003C5A23"/>
    <w:rsid w:val="003C6170"/>
    <w:rsid w:val="003C6A1A"/>
    <w:rsid w:val="003D0FA8"/>
    <w:rsid w:val="003D12CD"/>
    <w:rsid w:val="003D21F4"/>
    <w:rsid w:val="003D3F94"/>
    <w:rsid w:val="003D6142"/>
    <w:rsid w:val="003D629E"/>
    <w:rsid w:val="003D6569"/>
    <w:rsid w:val="003D6A1B"/>
    <w:rsid w:val="003D6B70"/>
    <w:rsid w:val="003E3164"/>
    <w:rsid w:val="003E3CD8"/>
    <w:rsid w:val="003E5889"/>
    <w:rsid w:val="003E5923"/>
    <w:rsid w:val="003E5F5F"/>
    <w:rsid w:val="003E746D"/>
    <w:rsid w:val="003F01FB"/>
    <w:rsid w:val="003F085B"/>
    <w:rsid w:val="003F1BAC"/>
    <w:rsid w:val="003F2A23"/>
    <w:rsid w:val="003F304F"/>
    <w:rsid w:val="003F542C"/>
    <w:rsid w:val="003F5A47"/>
    <w:rsid w:val="003F69AC"/>
    <w:rsid w:val="003F6DC5"/>
    <w:rsid w:val="003F7327"/>
    <w:rsid w:val="003F7E2E"/>
    <w:rsid w:val="00401091"/>
    <w:rsid w:val="004029C5"/>
    <w:rsid w:val="00403636"/>
    <w:rsid w:val="004042F2"/>
    <w:rsid w:val="00404AF3"/>
    <w:rsid w:val="004078D5"/>
    <w:rsid w:val="00412575"/>
    <w:rsid w:val="00412DB4"/>
    <w:rsid w:val="00413F32"/>
    <w:rsid w:val="0041542A"/>
    <w:rsid w:val="00416797"/>
    <w:rsid w:val="00420268"/>
    <w:rsid w:val="004203C7"/>
    <w:rsid w:val="00421C33"/>
    <w:rsid w:val="00422F11"/>
    <w:rsid w:val="00423DE9"/>
    <w:rsid w:val="00426F6F"/>
    <w:rsid w:val="0042714F"/>
    <w:rsid w:val="0042733F"/>
    <w:rsid w:val="00430708"/>
    <w:rsid w:val="00430CBB"/>
    <w:rsid w:val="004319D4"/>
    <w:rsid w:val="00432061"/>
    <w:rsid w:val="00432BB4"/>
    <w:rsid w:val="0043512A"/>
    <w:rsid w:val="00437B97"/>
    <w:rsid w:val="004403D0"/>
    <w:rsid w:val="0044082F"/>
    <w:rsid w:val="00441C84"/>
    <w:rsid w:val="00442326"/>
    <w:rsid w:val="00443975"/>
    <w:rsid w:val="0044424D"/>
    <w:rsid w:val="00444253"/>
    <w:rsid w:val="0044503E"/>
    <w:rsid w:val="00446165"/>
    <w:rsid w:val="004466CB"/>
    <w:rsid w:val="00447E4B"/>
    <w:rsid w:val="00453669"/>
    <w:rsid w:val="0045457C"/>
    <w:rsid w:val="00454C23"/>
    <w:rsid w:val="00461254"/>
    <w:rsid w:val="00462ECC"/>
    <w:rsid w:val="0046512A"/>
    <w:rsid w:val="00465954"/>
    <w:rsid w:val="00465C5D"/>
    <w:rsid w:val="0046649F"/>
    <w:rsid w:val="004677B2"/>
    <w:rsid w:val="004702E6"/>
    <w:rsid w:val="00470701"/>
    <w:rsid w:val="00470C85"/>
    <w:rsid w:val="00470DDD"/>
    <w:rsid w:val="00471873"/>
    <w:rsid w:val="00472726"/>
    <w:rsid w:val="00473CF3"/>
    <w:rsid w:val="004755C0"/>
    <w:rsid w:val="004769C5"/>
    <w:rsid w:val="0047712F"/>
    <w:rsid w:val="00477667"/>
    <w:rsid w:val="004805D2"/>
    <w:rsid w:val="00480B7E"/>
    <w:rsid w:val="00481932"/>
    <w:rsid w:val="00481B6B"/>
    <w:rsid w:val="004820BD"/>
    <w:rsid w:val="004822F1"/>
    <w:rsid w:val="004822FD"/>
    <w:rsid w:val="004825D8"/>
    <w:rsid w:val="00482BC7"/>
    <w:rsid w:val="00482C65"/>
    <w:rsid w:val="00482CB7"/>
    <w:rsid w:val="00483204"/>
    <w:rsid w:val="004845A4"/>
    <w:rsid w:val="00484E0E"/>
    <w:rsid w:val="004851CC"/>
    <w:rsid w:val="00486615"/>
    <w:rsid w:val="00486696"/>
    <w:rsid w:val="00486725"/>
    <w:rsid w:val="00490C8B"/>
    <w:rsid w:val="004919ED"/>
    <w:rsid w:val="004968BE"/>
    <w:rsid w:val="00496C03"/>
    <w:rsid w:val="0049762A"/>
    <w:rsid w:val="004A0A9E"/>
    <w:rsid w:val="004A14FD"/>
    <w:rsid w:val="004A19AF"/>
    <w:rsid w:val="004A2231"/>
    <w:rsid w:val="004A3381"/>
    <w:rsid w:val="004A3CC5"/>
    <w:rsid w:val="004A435E"/>
    <w:rsid w:val="004A4633"/>
    <w:rsid w:val="004A46DC"/>
    <w:rsid w:val="004A5088"/>
    <w:rsid w:val="004A6324"/>
    <w:rsid w:val="004B0525"/>
    <w:rsid w:val="004B1A04"/>
    <w:rsid w:val="004B20DE"/>
    <w:rsid w:val="004B2864"/>
    <w:rsid w:val="004B33C7"/>
    <w:rsid w:val="004B3F66"/>
    <w:rsid w:val="004B49CF"/>
    <w:rsid w:val="004B6B05"/>
    <w:rsid w:val="004B7C34"/>
    <w:rsid w:val="004C01B4"/>
    <w:rsid w:val="004C1017"/>
    <w:rsid w:val="004C11E4"/>
    <w:rsid w:val="004C2138"/>
    <w:rsid w:val="004C2A2B"/>
    <w:rsid w:val="004C4C32"/>
    <w:rsid w:val="004C63C5"/>
    <w:rsid w:val="004C6621"/>
    <w:rsid w:val="004D1B01"/>
    <w:rsid w:val="004D27C4"/>
    <w:rsid w:val="004D37F8"/>
    <w:rsid w:val="004D3862"/>
    <w:rsid w:val="004D3DCF"/>
    <w:rsid w:val="004D3F1B"/>
    <w:rsid w:val="004D5E71"/>
    <w:rsid w:val="004D7D08"/>
    <w:rsid w:val="004E02C8"/>
    <w:rsid w:val="004E1739"/>
    <w:rsid w:val="004E33B5"/>
    <w:rsid w:val="004E3D2D"/>
    <w:rsid w:val="004E5328"/>
    <w:rsid w:val="004E5908"/>
    <w:rsid w:val="004E65BF"/>
    <w:rsid w:val="004E6733"/>
    <w:rsid w:val="004E7C3A"/>
    <w:rsid w:val="004F123B"/>
    <w:rsid w:val="004F1B47"/>
    <w:rsid w:val="004F2DF1"/>
    <w:rsid w:val="004F2FCF"/>
    <w:rsid w:val="004F2FF1"/>
    <w:rsid w:val="004F428A"/>
    <w:rsid w:val="004F6CA1"/>
    <w:rsid w:val="004F72D4"/>
    <w:rsid w:val="00500D3E"/>
    <w:rsid w:val="00502258"/>
    <w:rsid w:val="0050468D"/>
    <w:rsid w:val="0050478A"/>
    <w:rsid w:val="0050772E"/>
    <w:rsid w:val="00510553"/>
    <w:rsid w:val="00512BF5"/>
    <w:rsid w:val="00515CC5"/>
    <w:rsid w:val="00515E09"/>
    <w:rsid w:val="005166DE"/>
    <w:rsid w:val="00517348"/>
    <w:rsid w:val="00517507"/>
    <w:rsid w:val="005209B7"/>
    <w:rsid w:val="00520F62"/>
    <w:rsid w:val="00521BA3"/>
    <w:rsid w:val="00526CA5"/>
    <w:rsid w:val="00527C6C"/>
    <w:rsid w:val="00530ECB"/>
    <w:rsid w:val="00533D0F"/>
    <w:rsid w:val="00534AA1"/>
    <w:rsid w:val="0053780A"/>
    <w:rsid w:val="00537B1C"/>
    <w:rsid w:val="00540204"/>
    <w:rsid w:val="0054422E"/>
    <w:rsid w:val="00544E6A"/>
    <w:rsid w:val="00544E7E"/>
    <w:rsid w:val="00545527"/>
    <w:rsid w:val="0055101F"/>
    <w:rsid w:val="00553F3A"/>
    <w:rsid w:val="005544FA"/>
    <w:rsid w:val="00554DAB"/>
    <w:rsid w:val="005550DA"/>
    <w:rsid w:val="00556555"/>
    <w:rsid w:val="00560336"/>
    <w:rsid w:val="00561B59"/>
    <w:rsid w:val="00564CE5"/>
    <w:rsid w:val="005713EA"/>
    <w:rsid w:val="0057263B"/>
    <w:rsid w:val="0057291D"/>
    <w:rsid w:val="00573F6D"/>
    <w:rsid w:val="00574C0E"/>
    <w:rsid w:val="00576991"/>
    <w:rsid w:val="0058196C"/>
    <w:rsid w:val="0058230C"/>
    <w:rsid w:val="00583CC9"/>
    <w:rsid w:val="00583DB8"/>
    <w:rsid w:val="00583FB5"/>
    <w:rsid w:val="00584010"/>
    <w:rsid w:val="00584A48"/>
    <w:rsid w:val="005860DA"/>
    <w:rsid w:val="005913EB"/>
    <w:rsid w:val="00591970"/>
    <w:rsid w:val="005919EA"/>
    <w:rsid w:val="005939B7"/>
    <w:rsid w:val="005952FB"/>
    <w:rsid w:val="00596D5C"/>
    <w:rsid w:val="00597538"/>
    <w:rsid w:val="005A1264"/>
    <w:rsid w:val="005A1F68"/>
    <w:rsid w:val="005A3616"/>
    <w:rsid w:val="005A56D7"/>
    <w:rsid w:val="005B0DBB"/>
    <w:rsid w:val="005B175F"/>
    <w:rsid w:val="005B375C"/>
    <w:rsid w:val="005B4DEE"/>
    <w:rsid w:val="005B54A8"/>
    <w:rsid w:val="005B6669"/>
    <w:rsid w:val="005C069A"/>
    <w:rsid w:val="005C1AFA"/>
    <w:rsid w:val="005C1FAB"/>
    <w:rsid w:val="005C2A03"/>
    <w:rsid w:val="005C3DB6"/>
    <w:rsid w:val="005C4DBD"/>
    <w:rsid w:val="005C5B2B"/>
    <w:rsid w:val="005C7192"/>
    <w:rsid w:val="005D0781"/>
    <w:rsid w:val="005D3F49"/>
    <w:rsid w:val="005D49A8"/>
    <w:rsid w:val="005D49F9"/>
    <w:rsid w:val="005E0A06"/>
    <w:rsid w:val="005E0E65"/>
    <w:rsid w:val="005E39FB"/>
    <w:rsid w:val="005E4273"/>
    <w:rsid w:val="005E42F4"/>
    <w:rsid w:val="005E5B59"/>
    <w:rsid w:val="005E6F4D"/>
    <w:rsid w:val="005E7162"/>
    <w:rsid w:val="005F0C15"/>
    <w:rsid w:val="005F104C"/>
    <w:rsid w:val="005F15F6"/>
    <w:rsid w:val="005F4145"/>
    <w:rsid w:val="005F485E"/>
    <w:rsid w:val="005F4906"/>
    <w:rsid w:val="005F6ED0"/>
    <w:rsid w:val="005F760D"/>
    <w:rsid w:val="00602B17"/>
    <w:rsid w:val="0060322E"/>
    <w:rsid w:val="006048A9"/>
    <w:rsid w:val="0060721B"/>
    <w:rsid w:val="00611C06"/>
    <w:rsid w:val="00614BA4"/>
    <w:rsid w:val="00614BC9"/>
    <w:rsid w:val="00616340"/>
    <w:rsid w:val="00616D9C"/>
    <w:rsid w:val="006170D0"/>
    <w:rsid w:val="006179BB"/>
    <w:rsid w:val="006201A7"/>
    <w:rsid w:val="006212E9"/>
    <w:rsid w:val="00621824"/>
    <w:rsid w:val="00622321"/>
    <w:rsid w:val="00623F9E"/>
    <w:rsid w:val="00625154"/>
    <w:rsid w:val="00625A9B"/>
    <w:rsid w:val="006268BB"/>
    <w:rsid w:val="00626AE3"/>
    <w:rsid w:val="00626CA9"/>
    <w:rsid w:val="00627644"/>
    <w:rsid w:val="00627650"/>
    <w:rsid w:val="00627D6F"/>
    <w:rsid w:val="00631936"/>
    <w:rsid w:val="006322DF"/>
    <w:rsid w:val="0063249B"/>
    <w:rsid w:val="00632865"/>
    <w:rsid w:val="006329D2"/>
    <w:rsid w:val="00633E70"/>
    <w:rsid w:val="006347CA"/>
    <w:rsid w:val="00634EE4"/>
    <w:rsid w:val="00637410"/>
    <w:rsid w:val="006406D7"/>
    <w:rsid w:val="006408CA"/>
    <w:rsid w:val="00640AF3"/>
    <w:rsid w:val="0064254D"/>
    <w:rsid w:val="006428EF"/>
    <w:rsid w:val="00644B1E"/>
    <w:rsid w:val="006464A7"/>
    <w:rsid w:val="00647A3F"/>
    <w:rsid w:val="00650C71"/>
    <w:rsid w:val="00651057"/>
    <w:rsid w:val="00651161"/>
    <w:rsid w:val="00651368"/>
    <w:rsid w:val="006532D9"/>
    <w:rsid w:val="00654F1D"/>
    <w:rsid w:val="00655AED"/>
    <w:rsid w:val="00656FA7"/>
    <w:rsid w:val="00657089"/>
    <w:rsid w:val="00657E14"/>
    <w:rsid w:val="00660728"/>
    <w:rsid w:val="006607C9"/>
    <w:rsid w:val="0066082E"/>
    <w:rsid w:val="006615AF"/>
    <w:rsid w:val="00661877"/>
    <w:rsid w:val="00661F13"/>
    <w:rsid w:val="00662627"/>
    <w:rsid w:val="0066468C"/>
    <w:rsid w:val="0066622E"/>
    <w:rsid w:val="006662B9"/>
    <w:rsid w:val="0066637A"/>
    <w:rsid w:val="006704E8"/>
    <w:rsid w:val="0067152E"/>
    <w:rsid w:val="006716DE"/>
    <w:rsid w:val="00672A20"/>
    <w:rsid w:val="006737C8"/>
    <w:rsid w:val="006738D2"/>
    <w:rsid w:val="0067446B"/>
    <w:rsid w:val="006744C3"/>
    <w:rsid w:val="00676D16"/>
    <w:rsid w:val="0067746F"/>
    <w:rsid w:val="00677ECA"/>
    <w:rsid w:val="00677F01"/>
    <w:rsid w:val="00677F9D"/>
    <w:rsid w:val="00680C21"/>
    <w:rsid w:val="00683206"/>
    <w:rsid w:val="00690E14"/>
    <w:rsid w:val="0069112B"/>
    <w:rsid w:val="0069187D"/>
    <w:rsid w:val="0069192B"/>
    <w:rsid w:val="00695752"/>
    <w:rsid w:val="00697240"/>
    <w:rsid w:val="0069788E"/>
    <w:rsid w:val="006A11B7"/>
    <w:rsid w:val="006A1B47"/>
    <w:rsid w:val="006A2318"/>
    <w:rsid w:val="006A27BF"/>
    <w:rsid w:val="006A327D"/>
    <w:rsid w:val="006A69A0"/>
    <w:rsid w:val="006B1F52"/>
    <w:rsid w:val="006B432D"/>
    <w:rsid w:val="006B4CDE"/>
    <w:rsid w:val="006B6172"/>
    <w:rsid w:val="006B729A"/>
    <w:rsid w:val="006C1440"/>
    <w:rsid w:val="006C23A0"/>
    <w:rsid w:val="006C3D1B"/>
    <w:rsid w:val="006C3E46"/>
    <w:rsid w:val="006C5B85"/>
    <w:rsid w:val="006C5E57"/>
    <w:rsid w:val="006C5F1E"/>
    <w:rsid w:val="006C77AF"/>
    <w:rsid w:val="006C7C53"/>
    <w:rsid w:val="006D1CAC"/>
    <w:rsid w:val="006D358D"/>
    <w:rsid w:val="006D3A86"/>
    <w:rsid w:val="006D3C40"/>
    <w:rsid w:val="006D4289"/>
    <w:rsid w:val="006D4F4E"/>
    <w:rsid w:val="006D6AA3"/>
    <w:rsid w:val="006D7144"/>
    <w:rsid w:val="006D78EB"/>
    <w:rsid w:val="006E51D0"/>
    <w:rsid w:val="006E51FA"/>
    <w:rsid w:val="006E5AA9"/>
    <w:rsid w:val="006E5C07"/>
    <w:rsid w:val="006E692E"/>
    <w:rsid w:val="006E6DE5"/>
    <w:rsid w:val="006E799F"/>
    <w:rsid w:val="006E7B1B"/>
    <w:rsid w:val="006F0BB9"/>
    <w:rsid w:val="006F39CC"/>
    <w:rsid w:val="006F427F"/>
    <w:rsid w:val="006F4936"/>
    <w:rsid w:val="006F672F"/>
    <w:rsid w:val="006F730C"/>
    <w:rsid w:val="007006ED"/>
    <w:rsid w:val="00701210"/>
    <w:rsid w:val="00701E1C"/>
    <w:rsid w:val="00702B2B"/>
    <w:rsid w:val="00703242"/>
    <w:rsid w:val="007045FF"/>
    <w:rsid w:val="0070476F"/>
    <w:rsid w:val="00713B2A"/>
    <w:rsid w:val="007141D1"/>
    <w:rsid w:val="007159D9"/>
    <w:rsid w:val="00715DC1"/>
    <w:rsid w:val="00720AD3"/>
    <w:rsid w:val="00720C09"/>
    <w:rsid w:val="00722DD6"/>
    <w:rsid w:val="0072302F"/>
    <w:rsid w:val="00724A83"/>
    <w:rsid w:val="00725961"/>
    <w:rsid w:val="00727805"/>
    <w:rsid w:val="0073158F"/>
    <w:rsid w:val="0073226A"/>
    <w:rsid w:val="007333BA"/>
    <w:rsid w:val="00733860"/>
    <w:rsid w:val="00733F43"/>
    <w:rsid w:val="00734A8A"/>
    <w:rsid w:val="00735473"/>
    <w:rsid w:val="0073685D"/>
    <w:rsid w:val="00740FE2"/>
    <w:rsid w:val="007421CF"/>
    <w:rsid w:val="00742D7E"/>
    <w:rsid w:val="00743816"/>
    <w:rsid w:val="0074468D"/>
    <w:rsid w:val="00744847"/>
    <w:rsid w:val="00745D6A"/>
    <w:rsid w:val="007467C0"/>
    <w:rsid w:val="00747440"/>
    <w:rsid w:val="00747733"/>
    <w:rsid w:val="007513E7"/>
    <w:rsid w:val="00755966"/>
    <w:rsid w:val="00756BEF"/>
    <w:rsid w:val="00757A98"/>
    <w:rsid w:val="00757D3F"/>
    <w:rsid w:val="0076148B"/>
    <w:rsid w:val="00762ABB"/>
    <w:rsid w:val="007644E6"/>
    <w:rsid w:val="00764C95"/>
    <w:rsid w:val="0077066D"/>
    <w:rsid w:val="007720EC"/>
    <w:rsid w:val="007745D9"/>
    <w:rsid w:val="0077471F"/>
    <w:rsid w:val="00775801"/>
    <w:rsid w:val="0077588A"/>
    <w:rsid w:val="00780804"/>
    <w:rsid w:val="00781070"/>
    <w:rsid w:val="007817B4"/>
    <w:rsid w:val="00783297"/>
    <w:rsid w:val="00783DE6"/>
    <w:rsid w:val="00784C8A"/>
    <w:rsid w:val="0078503A"/>
    <w:rsid w:val="0078591E"/>
    <w:rsid w:val="007866CE"/>
    <w:rsid w:val="007868DA"/>
    <w:rsid w:val="007914CE"/>
    <w:rsid w:val="00792A9E"/>
    <w:rsid w:val="007930A2"/>
    <w:rsid w:val="007934B7"/>
    <w:rsid w:val="00796E39"/>
    <w:rsid w:val="00797F17"/>
    <w:rsid w:val="007A0749"/>
    <w:rsid w:val="007A26D2"/>
    <w:rsid w:val="007A4337"/>
    <w:rsid w:val="007A4812"/>
    <w:rsid w:val="007A4D01"/>
    <w:rsid w:val="007A5872"/>
    <w:rsid w:val="007B0943"/>
    <w:rsid w:val="007B0D6E"/>
    <w:rsid w:val="007B11B9"/>
    <w:rsid w:val="007B1575"/>
    <w:rsid w:val="007B15F7"/>
    <w:rsid w:val="007B3D41"/>
    <w:rsid w:val="007B4A90"/>
    <w:rsid w:val="007B66E0"/>
    <w:rsid w:val="007C14A1"/>
    <w:rsid w:val="007C3466"/>
    <w:rsid w:val="007C459D"/>
    <w:rsid w:val="007C64F4"/>
    <w:rsid w:val="007C6AD1"/>
    <w:rsid w:val="007C6F3D"/>
    <w:rsid w:val="007D0D5F"/>
    <w:rsid w:val="007D1D83"/>
    <w:rsid w:val="007D39BD"/>
    <w:rsid w:val="007D5B56"/>
    <w:rsid w:val="007D692C"/>
    <w:rsid w:val="007D72B5"/>
    <w:rsid w:val="007D7545"/>
    <w:rsid w:val="007E09D6"/>
    <w:rsid w:val="007E3C04"/>
    <w:rsid w:val="007E5531"/>
    <w:rsid w:val="007E6931"/>
    <w:rsid w:val="007E7D70"/>
    <w:rsid w:val="007F0709"/>
    <w:rsid w:val="007F3613"/>
    <w:rsid w:val="007F5214"/>
    <w:rsid w:val="007F5C5C"/>
    <w:rsid w:val="007F66C4"/>
    <w:rsid w:val="008014EE"/>
    <w:rsid w:val="00801E0E"/>
    <w:rsid w:val="00801FE8"/>
    <w:rsid w:val="00802D9F"/>
    <w:rsid w:val="00805186"/>
    <w:rsid w:val="0080716D"/>
    <w:rsid w:val="00807B50"/>
    <w:rsid w:val="0081025F"/>
    <w:rsid w:val="008113E4"/>
    <w:rsid w:val="0081148F"/>
    <w:rsid w:val="008118B7"/>
    <w:rsid w:val="0081378C"/>
    <w:rsid w:val="008140B4"/>
    <w:rsid w:val="008154B5"/>
    <w:rsid w:val="008159DB"/>
    <w:rsid w:val="00817643"/>
    <w:rsid w:val="00822888"/>
    <w:rsid w:val="00822944"/>
    <w:rsid w:val="00822AB7"/>
    <w:rsid w:val="0083093E"/>
    <w:rsid w:val="008336C3"/>
    <w:rsid w:val="008353EC"/>
    <w:rsid w:val="00835978"/>
    <w:rsid w:val="008368A1"/>
    <w:rsid w:val="00836971"/>
    <w:rsid w:val="008438F7"/>
    <w:rsid w:val="00846480"/>
    <w:rsid w:val="00850C03"/>
    <w:rsid w:val="00856439"/>
    <w:rsid w:val="0085709C"/>
    <w:rsid w:val="00857551"/>
    <w:rsid w:val="008602FF"/>
    <w:rsid w:val="008614DB"/>
    <w:rsid w:val="00861F53"/>
    <w:rsid w:val="00862381"/>
    <w:rsid w:val="00862E2A"/>
    <w:rsid w:val="00865186"/>
    <w:rsid w:val="0086645C"/>
    <w:rsid w:val="008724EB"/>
    <w:rsid w:val="00874551"/>
    <w:rsid w:val="00875201"/>
    <w:rsid w:val="00875C18"/>
    <w:rsid w:val="00877DFC"/>
    <w:rsid w:val="00880591"/>
    <w:rsid w:val="008813C8"/>
    <w:rsid w:val="008819BD"/>
    <w:rsid w:val="008819DC"/>
    <w:rsid w:val="00881C75"/>
    <w:rsid w:val="0089228D"/>
    <w:rsid w:val="00893915"/>
    <w:rsid w:val="00894B0A"/>
    <w:rsid w:val="00894CC6"/>
    <w:rsid w:val="0089615D"/>
    <w:rsid w:val="00896221"/>
    <w:rsid w:val="008964B4"/>
    <w:rsid w:val="008972CA"/>
    <w:rsid w:val="008A07ED"/>
    <w:rsid w:val="008A0C55"/>
    <w:rsid w:val="008A0CEC"/>
    <w:rsid w:val="008A2CD3"/>
    <w:rsid w:val="008A2FB8"/>
    <w:rsid w:val="008A3654"/>
    <w:rsid w:val="008A38E4"/>
    <w:rsid w:val="008A443F"/>
    <w:rsid w:val="008A5261"/>
    <w:rsid w:val="008A721A"/>
    <w:rsid w:val="008B045E"/>
    <w:rsid w:val="008B1893"/>
    <w:rsid w:val="008B2377"/>
    <w:rsid w:val="008B279F"/>
    <w:rsid w:val="008B27C4"/>
    <w:rsid w:val="008B2A46"/>
    <w:rsid w:val="008B37FD"/>
    <w:rsid w:val="008B4634"/>
    <w:rsid w:val="008B5456"/>
    <w:rsid w:val="008B75D5"/>
    <w:rsid w:val="008B7EA7"/>
    <w:rsid w:val="008C0167"/>
    <w:rsid w:val="008C1F32"/>
    <w:rsid w:val="008C2DEA"/>
    <w:rsid w:val="008C5124"/>
    <w:rsid w:val="008C6480"/>
    <w:rsid w:val="008C6FF5"/>
    <w:rsid w:val="008D042F"/>
    <w:rsid w:val="008D0553"/>
    <w:rsid w:val="008D188C"/>
    <w:rsid w:val="008D2034"/>
    <w:rsid w:val="008D2402"/>
    <w:rsid w:val="008D2431"/>
    <w:rsid w:val="008D31F3"/>
    <w:rsid w:val="008D3C33"/>
    <w:rsid w:val="008D4C58"/>
    <w:rsid w:val="008D4E53"/>
    <w:rsid w:val="008D65E9"/>
    <w:rsid w:val="008D66A4"/>
    <w:rsid w:val="008D6D06"/>
    <w:rsid w:val="008E0502"/>
    <w:rsid w:val="008E1D7B"/>
    <w:rsid w:val="008E2364"/>
    <w:rsid w:val="008E308A"/>
    <w:rsid w:val="008E69C9"/>
    <w:rsid w:val="008F0ED4"/>
    <w:rsid w:val="008F15C0"/>
    <w:rsid w:val="008F3157"/>
    <w:rsid w:val="009027E6"/>
    <w:rsid w:val="00903A3A"/>
    <w:rsid w:val="00903FA5"/>
    <w:rsid w:val="00904264"/>
    <w:rsid w:val="00906429"/>
    <w:rsid w:val="00906920"/>
    <w:rsid w:val="0091138D"/>
    <w:rsid w:val="009125E4"/>
    <w:rsid w:val="0091388A"/>
    <w:rsid w:val="00915900"/>
    <w:rsid w:val="00915C5C"/>
    <w:rsid w:val="00916745"/>
    <w:rsid w:val="0092117F"/>
    <w:rsid w:val="00922703"/>
    <w:rsid w:val="0092468B"/>
    <w:rsid w:val="00924A05"/>
    <w:rsid w:val="00924BAF"/>
    <w:rsid w:val="00924DB2"/>
    <w:rsid w:val="009256C6"/>
    <w:rsid w:val="009258B3"/>
    <w:rsid w:val="00926EEA"/>
    <w:rsid w:val="00930607"/>
    <w:rsid w:val="0093111C"/>
    <w:rsid w:val="009314A6"/>
    <w:rsid w:val="009316F7"/>
    <w:rsid w:val="009325F2"/>
    <w:rsid w:val="00933734"/>
    <w:rsid w:val="00937CED"/>
    <w:rsid w:val="00937FCD"/>
    <w:rsid w:val="00941056"/>
    <w:rsid w:val="00942525"/>
    <w:rsid w:val="00942F85"/>
    <w:rsid w:val="00943439"/>
    <w:rsid w:val="009436AD"/>
    <w:rsid w:val="00943AEF"/>
    <w:rsid w:val="00945248"/>
    <w:rsid w:val="00945561"/>
    <w:rsid w:val="0094556C"/>
    <w:rsid w:val="00950F86"/>
    <w:rsid w:val="00952801"/>
    <w:rsid w:val="009532A7"/>
    <w:rsid w:val="00954C71"/>
    <w:rsid w:val="00955DE7"/>
    <w:rsid w:val="00960EA5"/>
    <w:rsid w:val="0096165D"/>
    <w:rsid w:val="009622E0"/>
    <w:rsid w:val="009634EF"/>
    <w:rsid w:val="00964584"/>
    <w:rsid w:val="009647B6"/>
    <w:rsid w:val="009652B2"/>
    <w:rsid w:val="009660B4"/>
    <w:rsid w:val="00970A43"/>
    <w:rsid w:val="00971731"/>
    <w:rsid w:val="009719E3"/>
    <w:rsid w:val="00973C6E"/>
    <w:rsid w:val="00973FB5"/>
    <w:rsid w:val="00974204"/>
    <w:rsid w:val="00974720"/>
    <w:rsid w:val="009757DF"/>
    <w:rsid w:val="009774C2"/>
    <w:rsid w:val="00977CF8"/>
    <w:rsid w:val="009814E8"/>
    <w:rsid w:val="00981640"/>
    <w:rsid w:val="00981FD3"/>
    <w:rsid w:val="00983B12"/>
    <w:rsid w:val="00984325"/>
    <w:rsid w:val="009851CB"/>
    <w:rsid w:val="009871C9"/>
    <w:rsid w:val="0099043E"/>
    <w:rsid w:val="009913C3"/>
    <w:rsid w:val="00991D20"/>
    <w:rsid w:val="0099459F"/>
    <w:rsid w:val="009949CE"/>
    <w:rsid w:val="00995705"/>
    <w:rsid w:val="00997C0C"/>
    <w:rsid w:val="009A006B"/>
    <w:rsid w:val="009A1082"/>
    <w:rsid w:val="009A1B8E"/>
    <w:rsid w:val="009A3A47"/>
    <w:rsid w:val="009A3D90"/>
    <w:rsid w:val="009A4634"/>
    <w:rsid w:val="009A46AE"/>
    <w:rsid w:val="009A5E17"/>
    <w:rsid w:val="009A614A"/>
    <w:rsid w:val="009A618F"/>
    <w:rsid w:val="009B1307"/>
    <w:rsid w:val="009B28E6"/>
    <w:rsid w:val="009B5F15"/>
    <w:rsid w:val="009B6AF4"/>
    <w:rsid w:val="009C0697"/>
    <w:rsid w:val="009C2066"/>
    <w:rsid w:val="009C2941"/>
    <w:rsid w:val="009C32AA"/>
    <w:rsid w:val="009C370A"/>
    <w:rsid w:val="009C37BA"/>
    <w:rsid w:val="009C48C3"/>
    <w:rsid w:val="009C4C99"/>
    <w:rsid w:val="009C63E4"/>
    <w:rsid w:val="009C6486"/>
    <w:rsid w:val="009D0E54"/>
    <w:rsid w:val="009D21BC"/>
    <w:rsid w:val="009D3913"/>
    <w:rsid w:val="009D62D3"/>
    <w:rsid w:val="009D73B9"/>
    <w:rsid w:val="009E0746"/>
    <w:rsid w:val="009E0B89"/>
    <w:rsid w:val="009E272C"/>
    <w:rsid w:val="009E46DE"/>
    <w:rsid w:val="009E5191"/>
    <w:rsid w:val="009E6600"/>
    <w:rsid w:val="009E6D80"/>
    <w:rsid w:val="009E6DAA"/>
    <w:rsid w:val="009F1D9E"/>
    <w:rsid w:val="009F2092"/>
    <w:rsid w:val="009F3F82"/>
    <w:rsid w:val="009F52BB"/>
    <w:rsid w:val="009F680F"/>
    <w:rsid w:val="00A01596"/>
    <w:rsid w:val="00A02097"/>
    <w:rsid w:val="00A02743"/>
    <w:rsid w:val="00A06304"/>
    <w:rsid w:val="00A06B8C"/>
    <w:rsid w:val="00A11023"/>
    <w:rsid w:val="00A11F92"/>
    <w:rsid w:val="00A1226C"/>
    <w:rsid w:val="00A12A38"/>
    <w:rsid w:val="00A1356C"/>
    <w:rsid w:val="00A1486D"/>
    <w:rsid w:val="00A14DD1"/>
    <w:rsid w:val="00A1503F"/>
    <w:rsid w:val="00A163A6"/>
    <w:rsid w:val="00A16559"/>
    <w:rsid w:val="00A2012E"/>
    <w:rsid w:val="00A21DC2"/>
    <w:rsid w:val="00A2269C"/>
    <w:rsid w:val="00A229E3"/>
    <w:rsid w:val="00A2302B"/>
    <w:rsid w:val="00A2698C"/>
    <w:rsid w:val="00A31318"/>
    <w:rsid w:val="00A32FBD"/>
    <w:rsid w:val="00A33B00"/>
    <w:rsid w:val="00A35115"/>
    <w:rsid w:val="00A36660"/>
    <w:rsid w:val="00A36671"/>
    <w:rsid w:val="00A37098"/>
    <w:rsid w:val="00A400C1"/>
    <w:rsid w:val="00A40CFE"/>
    <w:rsid w:val="00A41AA9"/>
    <w:rsid w:val="00A42AA6"/>
    <w:rsid w:val="00A42C8C"/>
    <w:rsid w:val="00A432E6"/>
    <w:rsid w:val="00A46C59"/>
    <w:rsid w:val="00A476A3"/>
    <w:rsid w:val="00A51C79"/>
    <w:rsid w:val="00A51DB3"/>
    <w:rsid w:val="00A52B42"/>
    <w:rsid w:val="00A54CDE"/>
    <w:rsid w:val="00A55D6B"/>
    <w:rsid w:val="00A56F71"/>
    <w:rsid w:val="00A572AA"/>
    <w:rsid w:val="00A57A5F"/>
    <w:rsid w:val="00A57B4B"/>
    <w:rsid w:val="00A60199"/>
    <w:rsid w:val="00A60230"/>
    <w:rsid w:val="00A606B4"/>
    <w:rsid w:val="00A618A1"/>
    <w:rsid w:val="00A62877"/>
    <w:rsid w:val="00A64FBF"/>
    <w:rsid w:val="00A65218"/>
    <w:rsid w:val="00A6562F"/>
    <w:rsid w:val="00A65C32"/>
    <w:rsid w:val="00A67F62"/>
    <w:rsid w:val="00A71B80"/>
    <w:rsid w:val="00A74AD2"/>
    <w:rsid w:val="00A753D2"/>
    <w:rsid w:val="00A75E4D"/>
    <w:rsid w:val="00A768A8"/>
    <w:rsid w:val="00A8215C"/>
    <w:rsid w:val="00A84980"/>
    <w:rsid w:val="00A86610"/>
    <w:rsid w:val="00A86E89"/>
    <w:rsid w:val="00A87699"/>
    <w:rsid w:val="00A87953"/>
    <w:rsid w:val="00A96213"/>
    <w:rsid w:val="00A96AF1"/>
    <w:rsid w:val="00AA20B2"/>
    <w:rsid w:val="00AA2B7D"/>
    <w:rsid w:val="00AA2FF6"/>
    <w:rsid w:val="00AA3714"/>
    <w:rsid w:val="00AA4655"/>
    <w:rsid w:val="00AA5C00"/>
    <w:rsid w:val="00AB0577"/>
    <w:rsid w:val="00AB3187"/>
    <w:rsid w:val="00AB3660"/>
    <w:rsid w:val="00AB3FE5"/>
    <w:rsid w:val="00AB42A0"/>
    <w:rsid w:val="00AB7D1C"/>
    <w:rsid w:val="00AC0A2F"/>
    <w:rsid w:val="00AC1087"/>
    <w:rsid w:val="00AC1FB5"/>
    <w:rsid w:val="00AC2422"/>
    <w:rsid w:val="00AC2F46"/>
    <w:rsid w:val="00AC3547"/>
    <w:rsid w:val="00AC3F12"/>
    <w:rsid w:val="00AC4B1B"/>
    <w:rsid w:val="00AC65C7"/>
    <w:rsid w:val="00AC7098"/>
    <w:rsid w:val="00AC7EF1"/>
    <w:rsid w:val="00AD0B34"/>
    <w:rsid w:val="00AD2B7C"/>
    <w:rsid w:val="00AD2F77"/>
    <w:rsid w:val="00AD3E88"/>
    <w:rsid w:val="00AD5DCC"/>
    <w:rsid w:val="00AD71D8"/>
    <w:rsid w:val="00AE01A4"/>
    <w:rsid w:val="00AE03C5"/>
    <w:rsid w:val="00AE09B9"/>
    <w:rsid w:val="00AE1C88"/>
    <w:rsid w:val="00AE1FD4"/>
    <w:rsid w:val="00AE36CA"/>
    <w:rsid w:val="00AE48EA"/>
    <w:rsid w:val="00AE49B4"/>
    <w:rsid w:val="00AE6346"/>
    <w:rsid w:val="00AE6D7F"/>
    <w:rsid w:val="00AF0F90"/>
    <w:rsid w:val="00AF2386"/>
    <w:rsid w:val="00AF37CE"/>
    <w:rsid w:val="00AF3C7B"/>
    <w:rsid w:val="00AF3EC1"/>
    <w:rsid w:val="00AF5D8D"/>
    <w:rsid w:val="00AF62F2"/>
    <w:rsid w:val="00AF67D9"/>
    <w:rsid w:val="00AF6B94"/>
    <w:rsid w:val="00B018F7"/>
    <w:rsid w:val="00B02238"/>
    <w:rsid w:val="00B03CDA"/>
    <w:rsid w:val="00B03FAD"/>
    <w:rsid w:val="00B05C5E"/>
    <w:rsid w:val="00B05D15"/>
    <w:rsid w:val="00B1038D"/>
    <w:rsid w:val="00B133A6"/>
    <w:rsid w:val="00B147B0"/>
    <w:rsid w:val="00B22D95"/>
    <w:rsid w:val="00B23299"/>
    <w:rsid w:val="00B23483"/>
    <w:rsid w:val="00B234C8"/>
    <w:rsid w:val="00B23C90"/>
    <w:rsid w:val="00B24345"/>
    <w:rsid w:val="00B2467A"/>
    <w:rsid w:val="00B253E7"/>
    <w:rsid w:val="00B26198"/>
    <w:rsid w:val="00B27E7E"/>
    <w:rsid w:val="00B301C7"/>
    <w:rsid w:val="00B31971"/>
    <w:rsid w:val="00B339AD"/>
    <w:rsid w:val="00B34CF8"/>
    <w:rsid w:val="00B3733A"/>
    <w:rsid w:val="00B40207"/>
    <w:rsid w:val="00B40742"/>
    <w:rsid w:val="00B40D9E"/>
    <w:rsid w:val="00B41979"/>
    <w:rsid w:val="00B4240F"/>
    <w:rsid w:val="00B43CEA"/>
    <w:rsid w:val="00B444FC"/>
    <w:rsid w:val="00B46983"/>
    <w:rsid w:val="00B4725F"/>
    <w:rsid w:val="00B514AE"/>
    <w:rsid w:val="00B53C48"/>
    <w:rsid w:val="00B55530"/>
    <w:rsid w:val="00B557F8"/>
    <w:rsid w:val="00B55FF1"/>
    <w:rsid w:val="00B571D6"/>
    <w:rsid w:val="00B5770E"/>
    <w:rsid w:val="00B57C78"/>
    <w:rsid w:val="00B611C5"/>
    <w:rsid w:val="00B613A2"/>
    <w:rsid w:val="00B65ABA"/>
    <w:rsid w:val="00B65C12"/>
    <w:rsid w:val="00B7034B"/>
    <w:rsid w:val="00B704F8"/>
    <w:rsid w:val="00B712F5"/>
    <w:rsid w:val="00B71FB7"/>
    <w:rsid w:val="00B7347B"/>
    <w:rsid w:val="00B73B9C"/>
    <w:rsid w:val="00B7463C"/>
    <w:rsid w:val="00B75228"/>
    <w:rsid w:val="00B77210"/>
    <w:rsid w:val="00B819B8"/>
    <w:rsid w:val="00B8373F"/>
    <w:rsid w:val="00B8418F"/>
    <w:rsid w:val="00B86040"/>
    <w:rsid w:val="00B8712F"/>
    <w:rsid w:val="00B90AAA"/>
    <w:rsid w:val="00B90CC3"/>
    <w:rsid w:val="00B914A4"/>
    <w:rsid w:val="00B91F26"/>
    <w:rsid w:val="00B93553"/>
    <w:rsid w:val="00BA0A7E"/>
    <w:rsid w:val="00BA1135"/>
    <w:rsid w:val="00BA142D"/>
    <w:rsid w:val="00BA2DB3"/>
    <w:rsid w:val="00BA355D"/>
    <w:rsid w:val="00BA45F2"/>
    <w:rsid w:val="00BA7B16"/>
    <w:rsid w:val="00BB05EA"/>
    <w:rsid w:val="00BB15B7"/>
    <w:rsid w:val="00BB1B29"/>
    <w:rsid w:val="00BB1D41"/>
    <w:rsid w:val="00BB3F75"/>
    <w:rsid w:val="00BB4472"/>
    <w:rsid w:val="00BB5719"/>
    <w:rsid w:val="00BB5E77"/>
    <w:rsid w:val="00BB5E8D"/>
    <w:rsid w:val="00BB75C7"/>
    <w:rsid w:val="00BC1841"/>
    <w:rsid w:val="00BC2A2D"/>
    <w:rsid w:val="00BC3304"/>
    <w:rsid w:val="00BC3860"/>
    <w:rsid w:val="00BC39E2"/>
    <w:rsid w:val="00BC5BC2"/>
    <w:rsid w:val="00BC6DFC"/>
    <w:rsid w:val="00BC7809"/>
    <w:rsid w:val="00BD0963"/>
    <w:rsid w:val="00BD0C92"/>
    <w:rsid w:val="00BD0F20"/>
    <w:rsid w:val="00BD1166"/>
    <w:rsid w:val="00BD2227"/>
    <w:rsid w:val="00BD243B"/>
    <w:rsid w:val="00BD2933"/>
    <w:rsid w:val="00BD4773"/>
    <w:rsid w:val="00BD6D9A"/>
    <w:rsid w:val="00BD7894"/>
    <w:rsid w:val="00BD7B4D"/>
    <w:rsid w:val="00BE0DE8"/>
    <w:rsid w:val="00BE1030"/>
    <w:rsid w:val="00BE3A50"/>
    <w:rsid w:val="00BE556D"/>
    <w:rsid w:val="00BE5691"/>
    <w:rsid w:val="00BF06F6"/>
    <w:rsid w:val="00BF1A19"/>
    <w:rsid w:val="00BF5E98"/>
    <w:rsid w:val="00C0037B"/>
    <w:rsid w:val="00C0143B"/>
    <w:rsid w:val="00C014A4"/>
    <w:rsid w:val="00C023B5"/>
    <w:rsid w:val="00C02F23"/>
    <w:rsid w:val="00C04CA1"/>
    <w:rsid w:val="00C056A8"/>
    <w:rsid w:val="00C06A38"/>
    <w:rsid w:val="00C074F8"/>
    <w:rsid w:val="00C10841"/>
    <w:rsid w:val="00C113FB"/>
    <w:rsid w:val="00C12508"/>
    <w:rsid w:val="00C13289"/>
    <w:rsid w:val="00C13309"/>
    <w:rsid w:val="00C13391"/>
    <w:rsid w:val="00C1401C"/>
    <w:rsid w:val="00C14047"/>
    <w:rsid w:val="00C142B1"/>
    <w:rsid w:val="00C156C9"/>
    <w:rsid w:val="00C15F79"/>
    <w:rsid w:val="00C16B72"/>
    <w:rsid w:val="00C1753B"/>
    <w:rsid w:val="00C20553"/>
    <w:rsid w:val="00C20F5E"/>
    <w:rsid w:val="00C22391"/>
    <w:rsid w:val="00C22F33"/>
    <w:rsid w:val="00C2396A"/>
    <w:rsid w:val="00C240AF"/>
    <w:rsid w:val="00C2588E"/>
    <w:rsid w:val="00C26F11"/>
    <w:rsid w:val="00C27537"/>
    <w:rsid w:val="00C27F9D"/>
    <w:rsid w:val="00C32CA9"/>
    <w:rsid w:val="00C3505C"/>
    <w:rsid w:val="00C357C6"/>
    <w:rsid w:val="00C36DF4"/>
    <w:rsid w:val="00C3703E"/>
    <w:rsid w:val="00C37FC4"/>
    <w:rsid w:val="00C420D2"/>
    <w:rsid w:val="00C424E8"/>
    <w:rsid w:val="00C4365E"/>
    <w:rsid w:val="00C453B7"/>
    <w:rsid w:val="00C50E21"/>
    <w:rsid w:val="00C515D4"/>
    <w:rsid w:val="00C51ACF"/>
    <w:rsid w:val="00C5253B"/>
    <w:rsid w:val="00C52F17"/>
    <w:rsid w:val="00C5384F"/>
    <w:rsid w:val="00C53A3D"/>
    <w:rsid w:val="00C53E4F"/>
    <w:rsid w:val="00C549FC"/>
    <w:rsid w:val="00C61432"/>
    <w:rsid w:val="00C61582"/>
    <w:rsid w:val="00C61B81"/>
    <w:rsid w:val="00C64854"/>
    <w:rsid w:val="00C64960"/>
    <w:rsid w:val="00C65C59"/>
    <w:rsid w:val="00C66311"/>
    <w:rsid w:val="00C674B0"/>
    <w:rsid w:val="00C707BF"/>
    <w:rsid w:val="00C70B3D"/>
    <w:rsid w:val="00C7142E"/>
    <w:rsid w:val="00C715D3"/>
    <w:rsid w:val="00C71B12"/>
    <w:rsid w:val="00C777A1"/>
    <w:rsid w:val="00C77E57"/>
    <w:rsid w:val="00C83246"/>
    <w:rsid w:val="00C85C48"/>
    <w:rsid w:val="00C87063"/>
    <w:rsid w:val="00C90E53"/>
    <w:rsid w:val="00C92B0F"/>
    <w:rsid w:val="00C92F2F"/>
    <w:rsid w:val="00C9447C"/>
    <w:rsid w:val="00C952E5"/>
    <w:rsid w:val="00CA185B"/>
    <w:rsid w:val="00CA188C"/>
    <w:rsid w:val="00CA293F"/>
    <w:rsid w:val="00CA2C06"/>
    <w:rsid w:val="00CA2C2A"/>
    <w:rsid w:val="00CA2EC6"/>
    <w:rsid w:val="00CA38A8"/>
    <w:rsid w:val="00CA4849"/>
    <w:rsid w:val="00CA63D3"/>
    <w:rsid w:val="00CA75E3"/>
    <w:rsid w:val="00CB025C"/>
    <w:rsid w:val="00CB0779"/>
    <w:rsid w:val="00CB0B97"/>
    <w:rsid w:val="00CB141F"/>
    <w:rsid w:val="00CB464D"/>
    <w:rsid w:val="00CB5545"/>
    <w:rsid w:val="00CB5A57"/>
    <w:rsid w:val="00CB70EC"/>
    <w:rsid w:val="00CB74A8"/>
    <w:rsid w:val="00CB7FAA"/>
    <w:rsid w:val="00CC2A65"/>
    <w:rsid w:val="00CC2B80"/>
    <w:rsid w:val="00CC3855"/>
    <w:rsid w:val="00CC42A2"/>
    <w:rsid w:val="00CC7F21"/>
    <w:rsid w:val="00CD084F"/>
    <w:rsid w:val="00CD0CDF"/>
    <w:rsid w:val="00CD18F2"/>
    <w:rsid w:val="00CD1923"/>
    <w:rsid w:val="00CD20C3"/>
    <w:rsid w:val="00CD49F8"/>
    <w:rsid w:val="00CD5131"/>
    <w:rsid w:val="00CD683C"/>
    <w:rsid w:val="00CD6F65"/>
    <w:rsid w:val="00CE0E54"/>
    <w:rsid w:val="00CE18CD"/>
    <w:rsid w:val="00CE1946"/>
    <w:rsid w:val="00CE265A"/>
    <w:rsid w:val="00CE2795"/>
    <w:rsid w:val="00CE32B1"/>
    <w:rsid w:val="00CE3819"/>
    <w:rsid w:val="00CE41BE"/>
    <w:rsid w:val="00CE4298"/>
    <w:rsid w:val="00CE4AB8"/>
    <w:rsid w:val="00CF0616"/>
    <w:rsid w:val="00CF0EB3"/>
    <w:rsid w:val="00CF1E81"/>
    <w:rsid w:val="00CF3D12"/>
    <w:rsid w:val="00CF4D7F"/>
    <w:rsid w:val="00CF5EFB"/>
    <w:rsid w:val="00CF6113"/>
    <w:rsid w:val="00CF7BE2"/>
    <w:rsid w:val="00D008A2"/>
    <w:rsid w:val="00D01EA6"/>
    <w:rsid w:val="00D02234"/>
    <w:rsid w:val="00D0260C"/>
    <w:rsid w:val="00D02FAD"/>
    <w:rsid w:val="00D04E7B"/>
    <w:rsid w:val="00D05866"/>
    <w:rsid w:val="00D05E99"/>
    <w:rsid w:val="00D072BE"/>
    <w:rsid w:val="00D11758"/>
    <w:rsid w:val="00D1197B"/>
    <w:rsid w:val="00D13574"/>
    <w:rsid w:val="00D14BC6"/>
    <w:rsid w:val="00D14F05"/>
    <w:rsid w:val="00D1687D"/>
    <w:rsid w:val="00D17626"/>
    <w:rsid w:val="00D22B1C"/>
    <w:rsid w:val="00D2313A"/>
    <w:rsid w:val="00D234BA"/>
    <w:rsid w:val="00D23871"/>
    <w:rsid w:val="00D24523"/>
    <w:rsid w:val="00D260B3"/>
    <w:rsid w:val="00D2659E"/>
    <w:rsid w:val="00D27758"/>
    <w:rsid w:val="00D309FB"/>
    <w:rsid w:val="00D31385"/>
    <w:rsid w:val="00D32619"/>
    <w:rsid w:val="00D32639"/>
    <w:rsid w:val="00D3386E"/>
    <w:rsid w:val="00D33D39"/>
    <w:rsid w:val="00D341A0"/>
    <w:rsid w:val="00D35EE8"/>
    <w:rsid w:val="00D36560"/>
    <w:rsid w:val="00D40900"/>
    <w:rsid w:val="00D41CF8"/>
    <w:rsid w:val="00D44221"/>
    <w:rsid w:val="00D446C8"/>
    <w:rsid w:val="00D44B0E"/>
    <w:rsid w:val="00D455FB"/>
    <w:rsid w:val="00D463CC"/>
    <w:rsid w:val="00D507FA"/>
    <w:rsid w:val="00D509ED"/>
    <w:rsid w:val="00D509FA"/>
    <w:rsid w:val="00D50A7A"/>
    <w:rsid w:val="00D51406"/>
    <w:rsid w:val="00D52DCE"/>
    <w:rsid w:val="00D535E2"/>
    <w:rsid w:val="00D540E6"/>
    <w:rsid w:val="00D55F89"/>
    <w:rsid w:val="00D5607D"/>
    <w:rsid w:val="00D56A56"/>
    <w:rsid w:val="00D56C1C"/>
    <w:rsid w:val="00D57F55"/>
    <w:rsid w:val="00D6233D"/>
    <w:rsid w:val="00D629BE"/>
    <w:rsid w:val="00D63FCA"/>
    <w:rsid w:val="00D64040"/>
    <w:rsid w:val="00D645A3"/>
    <w:rsid w:val="00D649D5"/>
    <w:rsid w:val="00D65712"/>
    <w:rsid w:val="00D6605D"/>
    <w:rsid w:val="00D672DE"/>
    <w:rsid w:val="00D701D5"/>
    <w:rsid w:val="00D70365"/>
    <w:rsid w:val="00D71048"/>
    <w:rsid w:val="00D7144E"/>
    <w:rsid w:val="00D7154D"/>
    <w:rsid w:val="00D7487D"/>
    <w:rsid w:val="00D7601C"/>
    <w:rsid w:val="00D77478"/>
    <w:rsid w:val="00D7772A"/>
    <w:rsid w:val="00D81B9E"/>
    <w:rsid w:val="00D836B4"/>
    <w:rsid w:val="00D836DC"/>
    <w:rsid w:val="00D83F5A"/>
    <w:rsid w:val="00D85790"/>
    <w:rsid w:val="00D9469B"/>
    <w:rsid w:val="00D97E7A"/>
    <w:rsid w:val="00DA010B"/>
    <w:rsid w:val="00DA12A1"/>
    <w:rsid w:val="00DA2C8B"/>
    <w:rsid w:val="00DA3547"/>
    <w:rsid w:val="00DA3B56"/>
    <w:rsid w:val="00DA48C5"/>
    <w:rsid w:val="00DA7AD7"/>
    <w:rsid w:val="00DB0037"/>
    <w:rsid w:val="00DB0D7C"/>
    <w:rsid w:val="00DB25D0"/>
    <w:rsid w:val="00DB4879"/>
    <w:rsid w:val="00DB4FD2"/>
    <w:rsid w:val="00DB5AD7"/>
    <w:rsid w:val="00DB6545"/>
    <w:rsid w:val="00DB7CA5"/>
    <w:rsid w:val="00DC0F23"/>
    <w:rsid w:val="00DC1E5C"/>
    <w:rsid w:val="00DC1E73"/>
    <w:rsid w:val="00DC21CA"/>
    <w:rsid w:val="00DC29F7"/>
    <w:rsid w:val="00DC3167"/>
    <w:rsid w:val="00DC4344"/>
    <w:rsid w:val="00DC4B78"/>
    <w:rsid w:val="00DC562C"/>
    <w:rsid w:val="00DC5965"/>
    <w:rsid w:val="00DC675C"/>
    <w:rsid w:val="00DC725E"/>
    <w:rsid w:val="00DC7CC0"/>
    <w:rsid w:val="00DD02C7"/>
    <w:rsid w:val="00DD2A4A"/>
    <w:rsid w:val="00DD2ECC"/>
    <w:rsid w:val="00DD5546"/>
    <w:rsid w:val="00DE29D6"/>
    <w:rsid w:val="00DE4B13"/>
    <w:rsid w:val="00DE545B"/>
    <w:rsid w:val="00DE74D0"/>
    <w:rsid w:val="00DE77D1"/>
    <w:rsid w:val="00DE7E43"/>
    <w:rsid w:val="00DF0C7D"/>
    <w:rsid w:val="00DF1BA1"/>
    <w:rsid w:val="00DF2E67"/>
    <w:rsid w:val="00DF3536"/>
    <w:rsid w:val="00DF4160"/>
    <w:rsid w:val="00DF464C"/>
    <w:rsid w:val="00E007A6"/>
    <w:rsid w:val="00E020DF"/>
    <w:rsid w:val="00E057D7"/>
    <w:rsid w:val="00E079C6"/>
    <w:rsid w:val="00E11131"/>
    <w:rsid w:val="00E117AB"/>
    <w:rsid w:val="00E123E5"/>
    <w:rsid w:val="00E14B20"/>
    <w:rsid w:val="00E14F8C"/>
    <w:rsid w:val="00E1579A"/>
    <w:rsid w:val="00E159AE"/>
    <w:rsid w:val="00E15B4D"/>
    <w:rsid w:val="00E17F5A"/>
    <w:rsid w:val="00E210D4"/>
    <w:rsid w:val="00E22076"/>
    <w:rsid w:val="00E220C0"/>
    <w:rsid w:val="00E22376"/>
    <w:rsid w:val="00E225AA"/>
    <w:rsid w:val="00E22FB9"/>
    <w:rsid w:val="00E2516A"/>
    <w:rsid w:val="00E252B5"/>
    <w:rsid w:val="00E2624B"/>
    <w:rsid w:val="00E26E5F"/>
    <w:rsid w:val="00E26F52"/>
    <w:rsid w:val="00E30670"/>
    <w:rsid w:val="00E33C3A"/>
    <w:rsid w:val="00E3440F"/>
    <w:rsid w:val="00E35A47"/>
    <w:rsid w:val="00E369B2"/>
    <w:rsid w:val="00E4035D"/>
    <w:rsid w:val="00E426CB"/>
    <w:rsid w:val="00E427D2"/>
    <w:rsid w:val="00E436B5"/>
    <w:rsid w:val="00E43F71"/>
    <w:rsid w:val="00E44043"/>
    <w:rsid w:val="00E44EA0"/>
    <w:rsid w:val="00E45D60"/>
    <w:rsid w:val="00E46CE8"/>
    <w:rsid w:val="00E46E25"/>
    <w:rsid w:val="00E47144"/>
    <w:rsid w:val="00E47B65"/>
    <w:rsid w:val="00E47F19"/>
    <w:rsid w:val="00E516AD"/>
    <w:rsid w:val="00E518B4"/>
    <w:rsid w:val="00E5225C"/>
    <w:rsid w:val="00E53344"/>
    <w:rsid w:val="00E54A79"/>
    <w:rsid w:val="00E54FC8"/>
    <w:rsid w:val="00E55077"/>
    <w:rsid w:val="00E55482"/>
    <w:rsid w:val="00E55753"/>
    <w:rsid w:val="00E559CC"/>
    <w:rsid w:val="00E55B79"/>
    <w:rsid w:val="00E55F75"/>
    <w:rsid w:val="00E57305"/>
    <w:rsid w:val="00E607F0"/>
    <w:rsid w:val="00E60BB3"/>
    <w:rsid w:val="00E63175"/>
    <w:rsid w:val="00E637E3"/>
    <w:rsid w:val="00E63905"/>
    <w:rsid w:val="00E66292"/>
    <w:rsid w:val="00E667AF"/>
    <w:rsid w:val="00E6782B"/>
    <w:rsid w:val="00E70E98"/>
    <w:rsid w:val="00E714A0"/>
    <w:rsid w:val="00E72510"/>
    <w:rsid w:val="00E7318B"/>
    <w:rsid w:val="00E7378D"/>
    <w:rsid w:val="00E739B9"/>
    <w:rsid w:val="00E82EE6"/>
    <w:rsid w:val="00E84465"/>
    <w:rsid w:val="00E85284"/>
    <w:rsid w:val="00E858F0"/>
    <w:rsid w:val="00E8755C"/>
    <w:rsid w:val="00E90868"/>
    <w:rsid w:val="00E924DC"/>
    <w:rsid w:val="00E92D31"/>
    <w:rsid w:val="00E9628E"/>
    <w:rsid w:val="00E97041"/>
    <w:rsid w:val="00E97BAE"/>
    <w:rsid w:val="00EA14C7"/>
    <w:rsid w:val="00EA1A93"/>
    <w:rsid w:val="00EA2359"/>
    <w:rsid w:val="00EA3548"/>
    <w:rsid w:val="00EA42AA"/>
    <w:rsid w:val="00EA5D1C"/>
    <w:rsid w:val="00EA6944"/>
    <w:rsid w:val="00EA7204"/>
    <w:rsid w:val="00EB64F5"/>
    <w:rsid w:val="00EB6CA1"/>
    <w:rsid w:val="00EB6F27"/>
    <w:rsid w:val="00EB7C16"/>
    <w:rsid w:val="00EC0A68"/>
    <w:rsid w:val="00EC113B"/>
    <w:rsid w:val="00EC18C2"/>
    <w:rsid w:val="00EC1BFD"/>
    <w:rsid w:val="00EC1C07"/>
    <w:rsid w:val="00EC5942"/>
    <w:rsid w:val="00EC6683"/>
    <w:rsid w:val="00EC6CA0"/>
    <w:rsid w:val="00EC7EC7"/>
    <w:rsid w:val="00ED03F4"/>
    <w:rsid w:val="00ED046E"/>
    <w:rsid w:val="00ED0AAE"/>
    <w:rsid w:val="00ED0BE2"/>
    <w:rsid w:val="00ED0D42"/>
    <w:rsid w:val="00ED1BC3"/>
    <w:rsid w:val="00ED217F"/>
    <w:rsid w:val="00ED2A0C"/>
    <w:rsid w:val="00ED328E"/>
    <w:rsid w:val="00ED3392"/>
    <w:rsid w:val="00ED3462"/>
    <w:rsid w:val="00ED36AB"/>
    <w:rsid w:val="00ED3979"/>
    <w:rsid w:val="00ED6D59"/>
    <w:rsid w:val="00EE12CD"/>
    <w:rsid w:val="00EE1A8B"/>
    <w:rsid w:val="00EE4228"/>
    <w:rsid w:val="00EE5884"/>
    <w:rsid w:val="00EE6CF0"/>
    <w:rsid w:val="00EE7C4A"/>
    <w:rsid w:val="00EE7C7E"/>
    <w:rsid w:val="00EF09B7"/>
    <w:rsid w:val="00EF0D11"/>
    <w:rsid w:val="00EF202A"/>
    <w:rsid w:val="00EF2332"/>
    <w:rsid w:val="00EF2EAB"/>
    <w:rsid w:val="00EF6010"/>
    <w:rsid w:val="00EF6459"/>
    <w:rsid w:val="00EF7295"/>
    <w:rsid w:val="00EF7A8F"/>
    <w:rsid w:val="00EF7CE8"/>
    <w:rsid w:val="00F03A81"/>
    <w:rsid w:val="00F0424F"/>
    <w:rsid w:val="00F053E3"/>
    <w:rsid w:val="00F0592B"/>
    <w:rsid w:val="00F06549"/>
    <w:rsid w:val="00F07112"/>
    <w:rsid w:val="00F10EC4"/>
    <w:rsid w:val="00F13DF3"/>
    <w:rsid w:val="00F1401D"/>
    <w:rsid w:val="00F15D28"/>
    <w:rsid w:val="00F17ABE"/>
    <w:rsid w:val="00F235FB"/>
    <w:rsid w:val="00F2412D"/>
    <w:rsid w:val="00F25521"/>
    <w:rsid w:val="00F25B95"/>
    <w:rsid w:val="00F2687B"/>
    <w:rsid w:val="00F33A05"/>
    <w:rsid w:val="00F33A0C"/>
    <w:rsid w:val="00F34AAD"/>
    <w:rsid w:val="00F34F06"/>
    <w:rsid w:val="00F352C1"/>
    <w:rsid w:val="00F3792A"/>
    <w:rsid w:val="00F4005A"/>
    <w:rsid w:val="00F4427A"/>
    <w:rsid w:val="00F448F0"/>
    <w:rsid w:val="00F467B7"/>
    <w:rsid w:val="00F470E2"/>
    <w:rsid w:val="00F50748"/>
    <w:rsid w:val="00F5193B"/>
    <w:rsid w:val="00F53880"/>
    <w:rsid w:val="00F5425C"/>
    <w:rsid w:val="00F552AE"/>
    <w:rsid w:val="00F55AA1"/>
    <w:rsid w:val="00F55D39"/>
    <w:rsid w:val="00F612F7"/>
    <w:rsid w:val="00F613E9"/>
    <w:rsid w:val="00F614C6"/>
    <w:rsid w:val="00F61ABE"/>
    <w:rsid w:val="00F62DAD"/>
    <w:rsid w:val="00F637CF"/>
    <w:rsid w:val="00F6454D"/>
    <w:rsid w:val="00F64AE7"/>
    <w:rsid w:val="00F653AB"/>
    <w:rsid w:val="00F673CF"/>
    <w:rsid w:val="00F6780B"/>
    <w:rsid w:val="00F70240"/>
    <w:rsid w:val="00F7196D"/>
    <w:rsid w:val="00F720EC"/>
    <w:rsid w:val="00F72875"/>
    <w:rsid w:val="00F72B3A"/>
    <w:rsid w:val="00F741A1"/>
    <w:rsid w:val="00F75FAA"/>
    <w:rsid w:val="00F76BF8"/>
    <w:rsid w:val="00F773CD"/>
    <w:rsid w:val="00F80AF4"/>
    <w:rsid w:val="00F8106D"/>
    <w:rsid w:val="00F81980"/>
    <w:rsid w:val="00F8207A"/>
    <w:rsid w:val="00F8263D"/>
    <w:rsid w:val="00F82F06"/>
    <w:rsid w:val="00F8350F"/>
    <w:rsid w:val="00F838D9"/>
    <w:rsid w:val="00F85C4B"/>
    <w:rsid w:val="00F868FC"/>
    <w:rsid w:val="00F91E90"/>
    <w:rsid w:val="00F928A3"/>
    <w:rsid w:val="00F92A51"/>
    <w:rsid w:val="00F949A1"/>
    <w:rsid w:val="00F95127"/>
    <w:rsid w:val="00F9568A"/>
    <w:rsid w:val="00F965AF"/>
    <w:rsid w:val="00F96D52"/>
    <w:rsid w:val="00F9787B"/>
    <w:rsid w:val="00FA019A"/>
    <w:rsid w:val="00FA2719"/>
    <w:rsid w:val="00FA2756"/>
    <w:rsid w:val="00FA2FB2"/>
    <w:rsid w:val="00FA61C0"/>
    <w:rsid w:val="00FA6BD3"/>
    <w:rsid w:val="00FA7E19"/>
    <w:rsid w:val="00FB200E"/>
    <w:rsid w:val="00FB41E1"/>
    <w:rsid w:val="00FB46B4"/>
    <w:rsid w:val="00FB4CB7"/>
    <w:rsid w:val="00FB60CF"/>
    <w:rsid w:val="00FB6631"/>
    <w:rsid w:val="00FC0D84"/>
    <w:rsid w:val="00FC2EE5"/>
    <w:rsid w:val="00FC2EF4"/>
    <w:rsid w:val="00FC2FE5"/>
    <w:rsid w:val="00FC31E3"/>
    <w:rsid w:val="00FC34E8"/>
    <w:rsid w:val="00FC54E1"/>
    <w:rsid w:val="00FC57E2"/>
    <w:rsid w:val="00FC5886"/>
    <w:rsid w:val="00FC6609"/>
    <w:rsid w:val="00FD1F03"/>
    <w:rsid w:val="00FD2D1E"/>
    <w:rsid w:val="00FD319E"/>
    <w:rsid w:val="00FD7BEC"/>
    <w:rsid w:val="00FE1ACC"/>
    <w:rsid w:val="00FE1FFB"/>
    <w:rsid w:val="00FE21DA"/>
    <w:rsid w:val="00FE2B23"/>
    <w:rsid w:val="00FE2E26"/>
    <w:rsid w:val="00FE3B7D"/>
    <w:rsid w:val="00FE6103"/>
    <w:rsid w:val="00FE74D3"/>
    <w:rsid w:val="00FE77C7"/>
    <w:rsid w:val="00FF00DE"/>
    <w:rsid w:val="00FF28E7"/>
    <w:rsid w:val="00FF4BB6"/>
    <w:rsid w:val="00FF60BB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E0D8C"/>
  <w15:chartTrackingRefBased/>
  <w15:docId w15:val="{E604A844-7B31-417B-82E6-0052BE60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E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E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E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E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E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E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7E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E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7E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E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EF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1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86E"/>
  </w:style>
  <w:style w:type="paragraph" w:styleId="Piedepgina">
    <w:name w:val="footer"/>
    <w:basedOn w:val="Normal"/>
    <w:link w:val="PiedepginaCar"/>
    <w:uiPriority w:val="99"/>
    <w:unhideWhenUsed/>
    <w:rsid w:val="00271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86E"/>
  </w:style>
  <w:style w:type="character" w:styleId="Hipervnculo">
    <w:name w:val="Hyperlink"/>
    <w:uiPriority w:val="99"/>
    <w:unhideWhenUsed/>
    <w:rsid w:val="005D07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B68C2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62381"/>
    <w:rPr>
      <w:b/>
      <w:bCs/>
    </w:rPr>
  </w:style>
  <w:style w:type="character" w:customStyle="1" w:styleId="ui-provider">
    <w:name w:val="ui-provider"/>
    <w:basedOn w:val="Fuentedeprrafopredeter"/>
    <w:rsid w:val="00B57C78"/>
  </w:style>
  <w:style w:type="character" w:styleId="Refdecomentario">
    <w:name w:val="annotation reference"/>
    <w:basedOn w:val="Fuentedeprrafopredeter"/>
    <w:uiPriority w:val="99"/>
    <w:semiHidden/>
    <w:unhideWhenUsed/>
    <w:rsid w:val="00D83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36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36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3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36D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acionalquilerseguro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fe94c-0cad-405c-9c1d-c4b8836841c9">
      <Terms xmlns="http://schemas.microsoft.com/office/infopath/2007/PartnerControls"/>
    </lcf76f155ced4ddcb4097134ff3c332f>
    <TaxCatchAll xmlns="4bdc35ca-d498-4be8-8ca3-0de12fcdb3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0D4C2C3FA2C46A5823140B444E860" ma:contentTypeVersion="15" ma:contentTypeDescription="Crear nuevo documento." ma:contentTypeScope="" ma:versionID="ace3a986a3e95b06696c9bec3b7247bc">
  <xsd:schema xmlns:xsd="http://www.w3.org/2001/XMLSchema" xmlns:xs="http://www.w3.org/2001/XMLSchema" xmlns:p="http://schemas.microsoft.com/office/2006/metadata/properties" xmlns:ns2="99dfe94c-0cad-405c-9c1d-c4b8836841c9" xmlns:ns3="4bdc35ca-d498-4be8-8ca3-0de12fcdb3f1" targetNamespace="http://schemas.microsoft.com/office/2006/metadata/properties" ma:root="true" ma:fieldsID="3b331e3576cbf7e98bdc73ebacf7eb34" ns2:_="" ns3:_="">
    <xsd:import namespace="99dfe94c-0cad-405c-9c1d-c4b8836841c9"/>
    <xsd:import namespace="4bdc35ca-d498-4be8-8ca3-0de12fcdb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e94c-0cad-405c-9c1d-c4b883684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7a22f14-e6bf-42fb-8733-2126455cb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35ca-d498-4be8-8ca3-0de12fcdb3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1dbcf6-b935-443d-8293-2932bcb94f36}" ma:internalName="TaxCatchAll" ma:showField="CatchAllData" ma:web="4bdc35ca-d498-4be8-8ca3-0de12fcdb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A03AE-FFBF-4873-98F1-E9C3245E2865}">
  <ds:schemaRefs>
    <ds:schemaRef ds:uri="http://schemas.microsoft.com/office/2006/metadata/properties"/>
    <ds:schemaRef ds:uri="http://schemas.microsoft.com/office/infopath/2007/PartnerControls"/>
    <ds:schemaRef ds:uri="99dfe94c-0cad-405c-9c1d-c4b8836841c9"/>
    <ds:schemaRef ds:uri="4bdc35ca-d498-4be8-8ca3-0de12fcdb3f1"/>
  </ds:schemaRefs>
</ds:datastoreItem>
</file>

<file path=customXml/itemProps2.xml><?xml version="1.0" encoding="utf-8"?>
<ds:datastoreItem xmlns:ds="http://schemas.openxmlformats.org/officeDocument/2006/customXml" ds:itemID="{A7FE21E2-4C61-48EF-99AC-954F68C3F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fe94c-0cad-405c-9c1d-c4b8836841c9"/>
    <ds:schemaRef ds:uri="4bdc35ca-d498-4be8-8ca3-0de12fcdb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B0435-8FF0-42D9-A24A-8D7A9EB2FE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3C34E-5050-4B75-94A9-1BE4AF85F0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4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Links>
    <vt:vector size="12" baseType="variant">
      <vt:variant>
        <vt:i4>327774</vt:i4>
      </vt:variant>
      <vt:variant>
        <vt:i4>3</vt:i4>
      </vt:variant>
      <vt:variant>
        <vt:i4>0</vt:i4>
      </vt:variant>
      <vt:variant>
        <vt:i4>5</vt:i4>
      </vt:variant>
      <vt:variant>
        <vt:lpwstr>https://fundacionalquilerseguro.org/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https://observatoriodelalquiler.org/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Negrete | Alquiler Seguro</dc:creator>
  <cp:keywords/>
  <dc:description/>
  <cp:lastModifiedBy>Lucas Tarancón | Alquiler Seguro</cp:lastModifiedBy>
  <cp:revision>903</cp:revision>
  <dcterms:created xsi:type="dcterms:W3CDTF">2024-06-21T00:59:00Z</dcterms:created>
  <dcterms:modified xsi:type="dcterms:W3CDTF">2025-04-09T11:08:00Z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0x010100C630D4C2C3FA2C46A5823140B444E860</vt:lpwstr>
  </property>
  <property fmtid="{D5CDD505-2E9C-101B-9397-08002B2CF9AE}" pid="3" name="MediaServiceImageTags">
    <vt:lpwstr/>
  </property>
</Properties>
</file>