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031E2" w14:textId="32D36526" w:rsidR="00620CD8" w:rsidRPr="00A06B8C" w:rsidRDefault="00C17F7D" w:rsidP="00620CD8">
      <w:pPr>
        <w:jc w:val="center"/>
        <w:rPr>
          <w:b/>
          <w:color w:val="FF5A00"/>
          <w:sz w:val="32"/>
          <w:szCs w:val="32"/>
        </w:rPr>
      </w:pPr>
      <w:r>
        <w:rPr>
          <w:b/>
          <w:color w:val="FF5A00"/>
          <w:sz w:val="32"/>
          <w:szCs w:val="32"/>
        </w:rPr>
        <w:t>33.000 VIVIENDAS MENOS, 1.184</w:t>
      </w:r>
      <w:r w:rsidRPr="00C17F7D">
        <w:rPr>
          <w:b/>
          <w:color w:val="FF5A00"/>
          <w:sz w:val="32"/>
          <w:szCs w:val="32"/>
        </w:rPr>
        <w:t>€</w:t>
      </w:r>
      <w:r>
        <w:rPr>
          <w:b/>
          <w:color w:val="FF5A00"/>
          <w:sz w:val="32"/>
          <w:szCs w:val="32"/>
        </w:rPr>
        <w:t xml:space="preserve"> DE MEDIA Y 135 INTERESADOS POR INMUEBLE: ASÍ CIERRA EL ALQUILER EN 2025</w:t>
      </w:r>
    </w:p>
    <w:p w14:paraId="5C716D3C" w14:textId="77777777" w:rsidR="00CA6CDB" w:rsidRPr="0082293A" w:rsidRDefault="00CA6CDB" w:rsidP="00CA6CDB">
      <w:pPr>
        <w:tabs>
          <w:tab w:val="center" w:pos="4252"/>
          <w:tab w:val="left" w:pos="5390"/>
        </w:tabs>
        <w:rPr>
          <w:b/>
          <w:bCs/>
          <w:sz w:val="24"/>
          <w:szCs w:val="24"/>
        </w:rPr>
      </w:pPr>
      <w:r w:rsidRPr="0082293A">
        <w:rPr>
          <w:b/>
          <w:bCs/>
          <w:sz w:val="24"/>
          <w:szCs w:val="24"/>
        </w:rPr>
        <w:tab/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548189" wp14:editId="7EFA195E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5372100" cy="9525"/>
                <wp:effectExtent l="0" t="0" r="19050" b="28575"/>
                <wp:wrapNone/>
                <wp:docPr id="166832554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5A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1CF8BC5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1.8pt,4.9pt" to="794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" strokecolor="#ff5a00" strokeweight="1.5pt">
                <v:stroke joinstyle="miter"/>
                <w10:wrap anchorx="margin"/>
              </v:line>
            </w:pict>
          </mc:Fallback>
        </mc:AlternateContent>
      </w:r>
    </w:p>
    <w:p w14:paraId="160EB35C" w14:textId="0C60FF50" w:rsidR="00C32935" w:rsidRDefault="009E2881" w:rsidP="00CA6CDB">
      <w:pPr>
        <w:jc w:val="center"/>
        <w:rPr>
          <w:b/>
          <w:bCs/>
        </w:rPr>
      </w:pPr>
      <w:r w:rsidRPr="005A1931">
        <w:rPr>
          <w:b/>
          <w:bCs/>
        </w:rPr>
        <w:t>El precio medio de España cierra 2025 en 1.184€</w:t>
      </w:r>
      <w:r w:rsidR="005A1931" w:rsidRPr="005A1931">
        <w:rPr>
          <w:b/>
          <w:bCs/>
        </w:rPr>
        <w:t xml:space="preserve">, con una subida anual del 5,9%, </w:t>
      </w:r>
      <w:r w:rsidR="005412AF">
        <w:rPr>
          <w:b/>
          <w:bCs/>
        </w:rPr>
        <w:t xml:space="preserve">mostrando una clara desaceleración frente al 11,3% del ejercicio anterior. </w:t>
      </w:r>
    </w:p>
    <w:p w14:paraId="7E23D42E" w14:textId="422445E7" w:rsidR="005C436E" w:rsidRDefault="005A1931" w:rsidP="00CA6CDB">
      <w:pPr>
        <w:jc w:val="center"/>
        <w:rPr>
          <w:b/>
          <w:bCs/>
        </w:rPr>
      </w:pPr>
      <w:r>
        <w:rPr>
          <w:b/>
          <w:bCs/>
        </w:rPr>
        <w:t xml:space="preserve">La oferta </w:t>
      </w:r>
      <w:r w:rsidR="00C64ECE">
        <w:rPr>
          <w:b/>
          <w:bCs/>
        </w:rPr>
        <w:t xml:space="preserve">de alquiler </w:t>
      </w:r>
      <w:r>
        <w:rPr>
          <w:b/>
          <w:bCs/>
        </w:rPr>
        <w:t>residencial de larga duración cae un 4,7%</w:t>
      </w:r>
      <w:r w:rsidR="006B12E2">
        <w:rPr>
          <w:b/>
          <w:bCs/>
        </w:rPr>
        <w:t xml:space="preserve"> en el último año, </w:t>
      </w:r>
      <w:r w:rsidR="009F6AA7">
        <w:rPr>
          <w:b/>
          <w:bCs/>
        </w:rPr>
        <w:t>perdiendo 33.418 inmuebles en un año</w:t>
      </w:r>
      <w:r w:rsidR="005C436E">
        <w:rPr>
          <w:b/>
          <w:bCs/>
        </w:rPr>
        <w:t>.</w:t>
      </w:r>
    </w:p>
    <w:p w14:paraId="3F5A1703" w14:textId="180C238A" w:rsidR="003625B7" w:rsidRDefault="003625B7" w:rsidP="003625B7">
      <w:pPr>
        <w:jc w:val="center"/>
        <w:rPr>
          <w:b/>
          <w:bCs/>
        </w:rPr>
      </w:pPr>
      <w:r>
        <w:rPr>
          <w:b/>
          <w:bCs/>
        </w:rPr>
        <w:t>Barcelona repite como la provincia que concentra el mayor porcentaje de la caída de oferta nacional</w:t>
      </w:r>
      <w:r w:rsidR="00AF323D">
        <w:rPr>
          <w:b/>
          <w:bCs/>
        </w:rPr>
        <w:t xml:space="preserve">, un 34,7%, </w:t>
      </w:r>
      <w:r>
        <w:rPr>
          <w:b/>
          <w:bCs/>
        </w:rPr>
        <w:t xml:space="preserve">tras perder 11.594 inmuebles en un año. </w:t>
      </w:r>
    </w:p>
    <w:p w14:paraId="7EC8E2F3" w14:textId="02A80AF5" w:rsidR="009F3342" w:rsidRDefault="009F3342" w:rsidP="003625B7">
      <w:pPr>
        <w:jc w:val="center"/>
        <w:rPr>
          <w:b/>
          <w:bCs/>
        </w:rPr>
      </w:pPr>
      <w:r>
        <w:rPr>
          <w:b/>
          <w:bCs/>
        </w:rPr>
        <w:t xml:space="preserve">País Vasco registra las caídas de oferta más severas de España, con retrocesos superiores al 23% en Vizcaya y Guipúzcoa tras el avance de las zonas tensionadas. </w:t>
      </w:r>
    </w:p>
    <w:p w14:paraId="54FCE0E8" w14:textId="35B9A861" w:rsidR="005A1931" w:rsidRDefault="00C50AAB" w:rsidP="00C50AAB">
      <w:pPr>
        <w:jc w:val="center"/>
        <w:rPr>
          <w:b/>
          <w:bCs/>
        </w:rPr>
      </w:pPr>
      <w:r>
        <w:rPr>
          <w:b/>
          <w:bCs/>
        </w:rPr>
        <w:t xml:space="preserve">La presión de la demanda </w:t>
      </w:r>
      <w:r w:rsidR="009230CD">
        <w:rPr>
          <w:b/>
          <w:bCs/>
        </w:rPr>
        <w:t>se encuentra por encima de los 100 interesados</w:t>
      </w:r>
      <w:r w:rsidR="00CA2618">
        <w:rPr>
          <w:b/>
          <w:bCs/>
        </w:rPr>
        <w:t xml:space="preserve"> a nivel nacional y se traslada con fuerza </w:t>
      </w:r>
      <w:r w:rsidR="000C3848">
        <w:rPr>
          <w:b/>
          <w:bCs/>
        </w:rPr>
        <w:t>en</w:t>
      </w:r>
      <w:r w:rsidR="00CA2618">
        <w:rPr>
          <w:b/>
          <w:bCs/>
        </w:rPr>
        <w:t xml:space="preserve"> provincias como Zaragoza y Toledo. </w:t>
      </w:r>
    </w:p>
    <w:p w14:paraId="2D7260A0" w14:textId="77777777" w:rsidR="00CA6CDB" w:rsidRPr="00FE2B8F" w:rsidRDefault="00CA6CDB" w:rsidP="00CA6CDB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BAC241E" wp14:editId="75F272E1">
                <wp:simplePos x="0" y="0"/>
                <wp:positionH relativeFrom="margin">
                  <wp:posOffset>5714</wp:posOffset>
                </wp:positionH>
                <wp:positionV relativeFrom="paragraph">
                  <wp:posOffset>80644</wp:posOffset>
                </wp:positionV>
                <wp:extent cx="5381625" cy="19050"/>
                <wp:effectExtent l="0" t="0" r="28575" b="19050"/>
                <wp:wrapNone/>
                <wp:docPr id="162444395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162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5A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F36E9BD" id="Conector rec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5pt,6.35pt" to="424.2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" strokecolor="#ff5a00" strokeweight="1.5pt">
                <v:stroke joinstyle="miter"/>
                <w10:wrap anchorx="margin"/>
              </v:line>
            </w:pict>
          </mc:Fallback>
        </mc:AlternateContent>
      </w:r>
    </w:p>
    <w:p w14:paraId="66371BB0" w14:textId="1594E720" w:rsidR="000F6909" w:rsidRPr="00964F42" w:rsidRDefault="00CA6CDB" w:rsidP="00076CEF">
      <w:pPr>
        <w:jc w:val="both"/>
        <w:rPr>
          <w:b/>
          <w:bCs/>
        </w:rPr>
      </w:pPr>
      <w:r w:rsidRPr="00E4565F">
        <w:rPr>
          <w:color w:val="BFBFBF" w:themeColor="background1" w:themeShade="BF"/>
        </w:rPr>
        <w:t xml:space="preserve">Madrid, </w:t>
      </w:r>
      <w:r w:rsidR="00C50AAB">
        <w:rPr>
          <w:color w:val="BFBFBF" w:themeColor="background1" w:themeShade="BF"/>
        </w:rPr>
        <w:t>28</w:t>
      </w:r>
      <w:r>
        <w:rPr>
          <w:color w:val="BFBFBF" w:themeColor="background1" w:themeShade="BF"/>
        </w:rPr>
        <w:t xml:space="preserve"> </w:t>
      </w:r>
      <w:r w:rsidRPr="00E4565F">
        <w:rPr>
          <w:color w:val="BFBFBF" w:themeColor="background1" w:themeShade="BF"/>
        </w:rPr>
        <w:t xml:space="preserve">de </w:t>
      </w:r>
      <w:r w:rsidR="00C50AAB">
        <w:rPr>
          <w:color w:val="BFBFBF" w:themeColor="background1" w:themeShade="BF"/>
        </w:rPr>
        <w:t>enero</w:t>
      </w:r>
      <w:r w:rsidRPr="00E4565F">
        <w:rPr>
          <w:color w:val="BFBFBF" w:themeColor="background1" w:themeShade="BF"/>
        </w:rPr>
        <w:t xml:space="preserve"> de 202</w:t>
      </w:r>
      <w:r>
        <w:rPr>
          <w:color w:val="BFBFBF" w:themeColor="background1" w:themeShade="BF"/>
        </w:rPr>
        <w:t>5</w:t>
      </w:r>
      <w:r w:rsidRPr="00E4565F">
        <w:rPr>
          <w:color w:val="BFBFBF" w:themeColor="background1" w:themeShade="BF"/>
        </w:rPr>
        <w:t>.</w:t>
      </w:r>
      <w:r>
        <w:rPr>
          <w:color w:val="BFBFBF" w:themeColor="background1" w:themeShade="BF"/>
        </w:rPr>
        <w:t xml:space="preserve"> </w:t>
      </w:r>
      <w:r w:rsidR="007F1E55">
        <w:t xml:space="preserve">La </w:t>
      </w:r>
      <w:r w:rsidR="007F1E55" w:rsidRPr="00154F7A">
        <w:rPr>
          <w:b/>
          <w:bCs/>
        </w:rPr>
        <w:t xml:space="preserve">presión </w:t>
      </w:r>
      <w:r w:rsidR="00154F7A" w:rsidRPr="00154F7A">
        <w:rPr>
          <w:b/>
          <w:bCs/>
        </w:rPr>
        <w:t>de la demanda</w:t>
      </w:r>
      <w:r w:rsidR="00154F7A">
        <w:t xml:space="preserve"> en el</w:t>
      </w:r>
      <w:r w:rsidR="007F1E55">
        <w:t xml:space="preserve"> alquiler</w:t>
      </w:r>
      <w:r w:rsidR="00154F7A">
        <w:t xml:space="preserve"> residencial</w:t>
      </w:r>
      <w:r w:rsidR="007F1E55">
        <w:t xml:space="preserve"> se mantuvo en </w:t>
      </w:r>
      <w:r w:rsidR="007F1E55" w:rsidRPr="00154F7A">
        <w:rPr>
          <w:b/>
          <w:bCs/>
        </w:rPr>
        <w:t>niveles significativos en 2025</w:t>
      </w:r>
      <w:r w:rsidR="007F1E55">
        <w:t xml:space="preserve">. De media, </w:t>
      </w:r>
      <w:r w:rsidR="007F1E55" w:rsidRPr="00964F42">
        <w:rPr>
          <w:b/>
          <w:bCs/>
        </w:rPr>
        <w:t>135 personas contactaron con cada vivienda que salió al mercado en un plazo de diez días.</w:t>
      </w:r>
      <w:r w:rsidR="007F1E55">
        <w:t xml:space="preserve"> Aunque la cifra supone una estabilización </w:t>
      </w:r>
      <w:r w:rsidR="000F6909">
        <w:t xml:space="preserve">frente al trimestre anterior, es significativamente </w:t>
      </w:r>
      <w:r w:rsidR="000F6909" w:rsidRPr="00964F42">
        <w:rPr>
          <w:b/>
          <w:bCs/>
        </w:rPr>
        <w:t xml:space="preserve">superior a los 124 interesados con los que se cerró 2024. </w:t>
      </w:r>
    </w:p>
    <w:p w14:paraId="28CECB7F" w14:textId="1DCCFF3A" w:rsidR="008A6D91" w:rsidRPr="00964F42" w:rsidRDefault="000F6909" w:rsidP="00076CEF">
      <w:pPr>
        <w:jc w:val="both"/>
        <w:rPr>
          <w:b/>
          <w:bCs/>
        </w:rPr>
      </w:pPr>
      <w:r>
        <w:t xml:space="preserve">Mientras, </w:t>
      </w:r>
      <w:r w:rsidRPr="00964F42">
        <w:rPr>
          <w:b/>
          <w:bCs/>
        </w:rPr>
        <w:t>la</w:t>
      </w:r>
      <w:r>
        <w:t xml:space="preserve"> </w:t>
      </w:r>
      <w:r w:rsidRPr="00964F42">
        <w:rPr>
          <w:b/>
          <w:bCs/>
        </w:rPr>
        <w:t>oferta</w:t>
      </w:r>
      <w:r>
        <w:t xml:space="preserve"> de inmuebles disponibles ha continuado su senda descend</w:t>
      </w:r>
      <w:r w:rsidR="00D703E5">
        <w:t xml:space="preserve">ente, con una </w:t>
      </w:r>
      <w:r w:rsidR="00D703E5" w:rsidRPr="00964F42">
        <w:rPr>
          <w:b/>
          <w:bCs/>
        </w:rPr>
        <w:t>caída de 33.418 viviendas en tan solo un año</w:t>
      </w:r>
      <w:r w:rsidR="00D703E5">
        <w:t xml:space="preserve">. La consecuencia de este desajuste es un </w:t>
      </w:r>
      <w:r w:rsidR="00D703E5" w:rsidRPr="00964F42">
        <w:rPr>
          <w:b/>
          <w:bCs/>
        </w:rPr>
        <w:t xml:space="preserve">precio medio nacional que se sitúa </w:t>
      </w:r>
      <w:r w:rsidR="00E73832" w:rsidRPr="00964F42">
        <w:rPr>
          <w:b/>
          <w:bCs/>
        </w:rPr>
        <w:t>en los 1.184€</w:t>
      </w:r>
      <w:r w:rsidR="00A75FD7" w:rsidRPr="00964F42">
        <w:rPr>
          <w:b/>
          <w:bCs/>
        </w:rPr>
        <w:t xml:space="preserve">. </w:t>
      </w:r>
    </w:p>
    <w:p w14:paraId="30DE3099" w14:textId="71DED293" w:rsidR="008A2EB8" w:rsidRPr="00154F7A" w:rsidRDefault="008A2EB8" w:rsidP="00076CEF">
      <w:pPr>
        <w:jc w:val="both"/>
        <w:rPr>
          <w:b/>
          <w:bCs/>
        </w:rPr>
      </w:pPr>
      <w:r>
        <w:t xml:space="preserve">Así se desprende del </w:t>
      </w:r>
      <w:r w:rsidRPr="00EA4691">
        <w:rPr>
          <w:b/>
          <w:bCs/>
        </w:rPr>
        <w:t>Barómetro del Alquiler de 202</w:t>
      </w:r>
      <w:r w:rsidR="0007407C" w:rsidRPr="00EA4691">
        <w:rPr>
          <w:b/>
          <w:bCs/>
        </w:rPr>
        <w:t>5</w:t>
      </w:r>
      <w:r w:rsidR="000C3848">
        <w:rPr>
          <w:b/>
          <w:bCs/>
        </w:rPr>
        <w:t xml:space="preserve"> (4º Trimestre)</w:t>
      </w:r>
      <w:r>
        <w:t>, un estudio</w:t>
      </w:r>
      <w:r w:rsidR="0007407C">
        <w:t xml:space="preserve"> en el que el </w:t>
      </w:r>
      <w:hyperlink r:id="rId11" w:history="1">
        <w:r w:rsidR="0007407C" w:rsidRPr="00EA4691">
          <w:rPr>
            <w:rStyle w:val="Hipervnculo"/>
            <w:b/>
            <w:bCs/>
          </w:rPr>
          <w:t>Observatorio del Alquiler</w:t>
        </w:r>
      </w:hyperlink>
      <w:r w:rsidR="0007407C" w:rsidRPr="00EA4691">
        <w:rPr>
          <w:b/>
          <w:bCs/>
        </w:rPr>
        <w:t xml:space="preserve"> impulsado por la Fundación Alquiler Seguro</w:t>
      </w:r>
      <w:r w:rsidR="0007407C">
        <w:t xml:space="preserve">, hace </w:t>
      </w:r>
      <w:r w:rsidR="00A242FF">
        <w:t xml:space="preserve">un balance del estado del mercado del alquiler y de las relaciones entre las variables de </w:t>
      </w:r>
      <w:r w:rsidR="00A242FF" w:rsidRPr="00154F7A">
        <w:rPr>
          <w:b/>
          <w:bCs/>
        </w:rPr>
        <w:t xml:space="preserve">oferta, demanda y precio durante este último año. </w:t>
      </w:r>
    </w:p>
    <w:p w14:paraId="60A55124" w14:textId="192327F3" w:rsidR="00BF52F3" w:rsidRPr="00D34355" w:rsidRDefault="000C3848" w:rsidP="00CA6CDB">
      <w:pPr>
        <w:jc w:val="both"/>
        <w:rPr>
          <w:b/>
          <w:bCs/>
          <w:color w:val="FF5A00"/>
        </w:rPr>
      </w:pPr>
      <w:r>
        <w:rPr>
          <w:b/>
          <w:bCs/>
          <w:color w:val="FF5A00"/>
        </w:rPr>
        <w:t>EL</w:t>
      </w:r>
      <w:r w:rsidR="003A0CBC">
        <w:rPr>
          <w:b/>
          <w:bCs/>
          <w:color w:val="FF5A00"/>
        </w:rPr>
        <w:t xml:space="preserve"> PRECIO EN MÁXIMOS HISTÓRICOS</w:t>
      </w:r>
      <w:r>
        <w:rPr>
          <w:b/>
          <w:bCs/>
          <w:color w:val="FF5A00"/>
        </w:rPr>
        <w:t xml:space="preserve">: 1.184€, TIENDE A ESTABILIZARSE </w:t>
      </w:r>
    </w:p>
    <w:p w14:paraId="17F1AF52" w14:textId="100F71CB" w:rsidR="00CA6CDB" w:rsidRPr="008C01F6" w:rsidRDefault="00BA70D5" w:rsidP="008C01F6">
      <w:pPr>
        <w:jc w:val="both"/>
      </w:pPr>
      <w:r>
        <w:t xml:space="preserve">El </w:t>
      </w:r>
      <w:r w:rsidRPr="00964F42">
        <w:rPr>
          <w:b/>
          <w:bCs/>
        </w:rPr>
        <w:t>precio medio del alquiler en España cierra el año en 1.184€,</w:t>
      </w:r>
      <w:r>
        <w:t xml:space="preserve"> lo que representa un </w:t>
      </w:r>
      <w:r w:rsidRPr="00964F42">
        <w:rPr>
          <w:b/>
          <w:bCs/>
        </w:rPr>
        <w:t>incremento anual del 5,9%.</w:t>
      </w:r>
      <w:r>
        <w:t xml:space="preserve"> Este dato confirma una </w:t>
      </w:r>
      <w:r w:rsidRPr="00964F42">
        <w:rPr>
          <w:b/>
          <w:bCs/>
        </w:rPr>
        <w:t>notable desaceleración frente al 11,3% registrado en 2024.</w:t>
      </w:r>
      <w:r w:rsidR="009A2188">
        <w:t xml:space="preserve"> </w:t>
      </w:r>
      <w:r w:rsidR="00E22EA8">
        <w:t xml:space="preserve">Esta estabilización, detectada en los últimos seis meses en mercados como </w:t>
      </w:r>
      <w:r w:rsidR="006F15A1" w:rsidRPr="00964F42">
        <w:rPr>
          <w:b/>
          <w:bCs/>
        </w:rPr>
        <w:t>Barcelona</w:t>
      </w:r>
      <w:r w:rsidR="006F15A1">
        <w:t xml:space="preserve"> (1.643</w:t>
      </w:r>
      <w:r w:rsidR="006F15A1" w:rsidRPr="000A0DA6">
        <w:t>€</w:t>
      </w:r>
      <w:r w:rsidR="006F15A1">
        <w:t>)</w:t>
      </w:r>
      <w:r w:rsidR="002207B0">
        <w:t xml:space="preserve">, </w:t>
      </w:r>
      <w:r w:rsidR="00A95792" w:rsidRPr="00964F42">
        <w:rPr>
          <w:b/>
          <w:bCs/>
        </w:rPr>
        <w:t>Madrid</w:t>
      </w:r>
      <w:r w:rsidR="00A95792">
        <w:t xml:space="preserve"> (1.584</w:t>
      </w:r>
      <w:r w:rsidR="00A95792" w:rsidRPr="000A0DA6">
        <w:t>€</w:t>
      </w:r>
      <w:r w:rsidR="00A95792">
        <w:t>)</w:t>
      </w:r>
      <w:r w:rsidR="002207B0">
        <w:t xml:space="preserve"> </w:t>
      </w:r>
      <w:r w:rsidR="003D3F5D">
        <w:t xml:space="preserve">o </w:t>
      </w:r>
      <w:r w:rsidR="003D3F5D" w:rsidRPr="00964F42">
        <w:rPr>
          <w:b/>
          <w:bCs/>
        </w:rPr>
        <w:t>Málaga</w:t>
      </w:r>
      <w:r w:rsidR="003D3F5D">
        <w:t xml:space="preserve"> (1.269</w:t>
      </w:r>
      <w:r w:rsidR="003D3F5D" w:rsidRPr="000A0DA6">
        <w:t>€</w:t>
      </w:r>
      <w:r w:rsidR="003D3F5D">
        <w:t>)</w:t>
      </w:r>
      <w:r w:rsidR="00E22EA8">
        <w:t>, responde a</w:t>
      </w:r>
      <w:r w:rsidR="003D3F5D">
        <w:t xml:space="preserve"> una realidad económica: </w:t>
      </w:r>
      <w:r w:rsidR="003D3F5D" w:rsidRPr="00964F42">
        <w:rPr>
          <w:b/>
          <w:bCs/>
        </w:rPr>
        <w:t xml:space="preserve">los inquilinos ya destinan casi el 40% de sus ingresos netos a la </w:t>
      </w:r>
      <w:r w:rsidR="003D3F5D" w:rsidRPr="00964F42">
        <w:rPr>
          <w:b/>
          <w:bCs/>
        </w:rPr>
        <w:lastRenderedPageBreak/>
        <w:t>renta</w:t>
      </w:r>
      <w:r w:rsidR="003D3F5D">
        <w:t xml:space="preserve"> </w:t>
      </w:r>
      <w:r w:rsidR="003D3F5D" w:rsidRPr="00964F42">
        <w:rPr>
          <w:b/>
          <w:bCs/>
        </w:rPr>
        <w:t>mensual</w:t>
      </w:r>
      <w:r w:rsidR="003D3F5D">
        <w:t xml:space="preserve">, un umbral que </w:t>
      </w:r>
      <w:r w:rsidR="003D3F5D" w:rsidRPr="00964F42">
        <w:rPr>
          <w:b/>
          <w:bCs/>
        </w:rPr>
        <w:t>imposibilita seguir asumiendo incrementos de precio</w:t>
      </w:r>
      <w:r w:rsidR="003D3F5D">
        <w:t xml:space="preserve"> al ritmo de años anteriores. </w:t>
      </w:r>
    </w:p>
    <w:p w14:paraId="177D40F7" w14:textId="5E9FD146" w:rsidR="008964FB" w:rsidRDefault="008964FB" w:rsidP="00CA6CDB">
      <w:pPr>
        <w:jc w:val="both"/>
      </w:pPr>
      <w:r>
        <w:t>Sin embargo</w:t>
      </w:r>
      <w:r w:rsidRPr="00964F42">
        <w:t>,</w:t>
      </w:r>
      <w:r w:rsidRPr="00964F42">
        <w:rPr>
          <w:b/>
          <w:bCs/>
        </w:rPr>
        <w:t xml:space="preserve"> mientras los grandes núcleos se estabilizan, las subidas más agresivas se han desplazado a provincias con precios históricamente bajos</w:t>
      </w:r>
      <w:r>
        <w:t xml:space="preserve"> p</w:t>
      </w:r>
      <w:r w:rsidR="002734F8">
        <w:t>e</w:t>
      </w:r>
      <w:r>
        <w:t>ro que sufren un descenso ag</w:t>
      </w:r>
      <w:r w:rsidR="002734F8">
        <w:t xml:space="preserve">udo de la oferta. </w:t>
      </w:r>
      <w:r w:rsidR="002734F8" w:rsidRPr="00964F42">
        <w:rPr>
          <w:b/>
          <w:bCs/>
        </w:rPr>
        <w:t>Ciudad Real</w:t>
      </w:r>
      <w:r w:rsidR="002734F8">
        <w:t xml:space="preserve"> (+13,9%)</w:t>
      </w:r>
      <w:r w:rsidR="00B5102D">
        <w:t xml:space="preserve"> </w:t>
      </w:r>
      <w:r w:rsidR="00B5102D" w:rsidRPr="00964F42">
        <w:rPr>
          <w:b/>
          <w:bCs/>
        </w:rPr>
        <w:t>Zamora</w:t>
      </w:r>
      <w:r w:rsidR="00B5102D">
        <w:t xml:space="preserve"> (+10,2%), </w:t>
      </w:r>
      <w:r w:rsidR="00B5102D" w:rsidRPr="00964F42">
        <w:rPr>
          <w:b/>
          <w:bCs/>
        </w:rPr>
        <w:t>Asturias</w:t>
      </w:r>
      <w:r w:rsidR="00B5102D">
        <w:t xml:space="preserve"> (+9,6%) y </w:t>
      </w:r>
      <w:r w:rsidR="00B5102D" w:rsidRPr="00964F42">
        <w:rPr>
          <w:b/>
          <w:bCs/>
        </w:rPr>
        <w:t>Zaragoza</w:t>
      </w:r>
      <w:r w:rsidR="00B5102D">
        <w:t xml:space="preserve"> (+9,5%) lideran los incrementos. Todas ellas presentan precios que, aunque se sitúan por debajo de la media nacional y de la barrera de los 900</w:t>
      </w:r>
      <w:r w:rsidR="00B5102D" w:rsidRPr="000A0DA6">
        <w:t>€</w:t>
      </w:r>
      <w:r w:rsidR="00B5102D">
        <w:t xml:space="preserve">, reflejan el impacto de </w:t>
      </w:r>
      <w:r w:rsidR="00B5102D" w:rsidRPr="00565888">
        <w:rPr>
          <w:b/>
          <w:bCs/>
        </w:rPr>
        <w:t>una</w:t>
      </w:r>
      <w:r w:rsidR="00B5102D">
        <w:t xml:space="preserve"> </w:t>
      </w:r>
      <w:r w:rsidR="00B5102D" w:rsidRPr="00565888">
        <w:rPr>
          <w:b/>
          <w:bCs/>
        </w:rPr>
        <w:t xml:space="preserve">escasez de inmuebles </w:t>
      </w:r>
      <w:r w:rsidR="005F0440" w:rsidRPr="00565888">
        <w:rPr>
          <w:b/>
          <w:bCs/>
        </w:rPr>
        <w:t>que ahora castiga a mercados anteriormente</w:t>
      </w:r>
      <w:r w:rsidR="00FD3268">
        <w:rPr>
          <w:b/>
          <w:bCs/>
        </w:rPr>
        <w:t xml:space="preserve"> </w:t>
      </w:r>
      <w:proofErr w:type="spellStart"/>
      <w:r w:rsidR="00FD3268">
        <w:rPr>
          <w:b/>
          <w:bCs/>
        </w:rPr>
        <w:t>mas</w:t>
      </w:r>
      <w:proofErr w:type="spellEnd"/>
      <w:r w:rsidR="005F0440" w:rsidRPr="00565888">
        <w:rPr>
          <w:b/>
          <w:bCs/>
        </w:rPr>
        <w:t xml:space="preserve"> equilibrados</w:t>
      </w:r>
      <w:r w:rsidR="005F0440">
        <w:t xml:space="preserve">. </w:t>
      </w:r>
    </w:p>
    <w:p w14:paraId="4C99F4AD" w14:textId="0288F140" w:rsidR="005F0440" w:rsidRDefault="00C64ECE" w:rsidP="005F0440">
      <w:pPr>
        <w:jc w:val="both"/>
        <w:rPr>
          <w:b/>
          <w:bCs/>
          <w:color w:val="FF5A00"/>
        </w:rPr>
      </w:pPr>
      <w:r>
        <w:rPr>
          <w:b/>
          <w:bCs/>
          <w:color w:val="FF5A00"/>
        </w:rPr>
        <w:t xml:space="preserve">LA OFERTA CAE UN 4,7% EN EL ÚLTIMO AÑO, CON </w:t>
      </w:r>
      <w:r w:rsidR="00C84B6F">
        <w:rPr>
          <w:b/>
          <w:bCs/>
          <w:color w:val="FF5A00"/>
        </w:rPr>
        <w:t>MÁS DE 33.000 VIVIENDAS MENOS</w:t>
      </w:r>
    </w:p>
    <w:p w14:paraId="1872C8CF" w14:textId="557A2AC2" w:rsidR="00A615CE" w:rsidRDefault="00A615CE" w:rsidP="005F0440">
      <w:pPr>
        <w:jc w:val="both"/>
      </w:pPr>
      <w:r>
        <w:t>El año 2025 concluye con un total de 683.920 viviendas comercializadas en el mercado de</w:t>
      </w:r>
      <w:r w:rsidR="00577D20">
        <w:t xml:space="preserve"> alquiler de</w:t>
      </w:r>
      <w:r>
        <w:t xml:space="preserve"> larga duración, lo que supone </w:t>
      </w:r>
      <w:r w:rsidR="00DA5E04" w:rsidRPr="00565888">
        <w:rPr>
          <w:b/>
          <w:bCs/>
        </w:rPr>
        <w:t xml:space="preserve">una pérdida </w:t>
      </w:r>
      <w:r w:rsidRPr="00565888">
        <w:rPr>
          <w:b/>
          <w:bCs/>
        </w:rPr>
        <w:t>de 33.418 inmuebles (-4,7%) respecto al año anterior.</w:t>
      </w:r>
      <w:r>
        <w:t xml:space="preserve"> Aunque </w:t>
      </w:r>
      <w:r w:rsidRPr="00565888">
        <w:rPr>
          <w:b/>
          <w:bCs/>
        </w:rPr>
        <w:t>el ritmo de caída se ha moderado en comparación con las 95.216 viviendas perdidas en 2024, esta ralentización no debe confundirse con una recuperación</w:t>
      </w:r>
      <w:r w:rsidR="00D9491C" w:rsidRPr="00565888">
        <w:rPr>
          <w:b/>
          <w:bCs/>
        </w:rPr>
        <w:t>.</w:t>
      </w:r>
      <w:r w:rsidR="00D9491C">
        <w:t xml:space="preserve"> El número de viviendas disponibles continúa disminuyendo de forma constante. </w:t>
      </w:r>
    </w:p>
    <w:p w14:paraId="6B0185E2" w14:textId="0BEF89BD" w:rsidR="00666E3B" w:rsidRDefault="00D9491C" w:rsidP="005F0440">
      <w:pPr>
        <w:jc w:val="both"/>
      </w:pPr>
      <w:r>
        <w:t xml:space="preserve">El desplome de la oferta muestra dinámicas territoriales muy marcadas. </w:t>
      </w:r>
      <w:r w:rsidRPr="00565888">
        <w:rPr>
          <w:b/>
          <w:bCs/>
        </w:rPr>
        <w:t>Barcelona</w:t>
      </w:r>
      <w:r>
        <w:t xml:space="preserve"> es el caso más significativo, </w:t>
      </w:r>
      <w:r w:rsidRPr="00565888">
        <w:rPr>
          <w:b/>
          <w:bCs/>
        </w:rPr>
        <w:t xml:space="preserve">concentrando el 34,7% de la caída total del </w:t>
      </w:r>
      <w:r w:rsidRPr="00565888">
        <w:rPr>
          <w:b/>
          <w:bCs/>
          <w:i/>
          <w:iCs/>
        </w:rPr>
        <w:t>stock</w:t>
      </w:r>
      <w:r w:rsidRPr="00565888">
        <w:rPr>
          <w:b/>
          <w:bCs/>
        </w:rPr>
        <w:t xml:space="preserve"> en España con 11.594 inmuebles menos.</w:t>
      </w:r>
      <w:r>
        <w:t xml:space="preserve"> Destaca también la situación de </w:t>
      </w:r>
      <w:r w:rsidRPr="00FA5CEF">
        <w:rPr>
          <w:b/>
          <w:bCs/>
        </w:rPr>
        <w:t>Sevilla (-13%),</w:t>
      </w:r>
      <w:r>
        <w:t xml:space="preserve"> una provincia con niveles de oferta históricamente bajos</w:t>
      </w:r>
      <w:r w:rsidR="00FB6DA1">
        <w:t xml:space="preserve"> </w:t>
      </w:r>
      <w:proofErr w:type="gramStart"/>
      <w:r w:rsidR="00FB6DA1">
        <w:t>en relación a</w:t>
      </w:r>
      <w:proofErr w:type="gramEnd"/>
      <w:r w:rsidR="00FB6DA1">
        <w:t xml:space="preserve"> su población</w:t>
      </w:r>
      <w:r w:rsidR="00FD3268">
        <w:t xml:space="preserve">, ahora con una pérdida de oferta de más del 10%. </w:t>
      </w:r>
    </w:p>
    <w:p w14:paraId="06CFE2F8" w14:textId="7C1E7B5F" w:rsidR="009D787E" w:rsidRDefault="009D787E" w:rsidP="009D787E">
      <w:pPr>
        <w:jc w:val="center"/>
        <w:rPr>
          <w:b/>
          <w:bCs/>
        </w:rPr>
      </w:pPr>
      <w:r w:rsidRPr="009D787E">
        <w:rPr>
          <w:b/>
          <w:bCs/>
        </w:rPr>
        <w:t>Provincias con mayor descenso de oferta</w:t>
      </w:r>
    </w:p>
    <w:p w14:paraId="3656F863" w14:textId="76056D7B" w:rsidR="009D787E" w:rsidRPr="009D787E" w:rsidRDefault="009D787E" w:rsidP="009D787E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94604D0" wp14:editId="3685D7F8">
            <wp:extent cx="3788368" cy="2682240"/>
            <wp:effectExtent l="0" t="0" r="3175" b="3810"/>
            <wp:docPr id="819648908" name="Imagen 4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48908" name="Imagen 4" descr="Interfaz de usuario gráfica, Aplicación&#10;&#10;El contenido generado por IA puede ser incorrec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4293" cy="2721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DE6C1" w14:textId="77777777" w:rsidR="008C01F6" w:rsidRDefault="008C01F6" w:rsidP="005F0440">
      <w:pPr>
        <w:jc w:val="both"/>
      </w:pPr>
    </w:p>
    <w:p w14:paraId="210FFC30" w14:textId="47BB0D66" w:rsidR="00D9491C" w:rsidRPr="00261173" w:rsidRDefault="00666E3B" w:rsidP="005F0440">
      <w:pPr>
        <w:jc w:val="both"/>
        <w:rPr>
          <w:b/>
          <w:bCs/>
          <w:color w:val="FF5A00"/>
        </w:rPr>
      </w:pPr>
      <w:r>
        <w:lastRenderedPageBreak/>
        <w:t xml:space="preserve">Por el contrario, se observa </w:t>
      </w:r>
      <w:r w:rsidR="008357E6">
        <w:t xml:space="preserve">un mantenimiento de los niveles de </w:t>
      </w:r>
      <w:r w:rsidR="008357E6">
        <w:rPr>
          <w:i/>
          <w:iCs/>
        </w:rPr>
        <w:t xml:space="preserve">stock </w:t>
      </w:r>
      <w:r>
        <w:t xml:space="preserve">en </w:t>
      </w:r>
      <w:r w:rsidRPr="00FA5CEF">
        <w:rPr>
          <w:b/>
          <w:bCs/>
        </w:rPr>
        <w:t>Madrid</w:t>
      </w:r>
      <w:r>
        <w:t xml:space="preserve"> (+0,21%) y </w:t>
      </w:r>
      <w:r w:rsidRPr="00FA5CEF">
        <w:rPr>
          <w:b/>
          <w:bCs/>
        </w:rPr>
        <w:t>Málaga</w:t>
      </w:r>
      <w:r>
        <w:t xml:space="preserve"> (-0,10%), que presentan cifras muy similares al ejercicio anterior. En el </w:t>
      </w:r>
      <w:r w:rsidRPr="00261173">
        <w:rPr>
          <w:b/>
          <w:bCs/>
        </w:rPr>
        <w:t>archipiélago canario</w:t>
      </w:r>
      <w:r>
        <w:t xml:space="preserve">, se registra </w:t>
      </w:r>
      <w:r w:rsidR="00717240">
        <w:t xml:space="preserve">una dicotomía: </w:t>
      </w:r>
      <w:r w:rsidR="00717240" w:rsidRPr="00261173">
        <w:rPr>
          <w:b/>
          <w:bCs/>
        </w:rPr>
        <w:t>la oferta sube en Santa Cruz de Tenerife (+6,3%) pero baja en Las Palmas, donde el debate sobre la declaración de zonas tensionadas ha retraído a los arrendadores.</w:t>
      </w:r>
      <w:r w:rsidR="00717240">
        <w:t xml:space="preserve"> En ambos casos, </w:t>
      </w:r>
      <w:r w:rsidR="00717240" w:rsidRPr="00261173">
        <w:rPr>
          <w:b/>
          <w:bCs/>
        </w:rPr>
        <w:t xml:space="preserve">el </w:t>
      </w:r>
      <w:r w:rsidR="00717240" w:rsidRPr="00261173">
        <w:rPr>
          <w:b/>
          <w:bCs/>
          <w:i/>
          <w:iCs/>
        </w:rPr>
        <w:t>stock</w:t>
      </w:r>
      <w:r w:rsidR="00717240" w:rsidRPr="00261173">
        <w:rPr>
          <w:b/>
          <w:bCs/>
        </w:rPr>
        <w:t xml:space="preserve"> </w:t>
      </w:r>
      <w:r w:rsidR="00DA5E04" w:rsidRPr="00261173">
        <w:rPr>
          <w:b/>
          <w:bCs/>
        </w:rPr>
        <w:t xml:space="preserve">sigue bajo mínimos, con un 40% menos de oferta que en 2021. </w:t>
      </w:r>
      <w:r w:rsidR="00BE5158" w:rsidRPr="00261173">
        <w:rPr>
          <w:b/>
          <w:bCs/>
        </w:rPr>
        <w:t xml:space="preserve"> </w:t>
      </w:r>
    </w:p>
    <w:p w14:paraId="5406C74A" w14:textId="0E5A1F71" w:rsidR="005F0440" w:rsidRDefault="00DA5E04" w:rsidP="00CA6CDB">
      <w:pPr>
        <w:jc w:val="both"/>
      </w:pPr>
      <w:r>
        <w:rPr>
          <w:b/>
          <w:bCs/>
          <w:color w:val="FF5A00"/>
        </w:rPr>
        <w:t>ZONAS TENSIONADAS,</w:t>
      </w:r>
      <w:r w:rsidR="0035345B">
        <w:rPr>
          <w:b/>
          <w:bCs/>
          <w:color w:val="FF5A00"/>
        </w:rPr>
        <w:t xml:space="preserve"> UN MERCADO FRACTURADO POR LA REGULACIÓN </w:t>
      </w:r>
    </w:p>
    <w:p w14:paraId="4BFDD621" w14:textId="1581E32E" w:rsidR="0084191B" w:rsidRDefault="009D5DDA" w:rsidP="00CA6CDB">
      <w:pPr>
        <w:jc w:val="both"/>
      </w:pPr>
      <w:r>
        <w:t xml:space="preserve">El 2025, ha estado marcado, a su vez, por la </w:t>
      </w:r>
      <w:r w:rsidRPr="00046534">
        <w:rPr>
          <w:b/>
          <w:bCs/>
        </w:rPr>
        <w:t>declaración de zonas tensionadas en varias localidades españolas</w:t>
      </w:r>
      <w:r w:rsidR="00046534">
        <w:t xml:space="preserve">, una medida que, lejos de aliviar el mercado, parece haber acelerado la retirada de inmuebles residenciales: </w:t>
      </w:r>
    </w:p>
    <w:p w14:paraId="26F210B5" w14:textId="6078DFFE" w:rsidR="007E6E9D" w:rsidRDefault="00DE19F8" w:rsidP="00CA6CDB">
      <w:pPr>
        <w:jc w:val="both"/>
      </w:pPr>
      <w:r w:rsidRPr="00046534">
        <w:rPr>
          <w:b/>
          <w:bCs/>
        </w:rPr>
        <w:t>Cataluña</w:t>
      </w:r>
      <w:r>
        <w:t>, con el 90% de su territorio regulado</w:t>
      </w:r>
      <w:r w:rsidR="00046534">
        <w:t xml:space="preserve"> desde octubre de 2024</w:t>
      </w:r>
      <w:r>
        <w:t xml:space="preserve">, sufre </w:t>
      </w:r>
      <w:r w:rsidRPr="001E30A8">
        <w:rPr>
          <w:b/>
          <w:bCs/>
        </w:rPr>
        <w:t>la mayor fuga de oferta nacional</w:t>
      </w:r>
      <w:r w:rsidR="001A7F5B" w:rsidRPr="001E30A8">
        <w:rPr>
          <w:b/>
          <w:bCs/>
        </w:rPr>
        <w:t>,</w:t>
      </w:r>
      <w:r w:rsidR="00255B92" w:rsidRPr="001E30A8">
        <w:rPr>
          <w:b/>
          <w:bCs/>
        </w:rPr>
        <w:t xml:space="preserve"> concentrando </w:t>
      </w:r>
      <w:r w:rsidR="0051489C">
        <w:rPr>
          <w:b/>
          <w:bCs/>
        </w:rPr>
        <w:t xml:space="preserve">Barcelona </w:t>
      </w:r>
      <w:r w:rsidR="00255B92" w:rsidRPr="001E30A8">
        <w:rPr>
          <w:b/>
          <w:bCs/>
        </w:rPr>
        <w:t xml:space="preserve">el 34,7% de la pérdida de </w:t>
      </w:r>
      <w:r w:rsidR="00255B92" w:rsidRPr="001E30A8">
        <w:rPr>
          <w:b/>
          <w:bCs/>
          <w:i/>
          <w:iCs/>
        </w:rPr>
        <w:t>stock</w:t>
      </w:r>
      <w:r w:rsidR="00255B92" w:rsidRPr="001E30A8">
        <w:rPr>
          <w:b/>
          <w:bCs/>
        </w:rPr>
        <w:t xml:space="preserve"> de todo el país</w:t>
      </w:r>
      <w:r w:rsidR="00255B92">
        <w:t>.</w:t>
      </w:r>
      <w:r>
        <w:t xml:space="preserve"> La rigidez de los precios </w:t>
      </w:r>
      <w:r w:rsidR="0051489C">
        <w:t xml:space="preserve">en Barcelona </w:t>
      </w:r>
      <w:r>
        <w:t>ha provocado que la rotación de viviendas</w:t>
      </w:r>
      <w:r w:rsidR="009B2901">
        <w:t xml:space="preserve"> sea escasa</w:t>
      </w:r>
      <w:r w:rsidR="00BF75B9">
        <w:t xml:space="preserve">, </w:t>
      </w:r>
      <w:r>
        <w:t xml:space="preserve">manteniendo la presión </w:t>
      </w:r>
      <w:r w:rsidR="001E30A8">
        <w:t xml:space="preserve">de la demanda </w:t>
      </w:r>
      <w:r>
        <w:t xml:space="preserve">en niveles </w:t>
      </w:r>
      <w:r w:rsidR="001E30A8">
        <w:t>récord (462 interesados)</w:t>
      </w:r>
      <w:r w:rsidR="00440905">
        <w:t xml:space="preserve"> pese a los límites legales. </w:t>
      </w:r>
      <w:r w:rsidR="006055AC" w:rsidRPr="000C3B69">
        <w:rPr>
          <w:b/>
          <w:bCs/>
        </w:rPr>
        <w:t>Est</w:t>
      </w:r>
      <w:r w:rsidR="00FD3268">
        <w:rPr>
          <w:b/>
          <w:bCs/>
        </w:rPr>
        <w:t xml:space="preserve">a situación está mostrando como </w:t>
      </w:r>
      <w:r w:rsidR="006055AC" w:rsidRPr="000C3B69">
        <w:rPr>
          <w:b/>
          <w:bCs/>
        </w:rPr>
        <w:t>el control de precios no ha frenado el interés</w:t>
      </w:r>
      <w:r w:rsidR="006055AC" w:rsidRPr="00630805">
        <w:t xml:space="preserve">, sino que ha reducido significativamente las opciones disponibles. </w:t>
      </w:r>
      <w:r w:rsidR="006055AC" w:rsidRPr="00630805">
        <w:rPr>
          <w:b/>
          <w:bCs/>
        </w:rPr>
        <w:t>Girona es la única excepción con una subida testimonial de oferta del 0,9%</w:t>
      </w:r>
      <w:r w:rsidR="006055AC">
        <w:t xml:space="preserve">, aunque la presión ha pasado de los 104 interesados a los 140, por lo que </w:t>
      </w:r>
      <w:r w:rsidR="006055AC" w:rsidRPr="00630805">
        <w:rPr>
          <w:b/>
          <w:bCs/>
        </w:rPr>
        <w:t>este aumento de la oferta es insuficiente para la alta demanda existente.</w:t>
      </w:r>
      <w:r w:rsidR="006055AC">
        <w:rPr>
          <w:b/>
          <w:bCs/>
        </w:rPr>
        <w:t xml:space="preserve"> </w:t>
      </w:r>
    </w:p>
    <w:p w14:paraId="2ED43956" w14:textId="695F8991" w:rsidR="00440905" w:rsidRPr="00D903D6" w:rsidRDefault="00440905" w:rsidP="00CA6CDB">
      <w:pPr>
        <w:jc w:val="both"/>
        <w:rPr>
          <w:b/>
          <w:bCs/>
        </w:rPr>
      </w:pPr>
      <w:r w:rsidRPr="000D04A9">
        <w:rPr>
          <w:b/>
          <w:bCs/>
        </w:rPr>
        <w:t>País Vasco</w:t>
      </w:r>
      <w:r w:rsidR="00521B82">
        <w:t>, por su parte,</w:t>
      </w:r>
      <w:r>
        <w:t xml:space="preserve"> es la región donde </w:t>
      </w:r>
      <w:r w:rsidRPr="000D04A9">
        <w:rPr>
          <w:b/>
          <w:bCs/>
        </w:rPr>
        <w:t>la oferta ha sufrido la caída porcentual más severa del país</w:t>
      </w:r>
      <w:r>
        <w:t xml:space="preserve">. </w:t>
      </w:r>
      <w:r w:rsidRPr="000D04A9">
        <w:rPr>
          <w:b/>
          <w:bCs/>
        </w:rPr>
        <w:t>Vizcaya</w:t>
      </w:r>
      <w:r>
        <w:t xml:space="preserve"> (-25,4%) y </w:t>
      </w:r>
      <w:r w:rsidRPr="000D04A9">
        <w:rPr>
          <w:b/>
          <w:bCs/>
        </w:rPr>
        <w:t>Guipúzcoa</w:t>
      </w:r>
      <w:r>
        <w:t xml:space="preserve"> (-23,3%) </w:t>
      </w:r>
      <w:r w:rsidRPr="000D04A9">
        <w:rPr>
          <w:b/>
          <w:bCs/>
        </w:rPr>
        <w:t xml:space="preserve">lideran el retroceso de </w:t>
      </w:r>
      <w:r w:rsidRPr="000D04A9">
        <w:rPr>
          <w:b/>
          <w:bCs/>
          <w:i/>
          <w:iCs/>
        </w:rPr>
        <w:t>stock</w:t>
      </w:r>
      <w:r w:rsidRPr="000D04A9">
        <w:rPr>
          <w:b/>
          <w:bCs/>
        </w:rPr>
        <w:t xml:space="preserve"> interanual</w:t>
      </w:r>
      <w:r>
        <w:t xml:space="preserve">, con propietarios que optan por cerrar el inmueble o trasladarlo a otras modalidades de alquiler ante la incertidumbre regulatoria. </w:t>
      </w:r>
      <w:r w:rsidR="001231E4">
        <w:t xml:space="preserve">Esta disminución tan acentuada de la </w:t>
      </w:r>
      <w:r w:rsidR="00D903D6">
        <w:t>oferta</w:t>
      </w:r>
      <w:r w:rsidR="001231E4">
        <w:t xml:space="preserve"> ha provocado un aumento de </w:t>
      </w:r>
      <w:r w:rsidR="001231E4" w:rsidRPr="00D903D6">
        <w:rPr>
          <w:b/>
          <w:bCs/>
        </w:rPr>
        <w:t xml:space="preserve">los precios que superan ya los 1.300€ en </w:t>
      </w:r>
      <w:r w:rsidR="00E6679E" w:rsidRPr="00D903D6">
        <w:rPr>
          <w:b/>
          <w:bCs/>
        </w:rPr>
        <w:t xml:space="preserve">Vizcaya y los 1.500€ en Guipúzcoa. </w:t>
      </w:r>
    </w:p>
    <w:p w14:paraId="09BFE771" w14:textId="196ACFAB" w:rsidR="00A4024E" w:rsidRDefault="001759AC" w:rsidP="00CA6CDB">
      <w:pPr>
        <w:jc w:val="both"/>
      </w:pPr>
      <w:r>
        <w:t xml:space="preserve">Por otro lado, en </w:t>
      </w:r>
      <w:r w:rsidRPr="00D903D6">
        <w:rPr>
          <w:b/>
          <w:bCs/>
        </w:rPr>
        <w:t>Navarra la oferta ha caído un 16,4%,</w:t>
      </w:r>
      <w:r>
        <w:t xml:space="preserve"> lo que ha impulsado los </w:t>
      </w:r>
      <w:r w:rsidRPr="00D903D6">
        <w:rPr>
          <w:b/>
          <w:bCs/>
        </w:rPr>
        <w:t>precios por encima de los 1.000€</w:t>
      </w:r>
      <w:r w:rsidR="00B93D19" w:rsidRPr="00D903D6">
        <w:rPr>
          <w:b/>
          <w:bCs/>
        </w:rPr>
        <w:t xml:space="preserve"> (1.028€)</w:t>
      </w:r>
      <w:r w:rsidR="00B93D19">
        <w:t xml:space="preserve"> debi</w:t>
      </w:r>
      <w:r w:rsidR="00EE33C7">
        <w:t>do</w:t>
      </w:r>
      <w:r w:rsidR="00B93D19">
        <w:t xml:space="preserve"> a la drástica reducción de inmuebles disponibles. </w:t>
      </w:r>
      <w:r w:rsidR="003627AF">
        <w:t xml:space="preserve">Además, en </w:t>
      </w:r>
      <w:r w:rsidR="003627AF" w:rsidRPr="00D903D6">
        <w:rPr>
          <w:b/>
          <w:bCs/>
        </w:rPr>
        <w:t>Galicia</w:t>
      </w:r>
      <w:r w:rsidR="006F5EA5" w:rsidRPr="00D903D6">
        <w:rPr>
          <w:b/>
          <w:bCs/>
        </w:rPr>
        <w:t>,</w:t>
      </w:r>
      <w:r w:rsidR="003627AF" w:rsidRPr="00D903D6">
        <w:rPr>
          <w:b/>
          <w:bCs/>
        </w:rPr>
        <w:t xml:space="preserve"> A Coruña presenta</w:t>
      </w:r>
      <w:r w:rsidR="00A4024E" w:rsidRPr="00D903D6">
        <w:rPr>
          <w:b/>
          <w:bCs/>
        </w:rPr>
        <w:t xml:space="preserve"> una caída del 5,3% en su oferta</w:t>
      </w:r>
      <w:r w:rsidR="00EA0072">
        <w:rPr>
          <w:b/>
          <w:bCs/>
        </w:rPr>
        <w:t>, con</w:t>
      </w:r>
      <w:r w:rsidR="00A4024E" w:rsidRPr="00D903D6">
        <w:rPr>
          <w:b/>
          <w:bCs/>
        </w:rPr>
        <w:t xml:space="preserve"> una presión de demanda que se sitúa ya en niveles de riesgo (49 interesados)</w:t>
      </w:r>
      <w:r w:rsidR="00EA0072">
        <w:t>, y un precio medio que alcanza los 775</w:t>
      </w:r>
      <w:r w:rsidR="00EA0072" w:rsidRPr="000A0DA6">
        <w:t>€</w:t>
      </w:r>
      <w:r w:rsidR="00EA0072">
        <w:t xml:space="preserve">, muy por encima de la media de </w:t>
      </w:r>
      <w:r w:rsidR="00E12D0C">
        <w:t>la región</w:t>
      </w:r>
      <w:r w:rsidR="003A267C">
        <w:t xml:space="preserve">, y posicionándose como </w:t>
      </w:r>
      <w:r w:rsidR="003A267C" w:rsidRPr="008052ED">
        <w:rPr>
          <w:b/>
          <w:bCs/>
        </w:rPr>
        <w:t>la segunda provincia más cara de la comunidad</w:t>
      </w:r>
      <w:r w:rsidR="003A267C">
        <w:t xml:space="preserve">, por detrás de Pontevedra.  </w:t>
      </w:r>
    </w:p>
    <w:p w14:paraId="1B1B673F" w14:textId="1B85FF46" w:rsidR="002A2240" w:rsidRPr="00575F95" w:rsidRDefault="008E19BF" w:rsidP="00CA6CDB">
      <w:pPr>
        <w:jc w:val="both"/>
        <w:rPr>
          <w:b/>
          <w:bCs/>
          <w:color w:val="FF5A00"/>
        </w:rPr>
      </w:pPr>
      <w:r>
        <w:rPr>
          <w:b/>
          <w:bCs/>
          <w:color w:val="FF5A00"/>
        </w:rPr>
        <w:t xml:space="preserve">LA PRESIÓN DE LA DEMANDA </w:t>
      </w:r>
      <w:r w:rsidR="005206DD">
        <w:rPr>
          <w:b/>
          <w:bCs/>
          <w:color w:val="FF5A00"/>
        </w:rPr>
        <w:t xml:space="preserve">SE DESPLAZA A </w:t>
      </w:r>
      <w:r w:rsidR="00FD3268">
        <w:rPr>
          <w:b/>
          <w:bCs/>
          <w:color w:val="FF5A00"/>
        </w:rPr>
        <w:t xml:space="preserve">OTRAS </w:t>
      </w:r>
      <w:r w:rsidR="005206DD">
        <w:rPr>
          <w:b/>
          <w:bCs/>
          <w:color w:val="FF5A00"/>
        </w:rPr>
        <w:t>PROVINCIAS</w:t>
      </w:r>
    </w:p>
    <w:p w14:paraId="1EEC80FD" w14:textId="4E860AFC" w:rsidR="00D67663" w:rsidRDefault="005206DD" w:rsidP="00CA6CDB">
      <w:pPr>
        <w:jc w:val="both"/>
      </w:pPr>
      <w:r>
        <w:t xml:space="preserve">La </w:t>
      </w:r>
      <w:r w:rsidRPr="003A267C">
        <w:rPr>
          <w:b/>
          <w:bCs/>
        </w:rPr>
        <w:t>presión de la demanda</w:t>
      </w:r>
      <w:r w:rsidR="00C912D6">
        <w:t xml:space="preserve">, </w:t>
      </w:r>
      <w:r w:rsidR="00991C2D">
        <w:t>es decir, el número de personas que se interesan por una vivienda de alquiler en sus primeros diez días en el mercado,</w:t>
      </w:r>
      <w:r>
        <w:t xml:space="preserve"> se consolida en </w:t>
      </w:r>
      <w:r w:rsidRPr="003A267C">
        <w:rPr>
          <w:b/>
          <w:bCs/>
        </w:rPr>
        <w:t>135 interesados por vivienda</w:t>
      </w:r>
      <w:r w:rsidR="00991C2D" w:rsidRPr="003A267C">
        <w:rPr>
          <w:b/>
          <w:bCs/>
        </w:rPr>
        <w:t xml:space="preserve"> a nivel nacional</w:t>
      </w:r>
      <w:r w:rsidRPr="003A267C">
        <w:rPr>
          <w:b/>
          <w:bCs/>
        </w:rPr>
        <w:t>, acumulando ya un año y medio por encima de la barrera de los 100.</w:t>
      </w:r>
      <w:r>
        <w:t xml:space="preserve"> </w:t>
      </w:r>
      <w:r w:rsidRPr="003A267C">
        <w:rPr>
          <w:b/>
          <w:bCs/>
        </w:rPr>
        <w:t>Barcelona</w:t>
      </w:r>
      <w:r>
        <w:t xml:space="preserve"> vuelve a marcar un </w:t>
      </w:r>
      <w:r w:rsidRPr="003A267C">
        <w:rPr>
          <w:b/>
          <w:bCs/>
        </w:rPr>
        <w:t>récord</w:t>
      </w:r>
      <w:r w:rsidR="00FF02E6" w:rsidRPr="003A267C">
        <w:rPr>
          <w:b/>
          <w:bCs/>
        </w:rPr>
        <w:t xml:space="preserve"> histórico con 462 interesados</w:t>
      </w:r>
      <w:r w:rsidR="00FF02E6">
        <w:t xml:space="preserve">, reflejando un mercado totalmente saturado. </w:t>
      </w:r>
    </w:p>
    <w:p w14:paraId="189E606E" w14:textId="2A198618" w:rsidR="00A67091" w:rsidRDefault="003A559E" w:rsidP="00CA6CDB">
      <w:pPr>
        <w:jc w:val="both"/>
      </w:pPr>
      <w:r w:rsidRPr="002D1650">
        <w:lastRenderedPageBreak/>
        <w:t xml:space="preserve">Además de Barcelona, por encima de los 100 interesados por vivienda se encuentran: </w:t>
      </w:r>
      <w:r w:rsidRPr="002D1650">
        <w:rPr>
          <w:b/>
          <w:bCs/>
        </w:rPr>
        <w:t>Girona</w:t>
      </w:r>
      <w:r w:rsidRPr="002D1650">
        <w:t xml:space="preserve"> (140), </w:t>
      </w:r>
      <w:r w:rsidRPr="002D1650">
        <w:rPr>
          <w:b/>
          <w:bCs/>
        </w:rPr>
        <w:t>Baleares</w:t>
      </w:r>
      <w:r w:rsidRPr="002D1650">
        <w:t xml:space="preserve"> (137), </w:t>
      </w:r>
      <w:r w:rsidRPr="002D1650">
        <w:rPr>
          <w:b/>
          <w:bCs/>
        </w:rPr>
        <w:t>Vizcaya</w:t>
      </w:r>
      <w:r w:rsidRPr="002D1650">
        <w:t xml:space="preserve"> (134), </w:t>
      </w:r>
      <w:r w:rsidRPr="002D1650">
        <w:rPr>
          <w:b/>
          <w:bCs/>
        </w:rPr>
        <w:t>Las</w:t>
      </w:r>
      <w:r w:rsidRPr="002D1650">
        <w:t xml:space="preserve"> </w:t>
      </w:r>
      <w:r w:rsidRPr="002D1650">
        <w:rPr>
          <w:b/>
          <w:bCs/>
        </w:rPr>
        <w:t>Palmas</w:t>
      </w:r>
      <w:r w:rsidRPr="002D1650">
        <w:t xml:space="preserve"> (121), </w:t>
      </w:r>
      <w:r w:rsidRPr="002D1650">
        <w:rPr>
          <w:b/>
          <w:bCs/>
        </w:rPr>
        <w:t>Zaragoza</w:t>
      </w:r>
      <w:r w:rsidRPr="002D1650">
        <w:t xml:space="preserve"> (109), </w:t>
      </w:r>
      <w:r w:rsidRPr="002D1650">
        <w:rPr>
          <w:b/>
          <w:bCs/>
        </w:rPr>
        <w:t>Tarragona</w:t>
      </w:r>
      <w:r w:rsidRPr="002D1650">
        <w:t xml:space="preserve"> (109), </w:t>
      </w:r>
      <w:r w:rsidRPr="002D1650">
        <w:rPr>
          <w:b/>
          <w:bCs/>
        </w:rPr>
        <w:t>Valencia</w:t>
      </w:r>
      <w:r w:rsidRPr="002D1650">
        <w:t xml:space="preserve"> (104), </w:t>
      </w:r>
      <w:r w:rsidRPr="002D1650">
        <w:rPr>
          <w:b/>
          <w:bCs/>
        </w:rPr>
        <w:t>Madrid</w:t>
      </w:r>
      <w:r w:rsidRPr="002D1650">
        <w:t xml:space="preserve"> (103) y </w:t>
      </w:r>
      <w:r w:rsidRPr="002D1650">
        <w:rPr>
          <w:b/>
          <w:bCs/>
        </w:rPr>
        <w:t>Santa Cruz de Tenerife</w:t>
      </w:r>
      <w:r w:rsidRPr="002D1650">
        <w:t xml:space="preserve"> (102). </w:t>
      </w:r>
    </w:p>
    <w:p w14:paraId="543F794D" w14:textId="27375579" w:rsidR="009D787E" w:rsidRDefault="009D787E" w:rsidP="009D787E">
      <w:pPr>
        <w:jc w:val="center"/>
        <w:rPr>
          <w:b/>
          <w:bCs/>
        </w:rPr>
      </w:pPr>
      <w:r w:rsidRPr="009D787E">
        <w:rPr>
          <w:b/>
          <w:bCs/>
        </w:rPr>
        <w:t>Provincias según presión de la demanda</w:t>
      </w:r>
    </w:p>
    <w:p w14:paraId="194C848D" w14:textId="516318DB" w:rsidR="009D787E" w:rsidRPr="009D787E" w:rsidRDefault="009D787E" w:rsidP="009D787E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1BD66B1" wp14:editId="5A85D7BB">
            <wp:extent cx="5400040" cy="3040380"/>
            <wp:effectExtent l="0" t="0" r="0" b="7620"/>
            <wp:docPr id="1060090381" name="Imagen 5" descr="Map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090381" name="Imagen 5" descr="Mapa&#10;&#10;El contenido generado por IA puede ser incorrec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C384D" w14:textId="2B6EDD79" w:rsidR="000510B4" w:rsidRPr="00513D7C" w:rsidRDefault="002D1650" w:rsidP="00CA6CDB">
      <w:pPr>
        <w:jc w:val="both"/>
        <w:rPr>
          <w:b/>
          <w:bCs/>
        </w:rPr>
      </w:pPr>
      <w:r>
        <w:t xml:space="preserve">Si analizamos la </w:t>
      </w:r>
      <w:r w:rsidRPr="00B91436">
        <w:rPr>
          <w:b/>
          <w:bCs/>
        </w:rPr>
        <w:t>evolución anual</w:t>
      </w:r>
      <w:r>
        <w:t xml:space="preserve">, los mayores crecimientos de la demanda se concentran en perfiles </w:t>
      </w:r>
      <w:r w:rsidR="000D7F87">
        <w:t>diferenciados</w:t>
      </w:r>
      <w:r>
        <w:t xml:space="preserve">. Por un lado, </w:t>
      </w:r>
      <w:r w:rsidR="000510B4">
        <w:t>se observa un marcado efecto limítrofe en el área de influencia de Madrid, donde la conexión con la</w:t>
      </w:r>
      <w:r w:rsidR="00843069">
        <w:t xml:space="preserve"> capital ha disparado el número de interesados en </w:t>
      </w:r>
      <w:r w:rsidR="00843069" w:rsidRPr="00513D7C">
        <w:rPr>
          <w:b/>
          <w:bCs/>
        </w:rPr>
        <w:t>Toledo</w:t>
      </w:r>
      <w:r w:rsidR="00843069">
        <w:t xml:space="preserve"> (que sube de 33 a 54) y </w:t>
      </w:r>
      <w:r w:rsidR="00843069" w:rsidRPr="00513D7C">
        <w:rPr>
          <w:b/>
          <w:bCs/>
        </w:rPr>
        <w:t>Guadalajara</w:t>
      </w:r>
      <w:r w:rsidR="00843069">
        <w:t xml:space="preserve"> (de 69 a 75)</w:t>
      </w:r>
      <w:r w:rsidR="00A8743F">
        <w:t xml:space="preserve">, </w:t>
      </w:r>
      <w:r w:rsidR="00A8743F" w:rsidRPr="00513D7C">
        <w:rPr>
          <w:b/>
          <w:bCs/>
        </w:rPr>
        <w:t xml:space="preserve">actuando como receptores de los inquilinos expulsados por las rentas metropolitanas. </w:t>
      </w:r>
    </w:p>
    <w:p w14:paraId="59BAF14B" w14:textId="7C942614" w:rsidR="000510B4" w:rsidRDefault="00A8743F" w:rsidP="00CA6CDB">
      <w:pPr>
        <w:jc w:val="both"/>
      </w:pPr>
      <w:r>
        <w:t xml:space="preserve">Por otro lado, el crecimiento en provincias como </w:t>
      </w:r>
      <w:r w:rsidRPr="00513D7C">
        <w:rPr>
          <w:b/>
          <w:bCs/>
        </w:rPr>
        <w:t>Girona</w:t>
      </w:r>
      <w:r>
        <w:t xml:space="preserve"> (de 104 a 140) y </w:t>
      </w:r>
      <w:r w:rsidRPr="00513D7C">
        <w:rPr>
          <w:b/>
          <w:bCs/>
        </w:rPr>
        <w:t>Tarragona</w:t>
      </w:r>
      <w:r>
        <w:t xml:space="preserve"> (de 92 a 109) responde a una dinámica más compleja. </w:t>
      </w:r>
      <w:r w:rsidR="00F710DF">
        <w:t xml:space="preserve">Si bien existe un componente de cercanía con </w:t>
      </w:r>
      <w:r w:rsidR="00F710DF" w:rsidRPr="00513D7C">
        <w:rPr>
          <w:b/>
          <w:bCs/>
        </w:rPr>
        <w:t>Barcelona</w:t>
      </w:r>
      <w:r w:rsidR="00F710DF">
        <w:t xml:space="preserve"> (que pasa de 421 a 462), su situación </w:t>
      </w:r>
      <w:r w:rsidR="00CE1FF5">
        <w:t xml:space="preserve">no depende exclusivamente de la capital catalana. En </w:t>
      </w:r>
      <w:r w:rsidR="00CE1FF5" w:rsidRPr="00513D7C">
        <w:rPr>
          <w:b/>
          <w:bCs/>
        </w:rPr>
        <w:t>Tarragona</w:t>
      </w:r>
      <w:r w:rsidR="00CE1FF5">
        <w:t xml:space="preserve">, el incremento de la presión está estrechamente vinculado a su </w:t>
      </w:r>
      <w:r w:rsidR="00CE1FF5" w:rsidRPr="00513D7C">
        <w:rPr>
          <w:b/>
          <w:bCs/>
        </w:rPr>
        <w:t xml:space="preserve">potente tejido industrial y a </w:t>
      </w:r>
      <w:r w:rsidR="00C86EEA">
        <w:rPr>
          <w:b/>
          <w:bCs/>
        </w:rPr>
        <w:t>un</w:t>
      </w:r>
      <w:r w:rsidR="00CE1FF5" w:rsidRPr="00513D7C">
        <w:rPr>
          <w:b/>
          <w:bCs/>
        </w:rPr>
        <w:t xml:space="preserve"> mercado de alquiler propio</w:t>
      </w:r>
      <w:r w:rsidR="00CE1FF5">
        <w:t xml:space="preserve">. </w:t>
      </w:r>
      <w:r w:rsidR="00727969">
        <w:t xml:space="preserve">Además, en ambos territorios </w:t>
      </w:r>
      <w:r w:rsidR="00727969" w:rsidRPr="00B3078B">
        <w:rPr>
          <w:b/>
          <w:bCs/>
        </w:rPr>
        <w:t>la declaración de zonas de mercado tensionado ha alterado el equilibrio entre oferta y demanda</w:t>
      </w:r>
      <w:r w:rsidR="00727969">
        <w:t>, convirtiéndose en el princ</w:t>
      </w:r>
      <w:r w:rsidR="00E15D52">
        <w:t xml:space="preserve">ipal motivo del desequilibrio actual, por encima del mero factor geográfico. </w:t>
      </w:r>
    </w:p>
    <w:p w14:paraId="27B68DCF" w14:textId="526C0777" w:rsidR="00B91436" w:rsidRDefault="00DF2A77" w:rsidP="00CA6CDB">
      <w:pPr>
        <w:jc w:val="both"/>
      </w:pPr>
      <w:r>
        <w:t>Asimismo,</w:t>
      </w:r>
      <w:r w:rsidR="002D1650">
        <w:t xml:space="preserve"> encontramos provincias que</w:t>
      </w:r>
      <w:r>
        <w:t xml:space="preserve"> también</w:t>
      </w:r>
      <w:r w:rsidR="002D1650">
        <w:t xml:space="preserve"> registran aumentos </w:t>
      </w:r>
      <w:r w:rsidR="00B91436">
        <w:t>significativos</w:t>
      </w:r>
      <w:r w:rsidR="002D1650">
        <w:t xml:space="preserve"> por dinámicas propias de sus mercados locales. Es el caso de </w:t>
      </w:r>
      <w:r w:rsidR="002D1650" w:rsidRPr="002D1650">
        <w:rPr>
          <w:b/>
          <w:bCs/>
        </w:rPr>
        <w:t>Asturias</w:t>
      </w:r>
      <w:r w:rsidR="002D1650">
        <w:t xml:space="preserve"> (que pasa de 19 a 31 interesados) y </w:t>
      </w:r>
      <w:r w:rsidR="002D1650" w:rsidRPr="002D1650">
        <w:rPr>
          <w:b/>
          <w:bCs/>
        </w:rPr>
        <w:t>Castellón</w:t>
      </w:r>
      <w:r w:rsidR="002D1650">
        <w:t xml:space="preserve"> (de 18 a 35), donde el incremento de la presión responde de forma directa a una severa contracción de la oferta residencial</w:t>
      </w:r>
      <w:r w:rsidR="00B91436">
        <w:t xml:space="preserve"> que</w:t>
      </w:r>
      <w:r w:rsidR="002D1650">
        <w:t xml:space="preserve"> ha concentrado la demanda sobre un </w:t>
      </w:r>
      <w:r w:rsidR="002D1650" w:rsidRPr="002D1650">
        <w:rPr>
          <w:i/>
          <w:iCs/>
        </w:rPr>
        <w:t>stock</w:t>
      </w:r>
      <w:r w:rsidR="002D1650">
        <w:t xml:space="preserve"> muy reducido. Por su parte, en </w:t>
      </w:r>
      <w:r w:rsidR="002D1650" w:rsidRPr="002D1650">
        <w:rPr>
          <w:b/>
          <w:bCs/>
        </w:rPr>
        <w:t>Las</w:t>
      </w:r>
      <w:r w:rsidR="002D1650">
        <w:t xml:space="preserve"> </w:t>
      </w:r>
      <w:r w:rsidR="002D1650" w:rsidRPr="002D1650">
        <w:rPr>
          <w:b/>
          <w:bCs/>
        </w:rPr>
        <w:t>Palmas</w:t>
      </w:r>
      <w:r w:rsidR="00B91436">
        <w:t xml:space="preserve">, </w:t>
      </w:r>
      <w:r w:rsidR="002D1650">
        <w:t>que sube de 90 a 121</w:t>
      </w:r>
      <w:r w:rsidR="00B91436">
        <w:t xml:space="preserve">, y en </w:t>
      </w:r>
      <w:r w:rsidR="00B91436" w:rsidRPr="00B91436">
        <w:rPr>
          <w:b/>
          <w:bCs/>
        </w:rPr>
        <w:lastRenderedPageBreak/>
        <w:t>Baleares</w:t>
      </w:r>
      <w:r w:rsidR="00B91436">
        <w:t xml:space="preserve"> (de 124 a 137)</w:t>
      </w:r>
      <w:r w:rsidR="002D1650">
        <w:t>, la alta competencia se justifica por su condición de enclave</w:t>
      </w:r>
      <w:r w:rsidR="00B91436">
        <w:t>s</w:t>
      </w:r>
      <w:r w:rsidR="002D1650">
        <w:t xml:space="preserve"> costero</w:t>
      </w:r>
      <w:r w:rsidR="00B91436">
        <w:t>s</w:t>
      </w:r>
      <w:r w:rsidR="002D1650">
        <w:t xml:space="preserve"> de referencia.</w:t>
      </w:r>
    </w:p>
    <w:p w14:paraId="4799A8D8" w14:textId="5F27E099" w:rsidR="002D1650" w:rsidRDefault="00B91436" w:rsidP="00CA6CDB">
      <w:pPr>
        <w:jc w:val="both"/>
        <w:rPr>
          <w:b/>
          <w:bCs/>
        </w:rPr>
      </w:pPr>
      <w:r>
        <w:t xml:space="preserve">Mención especial merece </w:t>
      </w:r>
      <w:r w:rsidRPr="00B91436">
        <w:rPr>
          <w:b/>
          <w:bCs/>
        </w:rPr>
        <w:t>Zaragoza</w:t>
      </w:r>
      <w:r>
        <w:t xml:space="preserve">, cuyo incremento de 55 a 109 interesados responde a una caída notable de la oferta sumada a un </w:t>
      </w:r>
      <w:r w:rsidRPr="00B91436">
        <w:rPr>
          <w:b/>
          <w:bCs/>
        </w:rPr>
        <w:t>aumento real de la demanda atraída por los grandes proyectos tecnológicos y logísticos establecidos recientemente en Aragón</w:t>
      </w:r>
      <w:r>
        <w:t xml:space="preserve">. Por último, llama la atención la situación de </w:t>
      </w:r>
      <w:r w:rsidRPr="00B91436">
        <w:rPr>
          <w:b/>
          <w:bCs/>
        </w:rPr>
        <w:t>Vizcaya</w:t>
      </w:r>
      <w:r>
        <w:t xml:space="preserve">, que, aunque ha visto disminuir su presión desde los 191 hasta los 134 interesados, </w:t>
      </w:r>
      <w:r w:rsidRPr="00B91436">
        <w:rPr>
          <w:b/>
          <w:bCs/>
        </w:rPr>
        <w:t xml:space="preserve">se mantiene como la cuarta provincia con mayor competencia del país. </w:t>
      </w:r>
      <w:r w:rsidR="002D1650" w:rsidRPr="00B91436">
        <w:rPr>
          <w:b/>
          <w:bCs/>
        </w:rPr>
        <w:t xml:space="preserve"> </w:t>
      </w:r>
    </w:p>
    <w:p w14:paraId="1C3B3EE6" w14:textId="77777777" w:rsidR="008C01F6" w:rsidRDefault="008C01F6" w:rsidP="00CA6CDB">
      <w:pPr>
        <w:jc w:val="both"/>
        <w:rPr>
          <w:b/>
          <w:bCs/>
        </w:rPr>
      </w:pPr>
    </w:p>
    <w:p w14:paraId="268E5E0D" w14:textId="77777777" w:rsidR="008C01F6" w:rsidRDefault="008C01F6" w:rsidP="00CA6CDB">
      <w:pPr>
        <w:jc w:val="both"/>
        <w:rPr>
          <w:b/>
          <w:bCs/>
        </w:rPr>
      </w:pPr>
    </w:p>
    <w:p w14:paraId="23D7215F" w14:textId="77777777" w:rsidR="008C01F6" w:rsidRDefault="008C01F6" w:rsidP="00CA6CDB">
      <w:pPr>
        <w:jc w:val="both"/>
        <w:rPr>
          <w:b/>
          <w:bCs/>
        </w:rPr>
      </w:pPr>
    </w:p>
    <w:p w14:paraId="73F8D4EF" w14:textId="77777777" w:rsidR="008C01F6" w:rsidRDefault="008C01F6" w:rsidP="00CA6CDB">
      <w:pPr>
        <w:jc w:val="both"/>
        <w:rPr>
          <w:b/>
          <w:bCs/>
        </w:rPr>
      </w:pPr>
    </w:p>
    <w:p w14:paraId="586ED498" w14:textId="77777777" w:rsidR="008C01F6" w:rsidRDefault="008C01F6" w:rsidP="00CA6CDB">
      <w:pPr>
        <w:jc w:val="both"/>
        <w:rPr>
          <w:b/>
          <w:bCs/>
        </w:rPr>
      </w:pPr>
    </w:p>
    <w:p w14:paraId="744B2CF3" w14:textId="77777777" w:rsidR="008C01F6" w:rsidRDefault="008C01F6" w:rsidP="00CA6CDB">
      <w:pPr>
        <w:jc w:val="both"/>
        <w:rPr>
          <w:b/>
          <w:bCs/>
        </w:rPr>
      </w:pPr>
    </w:p>
    <w:p w14:paraId="2477228F" w14:textId="77777777" w:rsidR="008C01F6" w:rsidRPr="00B91436" w:rsidRDefault="008C01F6" w:rsidP="00CA6CDB">
      <w:pPr>
        <w:jc w:val="both"/>
        <w:rPr>
          <w:b/>
          <w:bCs/>
        </w:rPr>
      </w:pPr>
    </w:p>
    <w:p w14:paraId="43E3CD3E" w14:textId="0BA22809" w:rsidR="002212D2" w:rsidRPr="002212D2" w:rsidRDefault="00EB64F5" w:rsidP="004F1B47">
      <w:pPr>
        <w:pBdr>
          <w:top w:val="single" w:sz="4" w:space="1" w:color="FF5A00"/>
        </w:pBdr>
        <w:jc w:val="both"/>
        <w:rPr>
          <w:rFonts w:ascii="Gill Sans Nova Light" w:hAnsi="Gill Sans Nova Light" w:cs="Arial"/>
          <w:color w:val="FF5A00"/>
          <w:sz w:val="20"/>
        </w:rPr>
      </w:pPr>
      <w:bookmarkStart w:id="0" w:name="_Hlk113896170"/>
      <w:r w:rsidRPr="00F3301B">
        <w:rPr>
          <w:rFonts w:ascii="Gill Sans Nova Light" w:hAnsi="Gill Sans Nova Light" w:cs="Arial"/>
          <w:sz w:val="20"/>
        </w:rPr>
        <w:t xml:space="preserve">Acerca </w:t>
      </w:r>
      <w:r w:rsidR="002212D2">
        <w:rPr>
          <w:rFonts w:ascii="Gill Sans Nova Light" w:hAnsi="Gill Sans Nova Light" w:cs="Arial"/>
          <w:sz w:val="20"/>
        </w:rPr>
        <w:t>del Observatorio del Alquiler</w:t>
      </w:r>
      <w:r w:rsidRPr="00F3301B">
        <w:rPr>
          <w:rFonts w:ascii="Gill Sans Nova Light" w:hAnsi="Gill Sans Nova Light" w:cs="Arial"/>
          <w:sz w:val="20"/>
        </w:rPr>
        <w:t xml:space="preserve"> | </w:t>
      </w:r>
      <w:hyperlink r:id="rId14" w:history="1">
        <w:r w:rsidR="002212D2">
          <w:rPr>
            <w:rStyle w:val="Hipervnculo"/>
            <w:rFonts w:ascii="Gill Sans Nova Light" w:hAnsi="Gill Sans Nova Light" w:cs="Arial"/>
            <w:color w:val="FF5A00"/>
            <w:sz w:val="20"/>
          </w:rPr>
          <w:t>observatoriodelalquiler</w:t>
        </w:r>
        <w:r w:rsidRPr="00AC1A9D">
          <w:rPr>
            <w:rStyle w:val="Hipervnculo"/>
            <w:rFonts w:ascii="Gill Sans Nova Light" w:hAnsi="Gill Sans Nova Light" w:cs="Arial"/>
            <w:color w:val="FF5A00"/>
            <w:sz w:val="20"/>
          </w:rPr>
          <w:t>.org</w:t>
        </w:r>
      </w:hyperlink>
      <w:bookmarkEnd w:id="0"/>
    </w:p>
    <w:p w14:paraId="167E0538" w14:textId="19E9FAB3" w:rsidR="002212D2" w:rsidRPr="002212D2" w:rsidRDefault="002212D2" w:rsidP="002212D2">
      <w:pPr>
        <w:pBdr>
          <w:top w:val="single" w:sz="4" w:space="1" w:color="FF5A00"/>
        </w:pBdr>
        <w:jc w:val="both"/>
        <w:rPr>
          <w:rFonts w:ascii="Gilroy-Regular" w:hAnsi="Gilroy-Regular" w:cs="Arial"/>
          <w:color w:val="000000"/>
          <w:sz w:val="18"/>
          <w:szCs w:val="18"/>
        </w:rPr>
      </w:pPr>
      <w:r w:rsidRPr="002212D2">
        <w:rPr>
          <w:rFonts w:ascii="Gilroy-Regular" w:hAnsi="Gilroy-Regular" w:cs="Arial"/>
          <w:color w:val="000000"/>
          <w:sz w:val="18"/>
          <w:szCs w:val="18"/>
        </w:rPr>
        <w:t>El </w:t>
      </w:r>
      <w:r w:rsidRPr="002212D2">
        <w:rPr>
          <w:rFonts w:ascii="Gilroy-Regular" w:hAnsi="Gilroy-Regular" w:cs="Arial"/>
          <w:b/>
          <w:bCs/>
          <w:color w:val="000000"/>
          <w:sz w:val="18"/>
          <w:szCs w:val="18"/>
        </w:rPr>
        <w:t>Observatorio del Alquiler</w:t>
      </w:r>
      <w:r w:rsidRPr="002212D2">
        <w:rPr>
          <w:rFonts w:ascii="Gilroy-Regular" w:hAnsi="Gilroy-Regular" w:cs="Arial"/>
          <w:color w:val="000000"/>
          <w:sz w:val="18"/>
          <w:szCs w:val="18"/>
        </w:rPr>
        <w:t>, impulsado por la </w:t>
      </w:r>
      <w:r w:rsidRPr="002212D2">
        <w:rPr>
          <w:rFonts w:ascii="Gilroy-Regular" w:hAnsi="Gilroy-Regular" w:cs="Arial"/>
          <w:b/>
          <w:bCs/>
          <w:color w:val="000000"/>
          <w:sz w:val="18"/>
          <w:szCs w:val="18"/>
        </w:rPr>
        <w:t>Fundación Alquiler Seguro</w:t>
      </w:r>
      <w:r w:rsidR="008A7C1D">
        <w:rPr>
          <w:rFonts w:ascii="Gilroy-Regular" w:hAnsi="Gilroy-Regular" w:cs="Arial"/>
          <w:color w:val="000000"/>
          <w:sz w:val="18"/>
          <w:szCs w:val="18"/>
        </w:rPr>
        <w:t>,</w:t>
      </w:r>
      <w:r w:rsidRPr="002212D2">
        <w:rPr>
          <w:rFonts w:ascii="Gilroy-Regular" w:hAnsi="Gilroy-Regular" w:cs="Arial"/>
          <w:color w:val="000000"/>
          <w:sz w:val="18"/>
          <w:szCs w:val="18"/>
        </w:rPr>
        <w:t xml:space="preserve"> con un </w:t>
      </w:r>
      <w:r w:rsidRPr="002212D2">
        <w:rPr>
          <w:rFonts w:ascii="Gilroy-Regular" w:hAnsi="Gilroy-Regular" w:cs="Arial"/>
          <w:b/>
          <w:bCs/>
          <w:color w:val="000000"/>
          <w:sz w:val="18"/>
          <w:szCs w:val="18"/>
        </w:rPr>
        <w:t>equipo de investigadores de la Universidad Rey Juan Carlos (URCJ)</w:t>
      </w:r>
      <w:r w:rsidR="00936A41">
        <w:rPr>
          <w:rFonts w:ascii="Gilroy-Regular" w:hAnsi="Gilroy-Regular" w:cs="Arial"/>
          <w:b/>
          <w:bCs/>
          <w:color w:val="000000"/>
          <w:sz w:val="18"/>
          <w:szCs w:val="18"/>
        </w:rPr>
        <w:t xml:space="preserve">, </w:t>
      </w:r>
      <w:r w:rsidRPr="002212D2">
        <w:rPr>
          <w:rFonts w:ascii="Gilroy-Regular" w:hAnsi="Gilroy-Regular" w:cs="Arial"/>
          <w:b/>
          <w:bCs/>
          <w:color w:val="000000"/>
          <w:sz w:val="18"/>
          <w:szCs w:val="18"/>
        </w:rPr>
        <w:t>la Universidad Complutense de Madrid (UCM)</w:t>
      </w:r>
      <w:r w:rsidR="00936A41">
        <w:rPr>
          <w:rFonts w:ascii="Gilroy-Regular" w:hAnsi="Gilroy-Regular" w:cs="Arial"/>
          <w:b/>
          <w:bCs/>
          <w:color w:val="000000"/>
          <w:sz w:val="18"/>
          <w:szCs w:val="18"/>
        </w:rPr>
        <w:t xml:space="preserve"> e investigadores de la Cátedra de la UNESCO de la U</w:t>
      </w:r>
      <w:r w:rsidR="00936A41" w:rsidRPr="00936A41">
        <w:rPr>
          <w:rFonts w:ascii="Gilroy-Regular" w:hAnsi="Gilroy-Regular" w:cs="Arial"/>
          <w:b/>
          <w:bCs/>
          <w:color w:val="000000"/>
          <w:sz w:val="18"/>
          <w:szCs w:val="18"/>
        </w:rPr>
        <w:t xml:space="preserve">niversidad </w:t>
      </w:r>
      <w:r w:rsidR="00936A41">
        <w:rPr>
          <w:rFonts w:ascii="Gilroy-Regular" w:hAnsi="Gilroy-Regular" w:cs="Arial"/>
          <w:b/>
          <w:bCs/>
          <w:color w:val="000000"/>
          <w:sz w:val="18"/>
          <w:szCs w:val="18"/>
        </w:rPr>
        <w:t>R</w:t>
      </w:r>
      <w:r w:rsidR="00936A41" w:rsidRPr="00936A41">
        <w:rPr>
          <w:rFonts w:ascii="Gilroy-Regular" w:hAnsi="Gilroy-Regular" w:cs="Arial"/>
          <w:b/>
          <w:bCs/>
          <w:color w:val="000000"/>
          <w:sz w:val="18"/>
          <w:szCs w:val="18"/>
        </w:rPr>
        <w:t xml:space="preserve">ovira </w:t>
      </w:r>
      <w:r w:rsidR="00936A41">
        <w:rPr>
          <w:rFonts w:ascii="Gilroy-Regular" w:hAnsi="Gilroy-Regular" w:cs="Arial"/>
          <w:b/>
          <w:bCs/>
          <w:color w:val="000000"/>
          <w:sz w:val="18"/>
          <w:szCs w:val="18"/>
        </w:rPr>
        <w:t>I</w:t>
      </w:r>
      <w:r w:rsidR="00936A41" w:rsidRPr="00936A41">
        <w:rPr>
          <w:rFonts w:ascii="Gilroy-Regular" w:hAnsi="Gilroy-Regular" w:cs="Arial"/>
          <w:b/>
          <w:bCs/>
          <w:color w:val="000000"/>
          <w:sz w:val="18"/>
          <w:szCs w:val="18"/>
        </w:rPr>
        <w:t xml:space="preserve"> </w:t>
      </w:r>
      <w:r w:rsidR="00936A41">
        <w:rPr>
          <w:rFonts w:ascii="Gilroy-Regular" w:hAnsi="Gilroy-Regular" w:cs="Arial"/>
          <w:b/>
          <w:bCs/>
          <w:color w:val="000000"/>
          <w:sz w:val="18"/>
          <w:szCs w:val="18"/>
        </w:rPr>
        <w:t>V</w:t>
      </w:r>
      <w:r w:rsidR="00936A41" w:rsidRPr="00936A41">
        <w:rPr>
          <w:rFonts w:ascii="Gilroy-Regular" w:hAnsi="Gilroy-Regular" w:cs="Arial"/>
          <w:b/>
          <w:bCs/>
          <w:color w:val="000000"/>
          <w:sz w:val="18"/>
          <w:szCs w:val="18"/>
        </w:rPr>
        <w:t xml:space="preserve">irgili de </w:t>
      </w:r>
      <w:r w:rsidR="00936A41">
        <w:rPr>
          <w:rFonts w:ascii="Gilroy-Regular" w:hAnsi="Gilroy-Regular" w:cs="Arial"/>
          <w:b/>
          <w:bCs/>
          <w:color w:val="000000"/>
          <w:sz w:val="18"/>
          <w:szCs w:val="18"/>
        </w:rPr>
        <w:t>T</w:t>
      </w:r>
      <w:r w:rsidR="00936A41" w:rsidRPr="00936A41">
        <w:rPr>
          <w:rFonts w:ascii="Gilroy-Regular" w:hAnsi="Gilroy-Regular" w:cs="Arial"/>
          <w:b/>
          <w:bCs/>
          <w:color w:val="000000"/>
          <w:sz w:val="18"/>
          <w:szCs w:val="18"/>
        </w:rPr>
        <w:t>arragona</w:t>
      </w:r>
      <w:r w:rsidRPr="002212D2">
        <w:rPr>
          <w:rFonts w:ascii="Gilroy-Regular" w:hAnsi="Gilroy-Regular" w:cs="Arial"/>
          <w:color w:val="000000"/>
          <w:sz w:val="18"/>
          <w:szCs w:val="18"/>
        </w:rPr>
        <w:t>, es el primer centro de investigación en España especializado en el mercado del alquiler. El Observatorio ofrece información valiosa tanto para la </w:t>
      </w:r>
      <w:r w:rsidRPr="002212D2">
        <w:rPr>
          <w:rFonts w:ascii="Gilroy-Regular" w:hAnsi="Gilroy-Regular" w:cs="Arial"/>
          <w:b/>
          <w:bCs/>
          <w:color w:val="000000"/>
          <w:sz w:val="18"/>
          <w:szCs w:val="18"/>
        </w:rPr>
        <w:t>toma de decisiones empresariales</w:t>
      </w:r>
      <w:r w:rsidRPr="002212D2">
        <w:rPr>
          <w:rFonts w:ascii="Gilroy-Regular" w:hAnsi="Gilroy-Regular" w:cs="Arial"/>
          <w:color w:val="000000"/>
          <w:sz w:val="18"/>
          <w:szCs w:val="18"/>
        </w:rPr>
        <w:t> como para la </w:t>
      </w:r>
      <w:r w:rsidRPr="002212D2">
        <w:rPr>
          <w:rFonts w:ascii="Gilroy-Regular" w:hAnsi="Gilroy-Regular" w:cs="Arial"/>
          <w:b/>
          <w:bCs/>
          <w:color w:val="000000"/>
          <w:sz w:val="18"/>
          <w:szCs w:val="18"/>
        </w:rPr>
        <w:t>formulación de políticas públicas</w:t>
      </w:r>
      <w:r w:rsidRPr="002212D2">
        <w:rPr>
          <w:rFonts w:ascii="Gilroy-Regular" w:hAnsi="Gilroy-Regular" w:cs="Arial"/>
          <w:color w:val="000000"/>
          <w:sz w:val="18"/>
          <w:szCs w:val="18"/>
        </w:rPr>
        <w:t xml:space="preserve"> informadas, contribuyendo a mejorar la calidad de vida y el bienestar de la sociedad.</w:t>
      </w:r>
    </w:p>
    <w:p w14:paraId="03CB1078" w14:textId="5DD87AE4" w:rsidR="002212D2" w:rsidRPr="002212D2" w:rsidRDefault="002212D2" w:rsidP="002212D2">
      <w:pPr>
        <w:pBdr>
          <w:top w:val="single" w:sz="4" w:space="1" w:color="FF5A00"/>
        </w:pBdr>
        <w:jc w:val="both"/>
        <w:rPr>
          <w:rFonts w:ascii="Gilroy-Regular" w:hAnsi="Gilroy-Regular" w:cs="Arial"/>
          <w:b/>
          <w:bCs/>
          <w:color w:val="000000"/>
          <w:sz w:val="18"/>
          <w:szCs w:val="18"/>
        </w:rPr>
      </w:pPr>
      <w:r w:rsidRPr="002212D2">
        <w:rPr>
          <w:rFonts w:ascii="Gilroy-Regular" w:hAnsi="Gilroy-Regular" w:cs="Arial"/>
          <w:color w:val="000000"/>
          <w:sz w:val="18"/>
          <w:szCs w:val="18"/>
        </w:rPr>
        <w:t xml:space="preserve">El Observatorio del Alquiler aporta </w:t>
      </w:r>
      <w:r w:rsidRPr="002212D2">
        <w:rPr>
          <w:rFonts w:ascii="Gilroy-Regular" w:hAnsi="Gilroy-Regular" w:cs="Arial"/>
          <w:b/>
          <w:bCs/>
          <w:color w:val="000000"/>
          <w:sz w:val="18"/>
          <w:szCs w:val="18"/>
        </w:rPr>
        <w:t>información rigurosa, completa y periódica</w:t>
      </w:r>
      <w:r w:rsidRPr="002212D2">
        <w:rPr>
          <w:rFonts w:ascii="Gilroy-Regular" w:hAnsi="Gilroy-Regular" w:cs="Arial"/>
          <w:color w:val="000000"/>
          <w:sz w:val="18"/>
          <w:szCs w:val="18"/>
        </w:rPr>
        <w:t>, con un </w:t>
      </w:r>
      <w:r w:rsidRPr="002212D2">
        <w:rPr>
          <w:rFonts w:ascii="Gilroy-Regular" w:hAnsi="Gilroy-Regular" w:cs="Arial"/>
          <w:b/>
          <w:bCs/>
          <w:color w:val="000000"/>
          <w:sz w:val="18"/>
          <w:szCs w:val="18"/>
        </w:rPr>
        <w:t>análisis del estado del alquiler en España</w:t>
      </w:r>
      <w:r w:rsidRPr="002212D2">
        <w:rPr>
          <w:rFonts w:ascii="Gilroy-Regular" w:hAnsi="Gilroy-Regular" w:cs="Arial"/>
          <w:color w:val="000000"/>
          <w:sz w:val="18"/>
          <w:szCs w:val="18"/>
        </w:rPr>
        <w:t xml:space="preserve"> y una visión histórica de su tendencia, con una vocación científicamente solvente de los estudios realizados. El Observatorio del Alquiler ha obtenido la </w:t>
      </w:r>
      <w:r w:rsidRPr="002212D2">
        <w:rPr>
          <w:rFonts w:ascii="Gilroy-Regular" w:hAnsi="Gilroy-Regular" w:cs="Arial"/>
          <w:b/>
          <w:bCs/>
          <w:color w:val="000000"/>
          <w:sz w:val="18"/>
          <w:szCs w:val="18"/>
        </w:rPr>
        <w:t xml:space="preserve">Certificación AENOR ISO 20252:2019 de Investigación de mercado, social y de la opinión. </w:t>
      </w:r>
    </w:p>
    <w:p w14:paraId="20438584" w14:textId="77777777" w:rsidR="002212D2" w:rsidRPr="002212D2" w:rsidRDefault="002212D2" w:rsidP="002212D2">
      <w:pPr>
        <w:pBdr>
          <w:top w:val="single" w:sz="4" w:space="1" w:color="FF5A00"/>
        </w:pBdr>
        <w:jc w:val="both"/>
        <w:rPr>
          <w:rFonts w:ascii="Gilroy-Regular" w:hAnsi="Gilroy-Regular" w:cs="Arial"/>
          <w:b/>
          <w:bCs/>
          <w:color w:val="000000"/>
          <w:sz w:val="18"/>
          <w:szCs w:val="18"/>
        </w:rPr>
      </w:pPr>
      <w:r w:rsidRPr="002212D2">
        <w:rPr>
          <w:rFonts w:ascii="Gilroy-Regular" w:hAnsi="Gilroy-Regular" w:cs="Arial"/>
          <w:color w:val="000000"/>
          <w:sz w:val="18"/>
          <w:szCs w:val="18"/>
        </w:rPr>
        <w:t>Entre otras cuestiones, el Observatorio del Alquiler trabaja sobre el estudio de la </w:t>
      </w:r>
      <w:r w:rsidRPr="002212D2">
        <w:rPr>
          <w:rFonts w:ascii="Gilroy-Regular" w:hAnsi="Gilroy-Regular" w:cs="Arial"/>
          <w:b/>
          <w:bCs/>
          <w:color w:val="000000"/>
          <w:sz w:val="18"/>
          <w:szCs w:val="18"/>
        </w:rPr>
        <w:t>oferta</w:t>
      </w:r>
      <w:r w:rsidRPr="002212D2">
        <w:rPr>
          <w:rFonts w:ascii="Gilroy-Regular" w:hAnsi="Gilroy-Regular" w:cs="Arial"/>
          <w:color w:val="000000"/>
          <w:sz w:val="18"/>
          <w:szCs w:val="18"/>
        </w:rPr>
        <w:t xml:space="preserve">, </w:t>
      </w:r>
      <w:r w:rsidRPr="002212D2">
        <w:rPr>
          <w:rFonts w:ascii="Gilroy-Regular" w:hAnsi="Gilroy-Regular" w:cs="Arial"/>
          <w:b/>
          <w:bCs/>
          <w:color w:val="000000"/>
          <w:sz w:val="18"/>
          <w:szCs w:val="18"/>
        </w:rPr>
        <w:t>demanda</w:t>
      </w:r>
      <w:r w:rsidRPr="002212D2">
        <w:rPr>
          <w:rFonts w:ascii="Gilroy-Regular" w:hAnsi="Gilroy-Regular" w:cs="Arial"/>
          <w:color w:val="000000"/>
          <w:sz w:val="18"/>
          <w:szCs w:val="18"/>
        </w:rPr>
        <w:t>, evolución de los </w:t>
      </w:r>
      <w:r w:rsidRPr="002212D2">
        <w:rPr>
          <w:rFonts w:ascii="Gilroy-Regular" w:hAnsi="Gilroy-Regular" w:cs="Arial"/>
          <w:b/>
          <w:bCs/>
          <w:color w:val="000000"/>
          <w:sz w:val="18"/>
          <w:szCs w:val="18"/>
        </w:rPr>
        <w:t>precios</w:t>
      </w:r>
      <w:r w:rsidRPr="002212D2">
        <w:rPr>
          <w:rFonts w:ascii="Gilroy-Regular" w:hAnsi="Gilroy-Regular" w:cs="Arial"/>
          <w:color w:val="000000"/>
          <w:sz w:val="18"/>
          <w:szCs w:val="18"/>
        </w:rPr>
        <w:t>, las políticas públicas de</w:t>
      </w:r>
      <w:r w:rsidR="00113F78">
        <w:rPr>
          <w:rFonts w:ascii="Gilroy-Regular" w:hAnsi="Gilroy-Regular" w:cs="Arial"/>
          <w:color w:val="000000"/>
          <w:sz w:val="18"/>
          <w:szCs w:val="18"/>
        </w:rPr>
        <w:t xml:space="preserve"> </w:t>
      </w:r>
      <w:r w:rsidRPr="002212D2">
        <w:rPr>
          <w:rFonts w:ascii="Gilroy-Regular" w:hAnsi="Gilroy-Regular" w:cs="Arial"/>
          <w:color w:val="000000"/>
          <w:sz w:val="18"/>
          <w:szCs w:val="18"/>
        </w:rPr>
        <w:t>alquiler, </w:t>
      </w:r>
      <w:r w:rsidRPr="002212D2">
        <w:rPr>
          <w:rFonts w:ascii="Gilroy-Regular" w:hAnsi="Gilroy-Regular" w:cs="Arial"/>
          <w:b/>
          <w:bCs/>
          <w:color w:val="000000"/>
          <w:sz w:val="18"/>
          <w:szCs w:val="18"/>
        </w:rPr>
        <w:t>inversión y financiación</w:t>
      </w:r>
      <w:r w:rsidRPr="002212D2">
        <w:rPr>
          <w:rFonts w:ascii="Gilroy-Regular" w:hAnsi="Gilroy-Regular" w:cs="Arial"/>
          <w:color w:val="000000"/>
          <w:sz w:val="18"/>
          <w:szCs w:val="18"/>
        </w:rPr>
        <w:t>, o sobre los indicadores y </w:t>
      </w:r>
      <w:r w:rsidRPr="002212D2">
        <w:rPr>
          <w:rFonts w:ascii="Gilroy-Regular" w:hAnsi="Gilroy-Regular" w:cs="Arial"/>
          <w:b/>
          <w:bCs/>
          <w:color w:val="000000"/>
          <w:sz w:val="18"/>
          <w:szCs w:val="18"/>
        </w:rPr>
        <w:t>perfiles socioeconómicos y demográficos.</w:t>
      </w:r>
    </w:p>
    <w:p w14:paraId="29C71510" w14:textId="77777777" w:rsidR="002212D2" w:rsidRDefault="002212D2" w:rsidP="004F1B47">
      <w:pPr>
        <w:pBdr>
          <w:top w:val="single" w:sz="4" w:space="1" w:color="FF5A00"/>
        </w:pBdr>
        <w:jc w:val="both"/>
        <w:rPr>
          <w:rFonts w:ascii="Gilroy-Regular" w:hAnsi="Gilroy-Regular" w:cs="Arial"/>
          <w:color w:val="000000"/>
          <w:sz w:val="18"/>
          <w:szCs w:val="18"/>
        </w:rPr>
      </w:pPr>
    </w:p>
    <w:p w14:paraId="4A454446" w14:textId="22CAF5C8" w:rsidR="00342807" w:rsidRDefault="00342807" w:rsidP="00342807">
      <w:pPr>
        <w:shd w:val="clear" w:color="auto" w:fill="FFFFFF"/>
        <w:spacing w:after="225" w:line="240" w:lineRule="auto"/>
        <w:jc w:val="right"/>
        <w:rPr>
          <w:rFonts w:ascii="Gilroy" w:eastAsia="Times New Roman" w:hAnsi="Gilroy" w:cs="Arial"/>
          <w:b/>
          <w:bCs/>
          <w:color w:val="A4A3A3"/>
          <w:sz w:val="28"/>
          <w:szCs w:val="32"/>
          <w:lang w:eastAsia="es-ES"/>
        </w:rPr>
      </w:pPr>
      <w:r>
        <w:rPr>
          <w:rFonts w:ascii="Gilroy" w:eastAsia="Times New Roman" w:hAnsi="Gilroy" w:cs="Arial"/>
          <w:b/>
          <w:bCs/>
          <w:color w:val="A4A3A3"/>
          <w:sz w:val="28"/>
          <w:szCs w:val="32"/>
          <w:lang w:eastAsia="es-ES"/>
        </w:rPr>
        <w:t>DEPARTAMENTO DE COMUNICACIÓN</w:t>
      </w:r>
    </w:p>
    <w:p w14:paraId="594C9F02" w14:textId="60851D50" w:rsidR="00342807" w:rsidRDefault="00342807" w:rsidP="004F1B47">
      <w:pPr>
        <w:shd w:val="clear" w:color="auto" w:fill="FFFFFF"/>
        <w:spacing w:after="0" w:line="240" w:lineRule="auto"/>
        <w:jc w:val="right"/>
        <w:rPr>
          <w:rFonts w:ascii="Gilroy" w:eastAsia="Times New Roman" w:hAnsi="Gilroy" w:cs="Arial"/>
          <w:color w:val="A4A3A3"/>
          <w:sz w:val="28"/>
          <w:szCs w:val="32"/>
          <w:lang w:eastAsia="es-ES"/>
        </w:rPr>
      </w:pPr>
      <w:r>
        <w:rPr>
          <w:rFonts w:ascii="Gilroy" w:eastAsia="Times New Roman" w:hAnsi="Gilroy" w:cs="Arial"/>
          <w:color w:val="A4A3A3"/>
          <w:sz w:val="28"/>
          <w:szCs w:val="32"/>
          <w:lang w:eastAsia="es-ES"/>
        </w:rPr>
        <w:t xml:space="preserve">Lucas Tarancón </w:t>
      </w:r>
      <w:r w:rsidR="00CF4D7F">
        <w:rPr>
          <w:rFonts w:ascii="Gilroy" w:eastAsia="Times New Roman" w:hAnsi="Gilroy" w:cs="Arial"/>
          <w:color w:val="A4A3A3"/>
          <w:sz w:val="28"/>
          <w:szCs w:val="32"/>
          <w:lang w:eastAsia="es-ES"/>
        </w:rPr>
        <w:t xml:space="preserve">658 </w:t>
      </w:r>
      <w:r w:rsidR="00143687">
        <w:rPr>
          <w:rFonts w:ascii="Gilroy" w:eastAsia="Times New Roman" w:hAnsi="Gilroy" w:cs="Arial"/>
          <w:color w:val="A4A3A3"/>
          <w:sz w:val="28"/>
          <w:szCs w:val="32"/>
          <w:lang w:eastAsia="es-ES"/>
        </w:rPr>
        <w:t>157 488</w:t>
      </w:r>
    </w:p>
    <w:p w14:paraId="471967AD" w14:textId="441C0FD7" w:rsidR="002B6644" w:rsidRDefault="002B6644" w:rsidP="004F1B47">
      <w:pPr>
        <w:shd w:val="clear" w:color="auto" w:fill="FFFFFF"/>
        <w:spacing w:after="0" w:line="240" w:lineRule="auto"/>
        <w:jc w:val="right"/>
        <w:rPr>
          <w:rFonts w:ascii="Gilroy" w:eastAsia="Times New Roman" w:hAnsi="Gilroy" w:cs="Arial"/>
          <w:color w:val="A4A3A3"/>
          <w:sz w:val="28"/>
          <w:szCs w:val="32"/>
          <w:lang w:eastAsia="es-ES"/>
        </w:rPr>
      </w:pPr>
      <w:r>
        <w:rPr>
          <w:rFonts w:ascii="Gilroy" w:eastAsia="Times New Roman" w:hAnsi="Gilroy" w:cs="Arial"/>
          <w:color w:val="A4A3A3"/>
          <w:sz w:val="28"/>
          <w:szCs w:val="32"/>
          <w:lang w:eastAsia="es-ES"/>
        </w:rPr>
        <w:t xml:space="preserve">Virginia Carrasco </w:t>
      </w:r>
      <w:r w:rsidR="000A2B14">
        <w:rPr>
          <w:rFonts w:ascii="Gilroy" w:eastAsia="Times New Roman" w:hAnsi="Gilroy" w:cs="Arial"/>
          <w:color w:val="A4A3A3"/>
          <w:sz w:val="28"/>
          <w:szCs w:val="32"/>
          <w:lang w:eastAsia="es-ES"/>
        </w:rPr>
        <w:t>651 518 997</w:t>
      </w:r>
    </w:p>
    <w:p w14:paraId="05C772DF" w14:textId="77777777" w:rsidR="004F1B47" w:rsidRDefault="004F1B47" w:rsidP="004F1B47">
      <w:pPr>
        <w:shd w:val="clear" w:color="auto" w:fill="FFFFFF"/>
        <w:spacing w:after="0" w:line="240" w:lineRule="auto"/>
        <w:jc w:val="right"/>
        <w:rPr>
          <w:rFonts w:ascii="Gilroy" w:eastAsia="Times New Roman" w:hAnsi="Gilroy" w:cs="Arial"/>
          <w:color w:val="A4A3A3"/>
          <w:sz w:val="28"/>
          <w:szCs w:val="32"/>
          <w:lang w:eastAsia="es-ES"/>
        </w:rPr>
      </w:pPr>
    </w:p>
    <w:p w14:paraId="5DB38013" w14:textId="338E0500" w:rsidR="00AA5C00" w:rsidRPr="004F1B47" w:rsidRDefault="002E0516" w:rsidP="004F1B47">
      <w:pPr>
        <w:shd w:val="clear" w:color="auto" w:fill="FFFFFF"/>
        <w:spacing w:after="225" w:line="240" w:lineRule="auto"/>
        <w:jc w:val="right"/>
        <w:rPr>
          <w:rFonts w:ascii="Gilroy Bold" w:hAnsi="Gilroy Bold"/>
          <w:color w:val="FF5100"/>
          <w:sz w:val="36"/>
          <w:szCs w:val="36"/>
        </w:rPr>
      </w:pPr>
      <w:r>
        <w:rPr>
          <w:rFonts w:ascii="Gilroy" w:eastAsia="Times New Roman" w:hAnsi="Gilroy" w:cs="Arial"/>
          <w:color w:val="A4A3A3"/>
          <w:sz w:val="28"/>
          <w:szCs w:val="32"/>
          <w:lang w:eastAsia="es-ES"/>
        </w:rPr>
        <w:t>noticias</w:t>
      </w:r>
      <w:r w:rsidR="00342807" w:rsidRPr="004F1B47">
        <w:rPr>
          <w:rFonts w:ascii="Gilroy" w:eastAsia="Times New Roman" w:hAnsi="Gilroy" w:cs="Arial"/>
          <w:color w:val="A4A3A3"/>
          <w:sz w:val="28"/>
          <w:szCs w:val="32"/>
          <w:lang w:eastAsia="es-ES"/>
        </w:rPr>
        <w:t>@</w:t>
      </w:r>
      <w:r>
        <w:rPr>
          <w:rFonts w:ascii="Gilroy" w:eastAsia="Times New Roman" w:hAnsi="Gilroy" w:cs="Arial"/>
          <w:color w:val="A4A3A3"/>
          <w:sz w:val="28"/>
          <w:szCs w:val="32"/>
          <w:lang w:eastAsia="es-ES"/>
        </w:rPr>
        <w:t>fundacion</w:t>
      </w:r>
      <w:r w:rsidR="00342807" w:rsidRPr="004F1B47">
        <w:rPr>
          <w:rFonts w:ascii="Gilroy" w:eastAsia="Times New Roman" w:hAnsi="Gilroy" w:cs="Arial"/>
          <w:color w:val="A4A3A3"/>
          <w:sz w:val="28"/>
          <w:szCs w:val="32"/>
          <w:lang w:eastAsia="es-ES"/>
        </w:rPr>
        <w:t>alquilerseguro.es</w:t>
      </w:r>
    </w:p>
    <w:sectPr w:rsidR="00AA5C00" w:rsidRPr="004F1B47" w:rsidSect="00FF4FB0">
      <w:headerReference w:type="default" r:id="rId15"/>
      <w:footerReference w:type="default" r:id="rId16"/>
      <w:pgSz w:w="11906" w:h="16838"/>
      <w:pgMar w:top="2694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0C1E6" w14:textId="77777777" w:rsidR="00CE3CAC" w:rsidRDefault="00CE3CAC" w:rsidP="0027186E">
      <w:pPr>
        <w:spacing w:after="0" w:line="240" w:lineRule="auto"/>
      </w:pPr>
      <w:r>
        <w:separator/>
      </w:r>
    </w:p>
  </w:endnote>
  <w:endnote w:type="continuationSeparator" w:id="0">
    <w:p w14:paraId="14E1B78F" w14:textId="77777777" w:rsidR="00CE3CAC" w:rsidRDefault="00CE3CAC" w:rsidP="0027186E">
      <w:pPr>
        <w:spacing w:after="0" w:line="240" w:lineRule="auto"/>
      </w:pPr>
      <w:r>
        <w:continuationSeparator/>
      </w:r>
    </w:p>
  </w:endnote>
  <w:endnote w:type="continuationNotice" w:id="1">
    <w:p w14:paraId="196C56E5" w14:textId="77777777" w:rsidR="00CE3CAC" w:rsidRDefault="00CE3C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roy-Regular">
    <w:altName w:val="Calibri"/>
    <w:charset w:val="00"/>
    <w:family w:val="auto"/>
    <w:pitch w:val="variable"/>
    <w:sig w:usb0="00000207" w:usb1="00000000" w:usb2="00000000" w:usb3="00000000" w:csb0="00000097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ilroy 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9456B" w14:textId="0B70A926" w:rsidR="0019319B" w:rsidRPr="0019319B" w:rsidRDefault="005B5B7A" w:rsidP="005B5B7A">
    <w:pPr>
      <w:pStyle w:val="Piedepgina"/>
      <w:jc w:val="center"/>
    </w:pPr>
    <w:r>
      <w:rPr>
        <w:noProof/>
      </w:rPr>
      <w:drawing>
        <wp:inline distT="0" distB="0" distL="0" distR="0" wp14:anchorId="2EBC9CA0" wp14:editId="70E1BFD4">
          <wp:extent cx="4927600" cy="902196"/>
          <wp:effectExtent l="0" t="0" r="6350" b="0"/>
          <wp:docPr id="1819972488" name="Imagen 3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972488" name="Imagen 3" descr="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5858" cy="90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B4057B" w14:textId="1B40258C" w:rsidR="003C5A23" w:rsidRDefault="003C5A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0D6B7" w14:textId="77777777" w:rsidR="00CE3CAC" w:rsidRDefault="00CE3CAC" w:rsidP="0027186E">
      <w:pPr>
        <w:spacing w:after="0" w:line="240" w:lineRule="auto"/>
      </w:pPr>
      <w:r>
        <w:separator/>
      </w:r>
    </w:p>
  </w:footnote>
  <w:footnote w:type="continuationSeparator" w:id="0">
    <w:p w14:paraId="6ECABB06" w14:textId="77777777" w:rsidR="00CE3CAC" w:rsidRDefault="00CE3CAC" w:rsidP="0027186E">
      <w:pPr>
        <w:spacing w:after="0" w:line="240" w:lineRule="auto"/>
      </w:pPr>
      <w:r>
        <w:continuationSeparator/>
      </w:r>
    </w:p>
  </w:footnote>
  <w:footnote w:type="continuationNotice" w:id="1">
    <w:p w14:paraId="2D9EE151" w14:textId="77777777" w:rsidR="00CE3CAC" w:rsidRDefault="00CE3C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1"/>
      <w:gridCol w:w="2701"/>
      <w:gridCol w:w="3386"/>
    </w:tblGrid>
    <w:tr w:rsidR="006607C9" w14:paraId="696226A8" w14:textId="77777777" w:rsidTr="006607C9">
      <w:trPr>
        <w:jc w:val="center"/>
      </w:trPr>
      <w:tc>
        <w:tcPr>
          <w:tcW w:w="3411" w:type="dxa"/>
          <w:vAlign w:val="center"/>
        </w:tcPr>
        <w:p w14:paraId="43BFDAC8" w14:textId="76D69F20" w:rsidR="006607C9" w:rsidRDefault="006607C9" w:rsidP="006607C9">
          <w:pPr>
            <w:pStyle w:val="Encabezado"/>
          </w:pPr>
          <w:r>
            <w:rPr>
              <w:noProof/>
            </w:rPr>
            <w:drawing>
              <wp:inline distT="0" distB="0" distL="0" distR="0" wp14:anchorId="7571F84F" wp14:editId="304FE384">
                <wp:extent cx="1755232" cy="771525"/>
                <wp:effectExtent l="0" t="0" r="0" b="0"/>
                <wp:docPr id="155591865" name="Imagen 3" descr="For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6422868" name="Imagen 3" descr="Form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9073" cy="7776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  <w:vAlign w:val="center"/>
        </w:tcPr>
        <w:p w14:paraId="32391595" w14:textId="77777777" w:rsidR="006607C9" w:rsidRDefault="006607C9" w:rsidP="006607C9">
          <w:pPr>
            <w:pStyle w:val="Encabezado"/>
          </w:pPr>
        </w:p>
      </w:tc>
      <w:tc>
        <w:tcPr>
          <w:tcW w:w="3386" w:type="dxa"/>
          <w:vAlign w:val="center"/>
        </w:tcPr>
        <w:p w14:paraId="52FDB052" w14:textId="0389587C" w:rsidR="006607C9" w:rsidRDefault="006607C9" w:rsidP="006607C9">
          <w:pPr>
            <w:pStyle w:val="Encabezado"/>
            <w:jc w:val="both"/>
          </w:pPr>
        </w:p>
      </w:tc>
    </w:tr>
  </w:tbl>
  <w:p w14:paraId="5D2F10A0" w14:textId="391CB732" w:rsidR="00E924DC" w:rsidRDefault="00E924DC">
    <w:pPr>
      <w:pStyle w:val="Encabezado"/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D11AD"/>
    <w:multiLevelType w:val="hybridMultilevel"/>
    <w:tmpl w:val="1C369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9723A"/>
    <w:multiLevelType w:val="hybridMultilevel"/>
    <w:tmpl w:val="B8B8F3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F2FF2"/>
    <w:multiLevelType w:val="multilevel"/>
    <w:tmpl w:val="08BC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84DCE"/>
    <w:multiLevelType w:val="hybridMultilevel"/>
    <w:tmpl w:val="2EA002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7517D"/>
    <w:multiLevelType w:val="multilevel"/>
    <w:tmpl w:val="CBB0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2D4A57"/>
    <w:multiLevelType w:val="hybridMultilevel"/>
    <w:tmpl w:val="7944C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C280B"/>
    <w:multiLevelType w:val="multilevel"/>
    <w:tmpl w:val="D056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7664A0"/>
    <w:multiLevelType w:val="multilevel"/>
    <w:tmpl w:val="1C38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1965470">
    <w:abstractNumId w:val="5"/>
  </w:num>
  <w:num w:numId="2" w16cid:durableId="1134101751">
    <w:abstractNumId w:val="1"/>
  </w:num>
  <w:num w:numId="3" w16cid:durableId="1027607397">
    <w:abstractNumId w:val="3"/>
  </w:num>
  <w:num w:numId="4" w16cid:durableId="117383681">
    <w:abstractNumId w:val="0"/>
  </w:num>
  <w:num w:numId="5" w16cid:durableId="714112894">
    <w:abstractNumId w:val="2"/>
  </w:num>
  <w:num w:numId="6" w16cid:durableId="101999418">
    <w:abstractNumId w:val="4"/>
  </w:num>
  <w:num w:numId="7" w16cid:durableId="291593585">
    <w:abstractNumId w:val="6"/>
  </w:num>
  <w:num w:numId="8" w16cid:durableId="45181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F1"/>
    <w:rsid w:val="00000337"/>
    <w:rsid w:val="00000B7D"/>
    <w:rsid w:val="00001F1C"/>
    <w:rsid w:val="00002619"/>
    <w:rsid w:val="000033C3"/>
    <w:rsid w:val="00003E58"/>
    <w:rsid w:val="000043F4"/>
    <w:rsid w:val="00004ACC"/>
    <w:rsid w:val="00005272"/>
    <w:rsid w:val="00005BA7"/>
    <w:rsid w:val="000079D1"/>
    <w:rsid w:val="00007D30"/>
    <w:rsid w:val="00011326"/>
    <w:rsid w:val="0001223E"/>
    <w:rsid w:val="00012E36"/>
    <w:rsid w:val="00013D58"/>
    <w:rsid w:val="000154B3"/>
    <w:rsid w:val="000159C7"/>
    <w:rsid w:val="00015A71"/>
    <w:rsid w:val="000169EA"/>
    <w:rsid w:val="0001777A"/>
    <w:rsid w:val="000206A5"/>
    <w:rsid w:val="00021885"/>
    <w:rsid w:val="000230C7"/>
    <w:rsid w:val="00023791"/>
    <w:rsid w:val="00023DB4"/>
    <w:rsid w:val="00024F0C"/>
    <w:rsid w:val="00024F77"/>
    <w:rsid w:val="0002521A"/>
    <w:rsid w:val="00025FC4"/>
    <w:rsid w:val="00026B07"/>
    <w:rsid w:val="000270BE"/>
    <w:rsid w:val="0002766D"/>
    <w:rsid w:val="00030CBF"/>
    <w:rsid w:val="00031389"/>
    <w:rsid w:val="000327AF"/>
    <w:rsid w:val="00032F1F"/>
    <w:rsid w:val="00033607"/>
    <w:rsid w:val="00033BFD"/>
    <w:rsid w:val="000347E6"/>
    <w:rsid w:val="00034F65"/>
    <w:rsid w:val="00035321"/>
    <w:rsid w:val="00035895"/>
    <w:rsid w:val="000365E2"/>
    <w:rsid w:val="00040126"/>
    <w:rsid w:val="00040F78"/>
    <w:rsid w:val="00041C97"/>
    <w:rsid w:val="0004336D"/>
    <w:rsid w:val="00043923"/>
    <w:rsid w:val="00043C2F"/>
    <w:rsid w:val="000440B4"/>
    <w:rsid w:val="00044CA3"/>
    <w:rsid w:val="00046534"/>
    <w:rsid w:val="00047F38"/>
    <w:rsid w:val="000510B4"/>
    <w:rsid w:val="000535F9"/>
    <w:rsid w:val="00053664"/>
    <w:rsid w:val="00053B90"/>
    <w:rsid w:val="000552C3"/>
    <w:rsid w:val="000560A9"/>
    <w:rsid w:val="00056DCC"/>
    <w:rsid w:val="00057A09"/>
    <w:rsid w:val="00060514"/>
    <w:rsid w:val="0006087E"/>
    <w:rsid w:val="00061304"/>
    <w:rsid w:val="0006178E"/>
    <w:rsid w:val="000618AF"/>
    <w:rsid w:val="00061FC6"/>
    <w:rsid w:val="000626C7"/>
    <w:rsid w:val="0006301B"/>
    <w:rsid w:val="000631E0"/>
    <w:rsid w:val="00063C97"/>
    <w:rsid w:val="0006433F"/>
    <w:rsid w:val="00064D17"/>
    <w:rsid w:val="00065530"/>
    <w:rsid w:val="000662EE"/>
    <w:rsid w:val="00066622"/>
    <w:rsid w:val="0006745E"/>
    <w:rsid w:val="00070DC8"/>
    <w:rsid w:val="00072068"/>
    <w:rsid w:val="00073C3B"/>
    <w:rsid w:val="0007407C"/>
    <w:rsid w:val="000744C1"/>
    <w:rsid w:val="00074966"/>
    <w:rsid w:val="000754FA"/>
    <w:rsid w:val="000757B3"/>
    <w:rsid w:val="00075FDD"/>
    <w:rsid w:val="00076CEF"/>
    <w:rsid w:val="00077566"/>
    <w:rsid w:val="0008082B"/>
    <w:rsid w:val="00080848"/>
    <w:rsid w:val="00081D19"/>
    <w:rsid w:val="000820D5"/>
    <w:rsid w:val="000849CA"/>
    <w:rsid w:val="00085605"/>
    <w:rsid w:val="000858AC"/>
    <w:rsid w:val="00085B1F"/>
    <w:rsid w:val="000865BC"/>
    <w:rsid w:val="00086732"/>
    <w:rsid w:val="00086FF3"/>
    <w:rsid w:val="000877C1"/>
    <w:rsid w:val="00090659"/>
    <w:rsid w:val="000907F4"/>
    <w:rsid w:val="0009083E"/>
    <w:rsid w:val="0009119B"/>
    <w:rsid w:val="00091700"/>
    <w:rsid w:val="00091D2E"/>
    <w:rsid w:val="00093BC5"/>
    <w:rsid w:val="00093E3D"/>
    <w:rsid w:val="000947E9"/>
    <w:rsid w:val="000959B2"/>
    <w:rsid w:val="00095A4A"/>
    <w:rsid w:val="00096D3F"/>
    <w:rsid w:val="000A0A5F"/>
    <w:rsid w:val="000A0B11"/>
    <w:rsid w:val="000A0DA6"/>
    <w:rsid w:val="000A1921"/>
    <w:rsid w:val="000A2B14"/>
    <w:rsid w:val="000A42EE"/>
    <w:rsid w:val="000A6776"/>
    <w:rsid w:val="000A7023"/>
    <w:rsid w:val="000A7F3E"/>
    <w:rsid w:val="000A7F78"/>
    <w:rsid w:val="000B0B68"/>
    <w:rsid w:val="000B0E19"/>
    <w:rsid w:val="000B1138"/>
    <w:rsid w:val="000B11D8"/>
    <w:rsid w:val="000B2615"/>
    <w:rsid w:val="000B60C6"/>
    <w:rsid w:val="000B68C2"/>
    <w:rsid w:val="000B7295"/>
    <w:rsid w:val="000C12A0"/>
    <w:rsid w:val="000C22F5"/>
    <w:rsid w:val="000C2BA7"/>
    <w:rsid w:val="000C2D0D"/>
    <w:rsid w:val="000C3848"/>
    <w:rsid w:val="000C4454"/>
    <w:rsid w:val="000C4540"/>
    <w:rsid w:val="000C457E"/>
    <w:rsid w:val="000C55D4"/>
    <w:rsid w:val="000C5A5D"/>
    <w:rsid w:val="000C6C18"/>
    <w:rsid w:val="000C6FF1"/>
    <w:rsid w:val="000D04A9"/>
    <w:rsid w:val="000D05CC"/>
    <w:rsid w:val="000D143C"/>
    <w:rsid w:val="000D21A3"/>
    <w:rsid w:val="000D2FF4"/>
    <w:rsid w:val="000D34B3"/>
    <w:rsid w:val="000D42FF"/>
    <w:rsid w:val="000D560A"/>
    <w:rsid w:val="000D7232"/>
    <w:rsid w:val="000D7F87"/>
    <w:rsid w:val="000E011F"/>
    <w:rsid w:val="000E1578"/>
    <w:rsid w:val="000E4269"/>
    <w:rsid w:val="000E4559"/>
    <w:rsid w:val="000E7587"/>
    <w:rsid w:val="000E78CF"/>
    <w:rsid w:val="000F20D8"/>
    <w:rsid w:val="000F22C4"/>
    <w:rsid w:val="000F28A4"/>
    <w:rsid w:val="000F353D"/>
    <w:rsid w:val="000F37CA"/>
    <w:rsid w:val="000F3B52"/>
    <w:rsid w:val="000F5045"/>
    <w:rsid w:val="000F6909"/>
    <w:rsid w:val="00101842"/>
    <w:rsid w:val="001024E3"/>
    <w:rsid w:val="00102608"/>
    <w:rsid w:val="00103109"/>
    <w:rsid w:val="00105AB3"/>
    <w:rsid w:val="0010771E"/>
    <w:rsid w:val="0011146D"/>
    <w:rsid w:val="00112050"/>
    <w:rsid w:val="00113273"/>
    <w:rsid w:val="00113F78"/>
    <w:rsid w:val="00115A8D"/>
    <w:rsid w:val="00116F2E"/>
    <w:rsid w:val="00120DCB"/>
    <w:rsid w:val="00121349"/>
    <w:rsid w:val="00121D85"/>
    <w:rsid w:val="001222A2"/>
    <w:rsid w:val="00122440"/>
    <w:rsid w:val="001231E4"/>
    <w:rsid w:val="0012387E"/>
    <w:rsid w:val="00124AA8"/>
    <w:rsid w:val="001253A2"/>
    <w:rsid w:val="001254B5"/>
    <w:rsid w:val="0012607E"/>
    <w:rsid w:val="001265B9"/>
    <w:rsid w:val="0013438A"/>
    <w:rsid w:val="001369DB"/>
    <w:rsid w:val="001370B5"/>
    <w:rsid w:val="0013755B"/>
    <w:rsid w:val="00140231"/>
    <w:rsid w:val="00142D20"/>
    <w:rsid w:val="00143041"/>
    <w:rsid w:val="00143687"/>
    <w:rsid w:val="0014786C"/>
    <w:rsid w:val="00147B98"/>
    <w:rsid w:val="00147E06"/>
    <w:rsid w:val="00153434"/>
    <w:rsid w:val="0015395B"/>
    <w:rsid w:val="00153FC0"/>
    <w:rsid w:val="00154CB8"/>
    <w:rsid w:val="00154F7A"/>
    <w:rsid w:val="00155EEB"/>
    <w:rsid w:val="00156529"/>
    <w:rsid w:val="001565A2"/>
    <w:rsid w:val="00156952"/>
    <w:rsid w:val="00156D59"/>
    <w:rsid w:val="00160101"/>
    <w:rsid w:val="00160B72"/>
    <w:rsid w:val="00161284"/>
    <w:rsid w:val="00161706"/>
    <w:rsid w:val="00161BD6"/>
    <w:rsid w:val="00161E24"/>
    <w:rsid w:val="00163566"/>
    <w:rsid w:val="00163EF8"/>
    <w:rsid w:val="0016554E"/>
    <w:rsid w:val="00165877"/>
    <w:rsid w:val="00165B3A"/>
    <w:rsid w:val="001672C2"/>
    <w:rsid w:val="001675DB"/>
    <w:rsid w:val="001679EB"/>
    <w:rsid w:val="00167E4F"/>
    <w:rsid w:val="001700A2"/>
    <w:rsid w:val="00170694"/>
    <w:rsid w:val="001707B2"/>
    <w:rsid w:val="00170815"/>
    <w:rsid w:val="00170857"/>
    <w:rsid w:val="00170A9C"/>
    <w:rsid w:val="00170DB8"/>
    <w:rsid w:val="00171BE3"/>
    <w:rsid w:val="00172C4D"/>
    <w:rsid w:val="00173044"/>
    <w:rsid w:val="0017309C"/>
    <w:rsid w:val="00173BA4"/>
    <w:rsid w:val="001740E1"/>
    <w:rsid w:val="001741C8"/>
    <w:rsid w:val="001759AC"/>
    <w:rsid w:val="001769CD"/>
    <w:rsid w:val="00176B89"/>
    <w:rsid w:val="00176D6B"/>
    <w:rsid w:val="00176EFA"/>
    <w:rsid w:val="001777B3"/>
    <w:rsid w:val="00180990"/>
    <w:rsid w:val="00181762"/>
    <w:rsid w:val="0018288E"/>
    <w:rsid w:val="00182C7E"/>
    <w:rsid w:val="00183150"/>
    <w:rsid w:val="00183A22"/>
    <w:rsid w:val="00183DB5"/>
    <w:rsid w:val="00183E4C"/>
    <w:rsid w:val="00184407"/>
    <w:rsid w:val="0018473F"/>
    <w:rsid w:val="00184B88"/>
    <w:rsid w:val="00184DE0"/>
    <w:rsid w:val="00185A52"/>
    <w:rsid w:val="00187252"/>
    <w:rsid w:val="0019004D"/>
    <w:rsid w:val="0019139E"/>
    <w:rsid w:val="0019292F"/>
    <w:rsid w:val="00192B2E"/>
    <w:rsid w:val="0019319B"/>
    <w:rsid w:val="00193F89"/>
    <w:rsid w:val="001947E2"/>
    <w:rsid w:val="001954B2"/>
    <w:rsid w:val="00195D66"/>
    <w:rsid w:val="00195F4D"/>
    <w:rsid w:val="00196CDE"/>
    <w:rsid w:val="001A39B3"/>
    <w:rsid w:val="001A4A53"/>
    <w:rsid w:val="001A5EFC"/>
    <w:rsid w:val="001A6E01"/>
    <w:rsid w:val="001A70B2"/>
    <w:rsid w:val="001A7F5B"/>
    <w:rsid w:val="001B0125"/>
    <w:rsid w:val="001B18D1"/>
    <w:rsid w:val="001B190C"/>
    <w:rsid w:val="001B1EE3"/>
    <w:rsid w:val="001B22DE"/>
    <w:rsid w:val="001B2ACE"/>
    <w:rsid w:val="001B328F"/>
    <w:rsid w:val="001B3536"/>
    <w:rsid w:val="001B48D0"/>
    <w:rsid w:val="001B62CE"/>
    <w:rsid w:val="001B65E3"/>
    <w:rsid w:val="001B66ED"/>
    <w:rsid w:val="001B6F2C"/>
    <w:rsid w:val="001B7422"/>
    <w:rsid w:val="001C0270"/>
    <w:rsid w:val="001C0753"/>
    <w:rsid w:val="001C133E"/>
    <w:rsid w:val="001C2A84"/>
    <w:rsid w:val="001C3F44"/>
    <w:rsid w:val="001C44E1"/>
    <w:rsid w:val="001C6B39"/>
    <w:rsid w:val="001C6E82"/>
    <w:rsid w:val="001C70CC"/>
    <w:rsid w:val="001C73EC"/>
    <w:rsid w:val="001D14FF"/>
    <w:rsid w:val="001D1726"/>
    <w:rsid w:val="001D2C2E"/>
    <w:rsid w:val="001D3B43"/>
    <w:rsid w:val="001D3CD6"/>
    <w:rsid w:val="001D402B"/>
    <w:rsid w:val="001D44FC"/>
    <w:rsid w:val="001D5D35"/>
    <w:rsid w:val="001D6AE4"/>
    <w:rsid w:val="001D6C62"/>
    <w:rsid w:val="001D6E40"/>
    <w:rsid w:val="001D71F4"/>
    <w:rsid w:val="001D7453"/>
    <w:rsid w:val="001D7F2B"/>
    <w:rsid w:val="001E07E9"/>
    <w:rsid w:val="001E10B0"/>
    <w:rsid w:val="001E29ED"/>
    <w:rsid w:val="001E30A8"/>
    <w:rsid w:val="001E3235"/>
    <w:rsid w:val="001E3CAC"/>
    <w:rsid w:val="001E472F"/>
    <w:rsid w:val="001E68A2"/>
    <w:rsid w:val="001E68EE"/>
    <w:rsid w:val="001E6ACC"/>
    <w:rsid w:val="001E78C6"/>
    <w:rsid w:val="001F52F9"/>
    <w:rsid w:val="001F57EC"/>
    <w:rsid w:val="001F5A47"/>
    <w:rsid w:val="001F69E5"/>
    <w:rsid w:val="001F7F99"/>
    <w:rsid w:val="00200C9D"/>
    <w:rsid w:val="00201CE1"/>
    <w:rsid w:val="00202A2B"/>
    <w:rsid w:val="00204F52"/>
    <w:rsid w:val="002068CE"/>
    <w:rsid w:val="00206B74"/>
    <w:rsid w:val="00207551"/>
    <w:rsid w:val="0020756D"/>
    <w:rsid w:val="0020772D"/>
    <w:rsid w:val="00207A73"/>
    <w:rsid w:val="00207E96"/>
    <w:rsid w:val="002111EF"/>
    <w:rsid w:val="00213CC4"/>
    <w:rsid w:val="0021402B"/>
    <w:rsid w:val="002148D2"/>
    <w:rsid w:val="00214FFA"/>
    <w:rsid w:val="002156EB"/>
    <w:rsid w:val="00215874"/>
    <w:rsid w:val="00215FCD"/>
    <w:rsid w:val="002160A5"/>
    <w:rsid w:val="002173A4"/>
    <w:rsid w:val="00217C17"/>
    <w:rsid w:val="002207B0"/>
    <w:rsid w:val="002212D2"/>
    <w:rsid w:val="002219CA"/>
    <w:rsid w:val="00222282"/>
    <w:rsid w:val="00222A7D"/>
    <w:rsid w:val="0022421F"/>
    <w:rsid w:val="002242C4"/>
    <w:rsid w:val="00225C91"/>
    <w:rsid w:val="00226CD8"/>
    <w:rsid w:val="002315AD"/>
    <w:rsid w:val="002329FC"/>
    <w:rsid w:val="00233BC6"/>
    <w:rsid w:val="00234087"/>
    <w:rsid w:val="00234222"/>
    <w:rsid w:val="00235CBF"/>
    <w:rsid w:val="0023602E"/>
    <w:rsid w:val="002360CB"/>
    <w:rsid w:val="0023670D"/>
    <w:rsid w:val="00236798"/>
    <w:rsid w:val="00236D6E"/>
    <w:rsid w:val="00240C6E"/>
    <w:rsid w:val="002415CB"/>
    <w:rsid w:val="00241F5A"/>
    <w:rsid w:val="002431B1"/>
    <w:rsid w:val="002433D1"/>
    <w:rsid w:val="0024379A"/>
    <w:rsid w:val="00244F7B"/>
    <w:rsid w:val="00245070"/>
    <w:rsid w:val="00245823"/>
    <w:rsid w:val="00245AFA"/>
    <w:rsid w:val="002462A2"/>
    <w:rsid w:val="00247B49"/>
    <w:rsid w:val="00247C94"/>
    <w:rsid w:val="00250BE9"/>
    <w:rsid w:val="00250C57"/>
    <w:rsid w:val="0025118D"/>
    <w:rsid w:val="002514AC"/>
    <w:rsid w:val="002521A3"/>
    <w:rsid w:val="00252BBE"/>
    <w:rsid w:val="00255B92"/>
    <w:rsid w:val="00255BD2"/>
    <w:rsid w:val="002564B1"/>
    <w:rsid w:val="00256AE7"/>
    <w:rsid w:val="0025767C"/>
    <w:rsid w:val="00260B2A"/>
    <w:rsid w:val="00261173"/>
    <w:rsid w:val="00261FE5"/>
    <w:rsid w:val="002628E3"/>
    <w:rsid w:val="00262ADF"/>
    <w:rsid w:val="00264954"/>
    <w:rsid w:val="00265BF0"/>
    <w:rsid w:val="00267AE3"/>
    <w:rsid w:val="0027186E"/>
    <w:rsid w:val="00271FBC"/>
    <w:rsid w:val="0027264D"/>
    <w:rsid w:val="0027293C"/>
    <w:rsid w:val="0027296E"/>
    <w:rsid w:val="00272A9A"/>
    <w:rsid w:val="00272ABC"/>
    <w:rsid w:val="00272D00"/>
    <w:rsid w:val="002734F8"/>
    <w:rsid w:val="00273E34"/>
    <w:rsid w:val="002740BD"/>
    <w:rsid w:val="0027496B"/>
    <w:rsid w:val="002751E7"/>
    <w:rsid w:val="00275580"/>
    <w:rsid w:val="00276686"/>
    <w:rsid w:val="002770D8"/>
    <w:rsid w:val="002775B3"/>
    <w:rsid w:val="00280273"/>
    <w:rsid w:val="002805BB"/>
    <w:rsid w:val="00282B92"/>
    <w:rsid w:val="00285C44"/>
    <w:rsid w:val="002861A6"/>
    <w:rsid w:val="00286695"/>
    <w:rsid w:val="00287075"/>
    <w:rsid w:val="00291284"/>
    <w:rsid w:val="00291D81"/>
    <w:rsid w:val="00291F77"/>
    <w:rsid w:val="00292593"/>
    <w:rsid w:val="00292794"/>
    <w:rsid w:val="00295D78"/>
    <w:rsid w:val="00295EC6"/>
    <w:rsid w:val="00296ADD"/>
    <w:rsid w:val="00297854"/>
    <w:rsid w:val="002A041C"/>
    <w:rsid w:val="002A06CF"/>
    <w:rsid w:val="002A0A3C"/>
    <w:rsid w:val="002A0D76"/>
    <w:rsid w:val="002A0FE2"/>
    <w:rsid w:val="002A118C"/>
    <w:rsid w:val="002A1F05"/>
    <w:rsid w:val="002A2240"/>
    <w:rsid w:val="002A2E07"/>
    <w:rsid w:val="002A43A6"/>
    <w:rsid w:val="002A4FA4"/>
    <w:rsid w:val="002A5E08"/>
    <w:rsid w:val="002A630A"/>
    <w:rsid w:val="002A6494"/>
    <w:rsid w:val="002A65DD"/>
    <w:rsid w:val="002A7A1D"/>
    <w:rsid w:val="002A7C10"/>
    <w:rsid w:val="002B0839"/>
    <w:rsid w:val="002B272E"/>
    <w:rsid w:val="002B2A58"/>
    <w:rsid w:val="002B2AE9"/>
    <w:rsid w:val="002B2C83"/>
    <w:rsid w:val="002B407F"/>
    <w:rsid w:val="002B49E7"/>
    <w:rsid w:val="002B5C80"/>
    <w:rsid w:val="002B6644"/>
    <w:rsid w:val="002B6B03"/>
    <w:rsid w:val="002B6B44"/>
    <w:rsid w:val="002C079A"/>
    <w:rsid w:val="002C122E"/>
    <w:rsid w:val="002C1652"/>
    <w:rsid w:val="002C1B98"/>
    <w:rsid w:val="002C3FE5"/>
    <w:rsid w:val="002C4EAD"/>
    <w:rsid w:val="002C4F8C"/>
    <w:rsid w:val="002C6722"/>
    <w:rsid w:val="002C7233"/>
    <w:rsid w:val="002C7D77"/>
    <w:rsid w:val="002D0255"/>
    <w:rsid w:val="002D0C51"/>
    <w:rsid w:val="002D1650"/>
    <w:rsid w:val="002D205C"/>
    <w:rsid w:val="002D3436"/>
    <w:rsid w:val="002D4419"/>
    <w:rsid w:val="002D57C0"/>
    <w:rsid w:val="002D5DB2"/>
    <w:rsid w:val="002D718B"/>
    <w:rsid w:val="002D7599"/>
    <w:rsid w:val="002E0328"/>
    <w:rsid w:val="002E0516"/>
    <w:rsid w:val="002E05AA"/>
    <w:rsid w:val="002E0C72"/>
    <w:rsid w:val="002E0DC3"/>
    <w:rsid w:val="002E1304"/>
    <w:rsid w:val="002E447B"/>
    <w:rsid w:val="002E46C4"/>
    <w:rsid w:val="002E49A4"/>
    <w:rsid w:val="002F0700"/>
    <w:rsid w:val="002F1D22"/>
    <w:rsid w:val="002F27B5"/>
    <w:rsid w:val="002F2BAC"/>
    <w:rsid w:val="002F2C1E"/>
    <w:rsid w:val="002F308F"/>
    <w:rsid w:val="002F36DC"/>
    <w:rsid w:val="002F4B08"/>
    <w:rsid w:val="002F4E8A"/>
    <w:rsid w:val="002F6015"/>
    <w:rsid w:val="002F62AA"/>
    <w:rsid w:val="002F729B"/>
    <w:rsid w:val="002F7B22"/>
    <w:rsid w:val="00301865"/>
    <w:rsid w:val="003023B3"/>
    <w:rsid w:val="00304D18"/>
    <w:rsid w:val="00304FF8"/>
    <w:rsid w:val="00305E71"/>
    <w:rsid w:val="00306EAA"/>
    <w:rsid w:val="00307DF1"/>
    <w:rsid w:val="0031143E"/>
    <w:rsid w:val="00312182"/>
    <w:rsid w:val="00316C2C"/>
    <w:rsid w:val="00317B22"/>
    <w:rsid w:val="0032084B"/>
    <w:rsid w:val="00321EC0"/>
    <w:rsid w:val="00325AB2"/>
    <w:rsid w:val="00325EB2"/>
    <w:rsid w:val="00327B81"/>
    <w:rsid w:val="003304DC"/>
    <w:rsid w:val="003305B5"/>
    <w:rsid w:val="00333802"/>
    <w:rsid w:val="00334DD5"/>
    <w:rsid w:val="0033618E"/>
    <w:rsid w:val="0033645F"/>
    <w:rsid w:val="00336FD4"/>
    <w:rsid w:val="00340FBF"/>
    <w:rsid w:val="00342807"/>
    <w:rsid w:val="00344EC2"/>
    <w:rsid w:val="00345B12"/>
    <w:rsid w:val="00345CD7"/>
    <w:rsid w:val="00345DA5"/>
    <w:rsid w:val="00346086"/>
    <w:rsid w:val="00346292"/>
    <w:rsid w:val="00346367"/>
    <w:rsid w:val="003478F8"/>
    <w:rsid w:val="00351A51"/>
    <w:rsid w:val="003521C2"/>
    <w:rsid w:val="00352776"/>
    <w:rsid w:val="00352EA2"/>
    <w:rsid w:val="00353067"/>
    <w:rsid w:val="0035345B"/>
    <w:rsid w:val="003534CE"/>
    <w:rsid w:val="003537C5"/>
    <w:rsid w:val="00353BDD"/>
    <w:rsid w:val="003549CC"/>
    <w:rsid w:val="00354E24"/>
    <w:rsid w:val="00355DA5"/>
    <w:rsid w:val="003562C6"/>
    <w:rsid w:val="00357A98"/>
    <w:rsid w:val="003606E1"/>
    <w:rsid w:val="003615FA"/>
    <w:rsid w:val="00361E43"/>
    <w:rsid w:val="003625AD"/>
    <w:rsid w:val="003625B7"/>
    <w:rsid w:val="003627AF"/>
    <w:rsid w:val="00362FAE"/>
    <w:rsid w:val="00365E92"/>
    <w:rsid w:val="00366032"/>
    <w:rsid w:val="003660C2"/>
    <w:rsid w:val="00367638"/>
    <w:rsid w:val="00367F6D"/>
    <w:rsid w:val="003706CD"/>
    <w:rsid w:val="00371617"/>
    <w:rsid w:val="00372B9E"/>
    <w:rsid w:val="00372C38"/>
    <w:rsid w:val="00373709"/>
    <w:rsid w:val="00373A28"/>
    <w:rsid w:val="00374469"/>
    <w:rsid w:val="00375ACD"/>
    <w:rsid w:val="00375EBC"/>
    <w:rsid w:val="0037729B"/>
    <w:rsid w:val="003773FD"/>
    <w:rsid w:val="00377E3B"/>
    <w:rsid w:val="00380F3C"/>
    <w:rsid w:val="00381013"/>
    <w:rsid w:val="003824E3"/>
    <w:rsid w:val="00382519"/>
    <w:rsid w:val="0038253D"/>
    <w:rsid w:val="00382DD6"/>
    <w:rsid w:val="003838DC"/>
    <w:rsid w:val="00383A65"/>
    <w:rsid w:val="003846E3"/>
    <w:rsid w:val="003847E5"/>
    <w:rsid w:val="00384931"/>
    <w:rsid w:val="0038596A"/>
    <w:rsid w:val="00386D84"/>
    <w:rsid w:val="003901E8"/>
    <w:rsid w:val="0039043E"/>
    <w:rsid w:val="00390656"/>
    <w:rsid w:val="00391419"/>
    <w:rsid w:val="0039256F"/>
    <w:rsid w:val="00392792"/>
    <w:rsid w:val="00393206"/>
    <w:rsid w:val="003932CD"/>
    <w:rsid w:val="00393C4D"/>
    <w:rsid w:val="003952A0"/>
    <w:rsid w:val="00395641"/>
    <w:rsid w:val="00395F42"/>
    <w:rsid w:val="00397746"/>
    <w:rsid w:val="00397999"/>
    <w:rsid w:val="003A06F7"/>
    <w:rsid w:val="003A0CBC"/>
    <w:rsid w:val="003A0D41"/>
    <w:rsid w:val="003A2172"/>
    <w:rsid w:val="003A267C"/>
    <w:rsid w:val="003A2B98"/>
    <w:rsid w:val="003A2F7D"/>
    <w:rsid w:val="003A3AE4"/>
    <w:rsid w:val="003A3BDC"/>
    <w:rsid w:val="003A43B0"/>
    <w:rsid w:val="003A559E"/>
    <w:rsid w:val="003A56DB"/>
    <w:rsid w:val="003A5C1E"/>
    <w:rsid w:val="003A65F3"/>
    <w:rsid w:val="003A69A2"/>
    <w:rsid w:val="003A6AEE"/>
    <w:rsid w:val="003B0690"/>
    <w:rsid w:val="003B0743"/>
    <w:rsid w:val="003B2DCF"/>
    <w:rsid w:val="003B4294"/>
    <w:rsid w:val="003B4453"/>
    <w:rsid w:val="003B45C9"/>
    <w:rsid w:val="003B613F"/>
    <w:rsid w:val="003B6EF0"/>
    <w:rsid w:val="003B7F61"/>
    <w:rsid w:val="003C021D"/>
    <w:rsid w:val="003C04B6"/>
    <w:rsid w:val="003C0F27"/>
    <w:rsid w:val="003C1BD4"/>
    <w:rsid w:val="003C2FD2"/>
    <w:rsid w:val="003C3187"/>
    <w:rsid w:val="003C3894"/>
    <w:rsid w:val="003C45E1"/>
    <w:rsid w:val="003C5A23"/>
    <w:rsid w:val="003C6170"/>
    <w:rsid w:val="003C6304"/>
    <w:rsid w:val="003C6692"/>
    <w:rsid w:val="003C6A1A"/>
    <w:rsid w:val="003D0FA8"/>
    <w:rsid w:val="003D12CD"/>
    <w:rsid w:val="003D21F4"/>
    <w:rsid w:val="003D3F5D"/>
    <w:rsid w:val="003D3F94"/>
    <w:rsid w:val="003D6142"/>
    <w:rsid w:val="003D629E"/>
    <w:rsid w:val="003D6569"/>
    <w:rsid w:val="003D6A1B"/>
    <w:rsid w:val="003D6B70"/>
    <w:rsid w:val="003D6E82"/>
    <w:rsid w:val="003E05E6"/>
    <w:rsid w:val="003E3164"/>
    <w:rsid w:val="003E3CD8"/>
    <w:rsid w:val="003E5889"/>
    <w:rsid w:val="003E5923"/>
    <w:rsid w:val="003E5F5F"/>
    <w:rsid w:val="003E746D"/>
    <w:rsid w:val="003F01FB"/>
    <w:rsid w:val="003F085B"/>
    <w:rsid w:val="003F1BAC"/>
    <w:rsid w:val="003F2A23"/>
    <w:rsid w:val="003F304F"/>
    <w:rsid w:val="003F542C"/>
    <w:rsid w:val="003F5A47"/>
    <w:rsid w:val="003F69AC"/>
    <w:rsid w:val="003F6DC5"/>
    <w:rsid w:val="003F7327"/>
    <w:rsid w:val="003F7E2E"/>
    <w:rsid w:val="00401091"/>
    <w:rsid w:val="004029C5"/>
    <w:rsid w:val="00403636"/>
    <w:rsid w:val="004042F2"/>
    <w:rsid w:val="00404AF3"/>
    <w:rsid w:val="004078D5"/>
    <w:rsid w:val="00412575"/>
    <w:rsid w:val="00412DB4"/>
    <w:rsid w:val="00413F32"/>
    <w:rsid w:val="0041542A"/>
    <w:rsid w:val="00416797"/>
    <w:rsid w:val="00420268"/>
    <w:rsid w:val="004203C7"/>
    <w:rsid w:val="00420979"/>
    <w:rsid w:val="00421C33"/>
    <w:rsid w:val="00422F11"/>
    <w:rsid w:val="00423DE9"/>
    <w:rsid w:val="00426F6F"/>
    <w:rsid w:val="0042714F"/>
    <w:rsid w:val="0042733F"/>
    <w:rsid w:val="00430708"/>
    <w:rsid w:val="004309DD"/>
    <w:rsid w:val="00430CBB"/>
    <w:rsid w:val="004319D4"/>
    <w:rsid w:val="00431A1D"/>
    <w:rsid w:val="00432061"/>
    <w:rsid w:val="00432BB4"/>
    <w:rsid w:val="0043512A"/>
    <w:rsid w:val="00436FED"/>
    <w:rsid w:val="00437B97"/>
    <w:rsid w:val="004403D0"/>
    <w:rsid w:val="0044082F"/>
    <w:rsid w:val="00440905"/>
    <w:rsid w:val="00441A42"/>
    <w:rsid w:val="00441C84"/>
    <w:rsid w:val="00442326"/>
    <w:rsid w:val="00443975"/>
    <w:rsid w:val="0044424D"/>
    <w:rsid w:val="00444253"/>
    <w:rsid w:val="0044503E"/>
    <w:rsid w:val="00446165"/>
    <w:rsid w:val="004461BE"/>
    <w:rsid w:val="004466CB"/>
    <w:rsid w:val="00447E4B"/>
    <w:rsid w:val="004513A4"/>
    <w:rsid w:val="0045318B"/>
    <w:rsid w:val="00453669"/>
    <w:rsid w:val="0045457C"/>
    <w:rsid w:val="00454C23"/>
    <w:rsid w:val="00454DA7"/>
    <w:rsid w:val="00456024"/>
    <w:rsid w:val="0045793C"/>
    <w:rsid w:val="00461254"/>
    <w:rsid w:val="00461F46"/>
    <w:rsid w:val="00462ECC"/>
    <w:rsid w:val="00464696"/>
    <w:rsid w:val="0046512A"/>
    <w:rsid w:val="00465954"/>
    <w:rsid w:val="00465C5D"/>
    <w:rsid w:val="0046649F"/>
    <w:rsid w:val="00466C17"/>
    <w:rsid w:val="004677B2"/>
    <w:rsid w:val="004702E6"/>
    <w:rsid w:val="00470701"/>
    <w:rsid w:val="0047094E"/>
    <w:rsid w:val="00470C85"/>
    <w:rsid w:val="00470DDD"/>
    <w:rsid w:val="00471873"/>
    <w:rsid w:val="00472225"/>
    <w:rsid w:val="00472726"/>
    <w:rsid w:val="00473CF3"/>
    <w:rsid w:val="004755C0"/>
    <w:rsid w:val="00475A85"/>
    <w:rsid w:val="004769C5"/>
    <w:rsid w:val="0047712F"/>
    <w:rsid w:val="00477667"/>
    <w:rsid w:val="0048039A"/>
    <w:rsid w:val="004805D2"/>
    <w:rsid w:val="00480B7E"/>
    <w:rsid w:val="00481932"/>
    <w:rsid w:val="00481B6B"/>
    <w:rsid w:val="004820BD"/>
    <w:rsid w:val="004822F1"/>
    <w:rsid w:val="004822FD"/>
    <w:rsid w:val="004825D8"/>
    <w:rsid w:val="00482BC7"/>
    <w:rsid w:val="00482C65"/>
    <w:rsid w:val="00482CB7"/>
    <w:rsid w:val="00483204"/>
    <w:rsid w:val="004845A4"/>
    <w:rsid w:val="00484E0E"/>
    <w:rsid w:val="004851CC"/>
    <w:rsid w:val="00486615"/>
    <w:rsid w:val="00486696"/>
    <w:rsid w:val="00486725"/>
    <w:rsid w:val="00487308"/>
    <w:rsid w:val="00490C8B"/>
    <w:rsid w:val="004919ED"/>
    <w:rsid w:val="004963FB"/>
    <w:rsid w:val="004968BE"/>
    <w:rsid w:val="00496C03"/>
    <w:rsid w:val="0049762A"/>
    <w:rsid w:val="004A0A9E"/>
    <w:rsid w:val="004A1061"/>
    <w:rsid w:val="004A14FD"/>
    <w:rsid w:val="004A19AF"/>
    <w:rsid w:val="004A2231"/>
    <w:rsid w:val="004A3381"/>
    <w:rsid w:val="004A3CC5"/>
    <w:rsid w:val="004A435E"/>
    <w:rsid w:val="004A4633"/>
    <w:rsid w:val="004A46DC"/>
    <w:rsid w:val="004A5088"/>
    <w:rsid w:val="004A5D2F"/>
    <w:rsid w:val="004A6324"/>
    <w:rsid w:val="004A6F18"/>
    <w:rsid w:val="004B0525"/>
    <w:rsid w:val="004B1A04"/>
    <w:rsid w:val="004B20DE"/>
    <w:rsid w:val="004B2864"/>
    <w:rsid w:val="004B33C7"/>
    <w:rsid w:val="004B3F66"/>
    <w:rsid w:val="004B49CF"/>
    <w:rsid w:val="004B5547"/>
    <w:rsid w:val="004B6B05"/>
    <w:rsid w:val="004B719C"/>
    <w:rsid w:val="004B7C34"/>
    <w:rsid w:val="004C01B4"/>
    <w:rsid w:val="004C1017"/>
    <w:rsid w:val="004C11E4"/>
    <w:rsid w:val="004C2138"/>
    <w:rsid w:val="004C2A2B"/>
    <w:rsid w:val="004C4C32"/>
    <w:rsid w:val="004C63C5"/>
    <w:rsid w:val="004C6621"/>
    <w:rsid w:val="004D1B01"/>
    <w:rsid w:val="004D27C4"/>
    <w:rsid w:val="004D2D07"/>
    <w:rsid w:val="004D37F8"/>
    <w:rsid w:val="004D3862"/>
    <w:rsid w:val="004D3DCF"/>
    <w:rsid w:val="004D3F1B"/>
    <w:rsid w:val="004D5E71"/>
    <w:rsid w:val="004D7D08"/>
    <w:rsid w:val="004E02C8"/>
    <w:rsid w:val="004E1739"/>
    <w:rsid w:val="004E21EC"/>
    <w:rsid w:val="004E24EE"/>
    <w:rsid w:val="004E33B5"/>
    <w:rsid w:val="004E3D2D"/>
    <w:rsid w:val="004E5328"/>
    <w:rsid w:val="004E5908"/>
    <w:rsid w:val="004E65BF"/>
    <w:rsid w:val="004E6733"/>
    <w:rsid w:val="004E7540"/>
    <w:rsid w:val="004E7C3A"/>
    <w:rsid w:val="004F0E74"/>
    <w:rsid w:val="004F123B"/>
    <w:rsid w:val="004F1B47"/>
    <w:rsid w:val="004F2DF1"/>
    <w:rsid w:val="004F2FCF"/>
    <w:rsid w:val="004F2FF1"/>
    <w:rsid w:val="004F428A"/>
    <w:rsid w:val="004F6CA1"/>
    <w:rsid w:val="004F72D4"/>
    <w:rsid w:val="00500980"/>
    <w:rsid w:val="00500D3E"/>
    <w:rsid w:val="00502258"/>
    <w:rsid w:val="00502DA0"/>
    <w:rsid w:val="0050468D"/>
    <w:rsid w:val="0050478A"/>
    <w:rsid w:val="0050772E"/>
    <w:rsid w:val="00510553"/>
    <w:rsid w:val="00510E2F"/>
    <w:rsid w:val="00512BF5"/>
    <w:rsid w:val="00513D7C"/>
    <w:rsid w:val="0051489C"/>
    <w:rsid w:val="00515409"/>
    <w:rsid w:val="00515CC5"/>
    <w:rsid w:val="00515E09"/>
    <w:rsid w:val="005166DE"/>
    <w:rsid w:val="00517348"/>
    <w:rsid w:val="00517507"/>
    <w:rsid w:val="005206DD"/>
    <w:rsid w:val="005209B7"/>
    <w:rsid w:val="00520F62"/>
    <w:rsid w:val="00521B82"/>
    <w:rsid w:val="00521BA3"/>
    <w:rsid w:val="00522B9F"/>
    <w:rsid w:val="005234FE"/>
    <w:rsid w:val="00526CA5"/>
    <w:rsid w:val="00527C6C"/>
    <w:rsid w:val="00530ECB"/>
    <w:rsid w:val="00533D0F"/>
    <w:rsid w:val="00534AA1"/>
    <w:rsid w:val="0053780A"/>
    <w:rsid w:val="00537B1C"/>
    <w:rsid w:val="00540204"/>
    <w:rsid w:val="005412AF"/>
    <w:rsid w:val="0054422E"/>
    <w:rsid w:val="00544E6A"/>
    <w:rsid w:val="00544E7E"/>
    <w:rsid w:val="00545527"/>
    <w:rsid w:val="0055101F"/>
    <w:rsid w:val="00553F3A"/>
    <w:rsid w:val="005544FA"/>
    <w:rsid w:val="00554DAB"/>
    <w:rsid w:val="005550DA"/>
    <w:rsid w:val="00556555"/>
    <w:rsid w:val="00560336"/>
    <w:rsid w:val="00561B59"/>
    <w:rsid w:val="00564CE5"/>
    <w:rsid w:val="00565888"/>
    <w:rsid w:val="00567102"/>
    <w:rsid w:val="005711F6"/>
    <w:rsid w:val="005711FD"/>
    <w:rsid w:val="005713EA"/>
    <w:rsid w:val="00572367"/>
    <w:rsid w:val="0057263B"/>
    <w:rsid w:val="0057291D"/>
    <w:rsid w:val="00573F6D"/>
    <w:rsid w:val="00574C0E"/>
    <w:rsid w:val="0057530B"/>
    <w:rsid w:val="00575F95"/>
    <w:rsid w:val="005762D6"/>
    <w:rsid w:val="00576991"/>
    <w:rsid w:val="00577D20"/>
    <w:rsid w:val="0058196C"/>
    <w:rsid w:val="0058230C"/>
    <w:rsid w:val="00583CC9"/>
    <w:rsid w:val="00583DB8"/>
    <w:rsid w:val="00583FB5"/>
    <w:rsid w:val="00584010"/>
    <w:rsid w:val="00584A48"/>
    <w:rsid w:val="0058503B"/>
    <w:rsid w:val="005860DA"/>
    <w:rsid w:val="005913EB"/>
    <w:rsid w:val="00591457"/>
    <w:rsid w:val="00591970"/>
    <w:rsid w:val="005919EA"/>
    <w:rsid w:val="005939B7"/>
    <w:rsid w:val="005952FB"/>
    <w:rsid w:val="00596D5C"/>
    <w:rsid w:val="005970E8"/>
    <w:rsid w:val="00597538"/>
    <w:rsid w:val="005A1264"/>
    <w:rsid w:val="005A1931"/>
    <w:rsid w:val="005A1F68"/>
    <w:rsid w:val="005A3438"/>
    <w:rsid w:val="005A3616"/>
    <w:rsid w:val="005A3E60"/>
    <w:rsid w:val="005A56D7"/>
    <w:rsid w:val="005B0DBB"/>
    <w:rsid w:val="005B175F"/>
    <w:rsid w:val="005B375C"/>
    <w:rsid w:val="005B4DEE"/>
    <w:rsid w:val="005B54A8"/>
    <w:rsid w:val="005B5B7A"/>
    <w:rsid w:val="005B6669"/>
    <w:rsid w:val="005C069A"/>
    <w:rsid w:val="005C0EB5"/>
    <w:rsid w:val="005C1AFA"/>
    <w:rsid w:val="005C1FAB"/>
    <w:rsid w:val="005C2A03"/>
    <w:rsid w:val="005C3DB6"/>
    <w:rsid w:val="005C436E"/>
    <w:rsid w:val="005C4DBD"/>
    <w:rsid w:val="005C5B2B"/>
    <w:rsid w:val="005C7192"/>
    <w:rsid w:val="005D074E"/>
    <w:rsid w:val="005D0781"/>
    <w:rsid w:val="005D2364"/>
    <w:rsid w:val="005D3F49"/>
    <w:rsid w:val="005D49A8"/>
    <w:rsid w:val="005D49F9"/>
    <w:rsid w:val="005D520B"/>
    <w:rsid w:val="005D586D"/>
    <w:rsid w:val="005D7A65"/>
    <w:rsid w:val="005D7E43"/>
    <w:rsid w:val="005E0A06"/>
    <w:rsid w:val="005E0E65"/>
    <w:rsid w:val="005E1028"/>
    <w:rsid w:val="005E23E1"/>
    <w:rsid w:val="005E39FB"/>
    <w:rsid w:val="005E4273"/>
    <w:rsid w:val="005E42F4"/>
    <w:rsid w:val="005E5B59"/>
    <w:rsid w:val="005E6F4D"/>
    <w:rsid w:val="005E7162"/>
    <w:rsid w:val="005F0440"/>
    <w:rsid w:val="005F0C15"/>
    <w:rsid w:val="005F104C"/>
    <w:rsid w:val="005F15F6"/>
    <w:rsid w:val="005F4145"/>
    <w:rsid w:val="005F485E"/>
    <w:rsid w:val="005F4906"/>
    <w:rsid w:val="005F6ED0"/>
    <w:rsid w:val="005F760D"/>
    <w:rsid w:val="00600364"/>
    <w:rsid w:val="00602B17"/>
    <w:rsid w:val="00602C4E"/>
    <w:rsid w:val="0060322E"/>
    <w:rsid w:val="0060446C"/>
    <w:rsid w:val="006048A9"/>
    <w:rsid w:val="00604B9D"/>
    <w:rsid w:val="006055AC"/>
    <w:rsid w:val="0060721B"/>
    <w:rsid w:val="006103E7"/>
    <w:rsid w:val="00611C06"/>
    <w:rsid w:val="00612FEA"/>
    <w:rsid w:val="00614BA4"/>
    <w:rsid w:val="00614BC9"/>
    <w:rsid w:val="00616340"/>
    <w:rsid w:val="00616D9C"/>
    <w:rsid w:val="006170D0"/>
    <w:rsid w:val="0061752D"/>
    <w:rsid w:val="006179BB"/>
    <w:rsid w:val="006201A7"/>
    <w:rsid w:val="00620CD8"/>
    <w:rsid w:val="006212E9"/>
    <w:rsid w:val="00621824"/>
    <w:rsid w:val="00622321"/>
    <w:rsid w:val="00623F9E"/>
    <w:rsid w:val="00624D2A"/>
    <w:rsid w:val="00625154"/>
    <w:rsid w:val="00625A9B"/>
    <w:rsid w:val="006268BB"/>
    <w:rsid w:val="00626AE3"/>
    <w:rsid w:val="00626CA9"/>
    <w:rsid w:val="00627644"/>
    <w:rsid w:val="00627650"/>
    <w:rsid w:val="00627D6F"/>
    <w:rsid w:val="00630DB3"/>
    <w:rsid w:val="0063116B"/>
    <w:rsid w:val="00631936"/>
    <w:rsid w:val="006322DF"/>
    <w:rsid w:val="0063249B"/>
    <w:rsid w:val="00632865"/>
    <w:rsid w:val="006329D2"/>
    <w:rsid w:val="00633E70"/>
    <w:rsid w:val="006347CA"/>
    <w:rsid w:val="00634EE4"/>
    <w:rsid w:val="00637410"/>
    <w:rsid w:val="006406D7"/>
    <w:rsid w:val="006408CA"/>
    <w:rsid w:val="00640AF3"/>
    <w:rsid w:val="0064254D"/>
    <w:rsid w:val="006428EF"/>
    <w:rsid w:val="00644B1E"/>
    <w:rsid w:val="006464A7"/>
    <w:rsid w:val="00647A3F"/>
    <w:rsid w:val="00650C71"/>
    <w:rsid w:val="00651057"/>
    <w:rsid w:val="00651161"/>
    <w:rsid w:val="00651368"/>
    <w:rsid w:val="006515EE"/>
    <w:rsid w:val="00653248"/>
    <w:rsid w:val="006532D9"/>
    <w:rsid w:val="00653A45"/>
    <w:rsid w:val="00653B70"/>
    <w:rsid w:val="00654F1D"/>
    <w:rsid w:val="00655AED"/>
    <w:rsid w:val="00656196"/>
    <w:rsid w:val="00656C89"/>
    <w:rsid w:val="00656FA7"/>
    <w:rsid w:val="00657089"/>
    <w:rsid w:val="00657E14"/>
    <w:rsid w:val="00660728"/>
    <w:rsid w:val="006607C9"/>
    <w:rsid w:val="0066082E"/>
    <w:rsid w:val="006615AF"/>
    <w:rsid w:val="00661877"/>
    <w:rsid w:val="00661F13"/>
    <w:rsid w:val="00662627"/>
    <w:rsid w:val="0066468C"/>
    <w:rsid w:val="0066622E"/>
    <w:rsid w:val="006662B9"/>
    <w:rsid w:val="0066637A"/>
    <w:rsid w:val="00666E3B"/>
    <w:rsid w:val="00670219"/>
    <w:rsid w:val="006704E8"/>
    <w:rsid w:val="0067152E"/>
    <w:rsid w:val="006716DE"/>
    <w:rsid w:val="00672A20"/>
    <w:rsid w:val="006737C8"/>
    <w:rsid w:val="006738D2"/>
    <w:rsid w:val="0067446B"/>
    <w:rsid w:val="006744C3"/>
    <w:rsid w:val="006753A3"/>
    <w:rsid w:val="00676D16"/>
    <w:rsid w:val="0067746F"/>
    <w:rsid w:val="00677ECA"/>
    <w:rsid w:val="00677F01"/>
    <w:rsid w:val="00677F9D"/>
    <w:rsid w:val="00680C21"/>
    <w:rsid w:val="00683206"/>
    <w:rsid w:val="00690E14"/>
    <w:rsid w:val="0069112B"/>
    <w:rsid w:val="0069187D"/>
    <w:rsid w:val="0069192B"/>
    <w:rsid w:val="00695752"/>
    <w:rsid w:val="00697240"/>
    <w:rsid w:val="0069788E"/>
    <w:rsid w:val="006A11B7"/>
    <w:rsid w:val="006A1B47"/>
    <w:rsid w:val="006A2318"/>
    <w:rsid w:val="006A27BF"/>
    <w:rsid w:val="006A327D"/>
    <w:rsid w:val="006A4D9C"/>
    <w:rsid w:val="006A5290"/>
    <w:rsid w:val="006A69A0"/>
    <w:rsid w:val="006B12E2"/>
    <w:rsid w:val="006B1F52"/>
    <w:rsid w:val="006B432D"/>
    <w:rsid w:val="006B4CDE"/>
    <w:rsid w:val="006B6172"/>
    <w:rsid w:val="006B729A"/>
    <w:rsid w:val="006C1440"/>
    <w:rsid w:val="006C23A0"/>
    <w:rsid w:val="006C3AA6"/>
    <w:rsid w:val="006C3B69"/>
    <w:rsid w:val="006C3D1B"/>
    <w:rsid w:val="006C3E46"/>
    <w:rsid w:val="006C41A4"/>
    <w:rsid w:val="006C485B"/>
    <w:rsid w:val="006C577E"/>
    <w:rsid w:val="006C5B85"/>
    <w:rsid w:val="006C5E57"/>
    <w:rsid w:val="006C5F1E"/>
    <w:rsid w:val="006C66C7"/>
    <w:rsid w:val="006C77AF"/>
    <w:rsid w:val="006C7C53"/>
    <w:rsid w:val="006D1CAC"/>
    <w:rsid w:val="006D358D"/>
    <w:rsid w:val="006D3A86"/>
    <w:rsid w:val="006D3C40"/>
    <w:rsid w:val="006D4289"/>
    <w:rsid w:val="006D4F4E"/>
    <w:rsid w:val="006D669F"/>
    <w:rsid w:val="006D6AA3"/>
    <w:rsid w:val="006D7144"/>
    <w:rsid w:val="006D78EB"/>
    <w:rsid w:val="006E0B46"/>
    <w:rsid w:val="006E51D0"/>
    <w:rsid w:val="006E51FA"/>
    <w:rsid w:val="006E5AA9"/>
    <w:rsid w:val="006E5C07"/>
    <w:rsid w:val="006E692E"/>
    <w:rsid w:val="006E6DE5"/>
    <w:rsid w:val="006E7980"/>
    <w:rsid w:val="006E799F"/>
    <w:rsid w:val="006E7B1B"/>
    <w:rsid w:val="006E7EAF"/>
    <w:rsid w:val="006F0BB9"/>
    <w:rsid w:val="006F15A1"/>
    <w:rsid w:val="006F39CC"/>
    <w:rsid w:val="006F427F"/>
    <w:rsid w:val="006F4936"/>
    <w:rsid w:val="006F5EA5"/>
    <w:rsid w:val="006F672F"/>
    <w:rsid w:val="006F6BEB"/>
    <w:rsid w:val="006F730C"/>
    <w:rsid w:val="006F77A7"/>
    <w:rsid w:val="007000CC"/>
    <w:rsid w:val="007006ED"/>
    <w:rsid w:val="00701210"/>
    <w:rsid w:val="007017A9"/>
    <w:rsid w:val="00701E1C"/>
    <w:rsid w:val="00702B2B"/>
    <w:rsid w:val="00703242"/>
    <w:rsid w:val="007045FF"/>
    <w:rsid w:val="0070476F"/>
    <w:rsid w:val="00713B2A"/>
    <w:rsid w:val="007141D1"/>
    <w:rsid w:val="007159D9"/>
    <w:rsid w:val="00715C75"/>
    <w:rsid w:val="00715DC1"/>
    <w:rsid w:val="00715FC5"/>
    <w:rsid w:val="007162FE"/>
    <w:rsid w:val="00717240"/>
    <w:rsid w:val="00720AD3"/>
    <w:rsid w:val="00720C09"/>
    <w:rsid w:val="00720E6A"/>
    <w:rsid w:val="007221E0"/>
    <w:rsid w:val="00722DD6"/>
    <w:rsid w:val="0072302F"/>
    <w:rsid w:val="00724A83"/>
    <w:rsid w:val="00725961"/>
    <w:rsid w:val="00727805"/>
    <w:rsid w:val="00727969"/>
    <w:rsid w:val="0073158F"/>
    <w:rsid w:val="0073226A"/>
    <w:rsid w:val="00732DD1"/>
    <w:rsid w:val="007333BA"/>
    <w:rsid w:val="00733445"/>
    <w:rsid w:val="00733860"/>
    <w:rsid w:val="00733F43"/>
    <w:rsid w:val="007345D4"/>
    <w:rsid w:val="00734A8A"/>
    <w:rsid w:val="00735473"/>
    <w:rsid w:val="007360A0"/>
    <w:rsid w:val="0073685D"/>
    <w:rsid w:val="00740E3D"/>
    <w:rsid w:val="00740FE2"/>
    <w:rsid w:val="00741E24"/>
    <w:rsid w:val="007421CF"/>
    <w:rsid w:val="00742D7E"/>
    <w:rsid w:val="00743816"/>
    <w:rsid w:val="0074468D"/>
    <w:rsid w:val="00744847"/>
    <w:rsid w:val="00745D6A"/>
    <w:rsid w:val="007467C0"/>
    <w:rsid w:val="00747440"/>
    <w:rsid w:val="00747733"/>
    <w:rsid w:val="007513E7"/>
    <w:rsid w:val="00754BE1"/>
    <w:rsid w:val="00755966"/>
    <w:rsid w:val="0075699D"/>
    <w:rsid w:val="00756BEF"/>
    <w:rsid w:val="00757A98"/>
    <w:rsid w:val="00757D3F"/>
    <w:rsid w:val="0076148B"/>
    <w:rsid w:val="00762ABB"/>
    <w:rsid w:val="007644E6"/>
    <w:rsid w:val="00764C95"/>
    <w:rsid w:val="00766562"/>
    <w:rsid w:val="00767CFA"/>
    <w:rsid w:val="0077066D"/>
    <w:rsid w:val="007720EC"/>
    <w:rsid w:val="00772C5A"/>
    <w:rsid w:val="00773001"/>
    <w:rsid w:val="007745D9"/>
    <w:rsid w:val="0077471F"/>
    <w:rsid w:val="00775801"/>
    <w:rsid w:val="0077588A"/>
    <w:rsid w:val="00780804"/>
    <w:rsid w:val="00781070"/>
    <w:rsid w:val="007817B4"/>
    <w:rsid w:val="00783297"/>
    <w:rsid w:val="00783DE6"/>
    <w:rsid w:val="007840C1"/>
    <w:rsid w:val="00784C8A"/>
    <w:rsid w:val="0078503A"/>
    <w:rsid w:val="0078591E"/>
    <w:rsid w:val="007866CE"/>
    <w:rsid w:val="007868DA"/>
    <w:rsid w:val="00786C2E"/>
    <w:rsid w:val="00786CEA"/>
    <w:rsid w:val="007914CE"/>
    <w:rsid w:val="00792A9E"/>
    <w:rsid w:val="007930A2"/>
    <w:rsid w:val="0079347D"/>
    <w:rsid w:val="007934B7"/>
    <w:rsid w:val="007934FA"/>
    <w:rsid w:val="00796E39"/>
    <w:rsid w:val="0079709D"/>
    <w:rsid w:val="00797571"/>
    <w:rsid w:val="00797F17"/>
    <w:rsid w:val="007A0749"/>
    <w:rsid w:val="007A26D2"/>
    <w:rsid w:val="007A32FF"/>
    <w:rsid w:val="007A4337"/>
    <w:rsid w:val="007A4812"/>
    <w:rsid w:val="007A4D01"/>
    <w:rsid w:val="007A54AB"/>
    <w:rsid w:val="007A5872"/>
    <w:rsid w:val="007B0943"/>
    <w:rsid w:val="007B0D6E"/>
    <w:rsid w:val="007B11B9"/>
    <w:rsid w:val="007B1575"/>
    <w:rsid w:val="007B15F7"/>
    <w:rsid w:val="007B18D6"/>
    <w:rsid w:val="007B23F4"/>
    <w:rsid w:val="007B3D41"/>
    <w:rsid w:val="007B4A90"/>
    <w:rsid w:val="007B66E0"/>
    <w:rsid w:val="007C14A1"/>
    <w:rsid w:val="007C3466"/>
    <w:rsid w:val="007C459D"/>
    <w:rsid w:val="007C64F4"/>
    <w:rsid w:val="007C6777"/>
    <w:rsid w:val="007C6AD1"/>
    <w:rsid w:val="007C6F3D"/>
    <w:rsid w:val="007D0D5F"/>
    <w:rsid w:val="007D1D83"/>
    <w:rsid w:val="007D25B0"/>
    <w:rsid w:val="007D39BD"/>
    <w:rsid w:val="007D5B56"/>
    <w:rsid w:val="007D692C"/>
    <w:rsid w:val="007D72B5"/>
    <w:rsid w:val="007D7545"/>
    <w:rsid w:val="007E09D6"/>
    <w:rsid w:val="007E2A94"/>
    <w:rsid w:val="007E3ADA"/>
    <w:rsid w:val="007E3C04"/>
    <w:rsid w:val="007E5531"/>
    <w:rsid w:val="007E6931"/>
    <w:rsid w:val="007E6E9D"/>
    <w:rsid w:val="007E7D70"/>
    <w:rsid w:val="007F0672"/>
    <w:rsid w:val="007F0709"/>
    <w:rsid w:val="007F15EF"/>
    <w:rsid w:val="007F1E55"/>
    <w:rsid w:val="007F1F0B"/>
    <w:rsid w:val="007F335C"/>
    <w:rsid w:val="007F3613"/>
    <w:rsid w:val="007F5214"/>
    <w:rsid w:val="007F5C5C"/>
    <w:rsid w:val="007F66C4"/>
    <w:rsid w:val="007F6CF8"/>
    <w:rsid w:val="00800A56"/>
    <w:rsid w:val="00800F59"/>
    <w:rsid w:val="00800F87"/>
    <w:rsid w:val="008014EE"/>
    <w:rsid w:val="00801E0E"/>
    <w:rsid w:val="00801FE8"/>
    <w:rsid w:val="00802D9F"/>
    <w:rsid w:val="00804323"/>
    <w:rsid w:val="00805186"/>
    <w:rsid w:val="00807158"/>
    <w:rsid w:val="0080716D"/>
    <w:rsid w:val="00807B50"/>
    <w:rsid w:val="0081025F"/>
    <w:rsid w:val="008113E4"/>
    <w:rsid w:val="0081148F"/>
    <w:rsid w:val="008118B7"/>
    <w:rsid w:val="0081231A"/>
    <w:rsid w:val="0081378C"/>
    <w:rsid w:val="008140B4"/>
    <w:rsid w:val="00814164"/>
    <w:rsid w:val="008154B5"/>
    <w:rsid w:val="008159DB"/>
    <w:rsid w:val="00817643"/>
    <w:rsid w:val="00822888"/>
    <w:rsid w:val="00822944"/>
    <w:rsid w:val="00822AB7"/>
    <w:rsid w:val="00824A08"/>
    <w:rsid w:val="0083093E"/>
    <w:rsid w:val="008336C3"/>
    <w:rsid w:val="008353EC"/>
    <w:rsid w:val="008357E6"/>
    <w:rsid w:val="00835978"/>
    <w:rsid w:val="008361A9"/>
    <w:rsid w:val="008368A1"/>
    <w:rsid w:val="00836971"/>
    <w:rsid w:val="0084066A"/>
    <w:rsid w:val="0084191B"/>
    <w:rsid w:val="00843069"/>
    <w:rsid w:val="00843142"/>
    <w:rsid w:val="008438F7"/>
    <w:rsid w:val="00844840"/>
    <w:rsid w:val="008457CC"/>
    <w:rsid w:val="008461B3"/>
    <w:rsid w:val="00846480"/>
    <w:rsid w:val="00850C03"/>
    <w:rsid w:val="00854C1F"/>
    <w:rsid w:val="008555D7"/>
    <w:rsid w:val="00856439"/>
    <w:rsid w:val="0085709C"/>
    <w:rsid w:val="00857551"/>
    <w:rsid w:val="008602FF"/>
    <w:rsid w:val="008614DB"/>
    <w:rsid w:val="00861A6D"/>
    <w:rsid w:val="00861F53"/>
    <w:rsid w:val="00862381"/>
    <w:rsid w:val="00862E2A"/>
    <w:rsid w:val="00863711"/>
    <w:rsid w:val="00865186"/>
    <w:rsid w:val="0086645C"/>
    <w:rsid w:val="00871E11"/>
    <w:rsid w:val="008724EB"/>
    <w:rsid w:val="00872925"/>
    <w:rsid w:val="00873687"/>
    <w:rsid w:val="00874551"/>
    <w:rsid w:val="00874AA4"/>
    <w:rsid w:val="00875201"/>
    <w:rsid w:val="00875C18"/>
    <w:rsid w:val="008762CB"/>
    <w:rsid w:val="00876552"/>
    <w:rsid w:val="00877DFC"/>
    <w:rsid w:val="00880591"/>
    <w:rsid w:val="008813C8"/>
    <w:rsid w:val="00881521"/>
    <w:rsid w:val="008819BD"/>
    <w:rsid w:val="008819DC"/>
    <w:rsid w:val="00881C75"/>
    <w:rsid w:val="00882F7C"/>
    <w:rsid w:val="0088387B"/>
    <w:rsid w:val="00884138"/>
    <w:rsid w:val="0089228D"/>
    <w:rsid w:val="00893915"/>
    <w:rsid w:val="00894B0A"/>
    <w:rsid w:val="00894C72"/>
    <w:rsid w:val="00894CC6"/>
    <w:rsid w:val="0089615D"/>
    <w:rsid w:val="00896221"/>
    <w:rsid w:val="008964B4"/>
    <w:rsid w:val="008964FB"/>
    <w:rsid w:val="008972CA"/>
    <w:rsid w:val="008A07ED"/>
    <w:rsid w:val="008A0C55"/>
    <w:rsid w:val="008A0CEC"/>
    <w:rsid w:val="008A2C95"/>
    <w:rsid w:val="008A2CD3"/>
    <w:rsid w:val="008A2EB8"/>
    <w:rsid w:val="008A2FB8"/>
    <w:rsid w:val="008A3654"/>
    <w:rsid w:val="008A36E0"/>
    <w:rsid w:val="008A38E4"/>
    <w:rsid w:val="008A443F"/>
    <w:rsid w:val="008A5261"/>
    <w:rsid w:val="008A6D91"/>
    <w:rsid w:val="008A721A"/>
    <w:rsid w:val="008A7C1D"/>
    <w:rsid w:val="008B045E"/>
    <w:rsid w:val="008B1893"/>
    <w:rsid w:val="008B2377"/>
    <w:rsid w:val="008B279F"/>
    <w:rsid w:val="008B27C4"/>
    <w:rsid w:val="008B2A46"/>
    <w:rsid w:val="008B37FD"/>
    <w:rsid w:val="008B4634"/>
    <w:rsid w:val="008B5456"/>
    <w:rsid w:val="008B75D5"/>
    <w:rsid w:val="008B7EA7"/>
    <w:rsid w:val="008C0167"/>
    <w:rsid w:val="008C01F6"/>
    <w:rsid w:val="008C1F32"/>
    <w:rsid w:val="008C2DEA"/>
    <w:rsid w:val="008C3DB2"/>
    <w:rsid w:val="008C5124"/>
    <w:rsid w:val="008C6480"/>
    <w:rsid w:val="008C6FF5"/>
    <w:rsid w:val="008C77A4"/>
    <w:rsid w:val="008D042F"/>
    <w:rsid w:val="008D0553"/>
    <w:rsid w:val="008D188C"/>
    <w:rsid w:val="008D2034"/>
    <w:rsid w:val="008D2402"/>
    <w:rsid w:val="008D2431"/>
    <w:rsid w:val="008D288F"/>
    <w:rsid w:val="008D31F3"/>
    <w:rsid w:val="008D3C33"/>
    <w:rsid w:val="008D475A"/>
    <w:rsid w:val="008D4C58"/>
    <w:rsid w:val="008D4E46"/>
    <w:rsid w:val="008D4E53"/>
    <w:rsid w:val="008D5F24"/>
    <w:rsid w:val="008D65E9"/>
    <w:rsid w:val="008D66A4"/>
    <w:rsid w:val="008D6D06"/>
    <w:rsid w:val="008E0502"/>
    <w:rsid w:val="008E19BF"/>
    <w:rsid w:val="008E1D7B"/>
    <w:rsid w:val="008E2364"/>
    <w:rsid w:val="008E308A"/>
    <w:rsid w:val="008E436B"/>
    <w:rsid w:val="008E4458"/>
    <w:rsid w:val="008E6073"/>
    <w:rsid w:val="008E69C9"/>
    <w:rsid w:val="008E6BD0"/>
    <w:rsid w:val="008F0ED4"/>
    <w:rsid w:val="008F15C0"/>
    <w:rsid w:val="008F2246"/>
    <w:rsid w:val="008F26B7"/>
    <w:rsid w:val="008F3157"/>
    <w:rsid w:val="009019E9"/>
    <w:rsid w:val="009027E6"/>
    <w:rsid w:val="00903A3A"/>
    <w:rsid w:val="00903FA5"/>
    <w:rsid w:val="00904264"/>
    <w:rsid w:val="00906429"/>
    <w:rsid w:val="00906920"/>
    <w:rsid w:val="00907419"/>
    <w:rsid w:val="0091138D"/>
    <w:rsid w:val="009125E4"/>
    <w:rsid w:val="0091388A"/>
    <w:rsid w:val="00915900"/>
    <w:rsid w:val="00915C5C"/>
    <w:rsid w:val="00916594"/>
    <w:rsid w:val="00916745"/>
    <w:rsid w:val="0092117F"/>
    <w:rsid w:val="00922703"/>
    <w:rsid w:val="009230CD"/>
    <w:rsid w:val="0092468B"/>
    <w:rsid w:val="00924A05"/>
    <w:rsid w:val="00924BAF"/>
    <w:rsid w:val="00924DB2"/>
    <w:rsid w:val="009256C6"/>
    <w:rsid w:val="009258B3"/>
    <w:rsid w:val="00926EEA"/>
    <w:rsid w:val="00930607"/>
    <w:rsid w:val="0093111C"/>
    <w:rsid w:val="009314A6"/>
    <w:rsid w:val="009316F7"/>
    <w:rsid w:val="009325F2"/>
    <w:rsid w:val="00933734"/>
    <w:rsid w:val="0093395C"/>
    <w:rsid w:val="00933E05"/>
    <w:rsid w:val="00935A4B"/>
    <w:rsid w:val="0093636B"/>
    <w:rsid w:val="00936A41"/>
    <w:rsid w:val="00937CED"/>
    <w:rsid w:val="00937FCD"/>
    <w:rsid w:val="00940AAD"/>
    <w:rsid w:val="00941056"/>
    <w:rsid w:val="00942525"/>
    <w:rsid w:val="00942F85"/>
    <w:rsid w:val="00943439"/>
    <w:rsid w:val="009436AD"/>
    <w:rsid w:val="00943AEF"/>
    <w:rsid w:val="00945248"/>
    <w:rsid w:val="00945561"/>
    <w:rsid w:val="0094556C"/>
    <w:rsid w:val="00950F86"/>
    <w:rsid w:val="00952801"/>
    <w:rsid w:val="00952C39"/>
    <w:rsid w:val="009532A7"/>
    <w:rsid w:val="00954C71"/>
    <w:rsid w:val="00955DE7"/>
    <w:rsid w:val="00960EA5"/>
    <w:rsid w:val="0096165D"/>
    <w:rsid w:val="009616AB"/>
    <w:rsid w:val="0096208B"/>
    <w:rsid w:val="009622E0"/>
    <w:rsid w:val="009634EF"/>
    <w:rsid w:val="00964584"/>
    <w:rsid w:val="009647B6"/>
    <w:rsid w:val="00964F42"/>
    <w:rsid w:val="009652B2"/>
    <w:rsid w:val="009660B4"/>
    <w:rsid w:val="00970A43"/>
    <w:rsid w:val="00971731"/>
    <w:rsid w:val="009719E3"/>
    <w:rsid w:val="0097290B"/>
    <w:rsid w:val="00973C6E"/>
    <w:rsid w:val="00973FB5"/>
    <w:rsid w:val="00974033"/>
    <w:rsid w:val="00974204"/>
    <w:rsid w:val="00974720"/>
    <w:rsid w:val="009757DF"/>
    <w:rsid w:val="009774C2"/>
    <w:rsid w:val="009776D2"/>
    <w:rsid w:val="00977CF8"/>
    <w:rsid w:val="009814E8"/>
    <w:rsid w:val="00981640"/>
    <w:rsid w:val="00981FD3"/>
    <w:rsid w:val="00982A20"/>
    <w:rsid w:val="00983B12"/>
    <w:rsid w:val="00984325"/>
    <w:rsid w:val="009851CB"/>
    <w:rsid w:val="009871C9"/>
    <w:rsid w:val="0099043E"/>
    <w:rsid w:val="009913C3"/>
    <w:rsid w:val="00991C2D"/>
    <w:rsid w:val="00991D20"/>
    <w:rsid w:val="0099367A"/>
    <w:rsid w:val="0099459F"/>
    <w:rsid w:val="009949CE"/>
    <w:rsid w:val="00995705"/>
    <w:rsid w:val="009979BD"/>
    <w:rsid w:val="00997C0C"/>
    <w:rsid w:val="009A006B"/>
    <w:rsid w:val="009A1082"/>
    <w:rsid w:val="009A1B8E"/>
    <w:rsid w:val="009A2188"/>
    <w:rsid w:val="009A25B0"/>
    <w:rsid w:val="009A3A47"/>
    <w:rsid w:val="009A3D90"/>
    <w:rsid w:val="009A436B"/>
    <w:rsid w:val="009A4634"/>
    <w:rsid w:val="009A46AE"/>
    <w:rsid w:val="009A4F04"/>
    <w:rsid w:val="009A5E17"/>
    <w:rsid w:val="009A614A"/>
    <w:rsid w:val="009A618F"/>
    <w:rsid w:val="009B1307"/>
    <w:rsid w:val="009B24A3"/>
    <w:rsid w:val="009B28E6"/>
    <w:rsid w:val="009B2901"/>
    <w:rsid w:val="009B36CB"/>
    <w:rsid w:val="009B5F15"/>
    <w:rsid w:val="009B6AF4"/>
    <w:rsid w:val="009C0697"/>
    <w:rsid w:val="009C123B"/>
    <w:rsid w:val="009C2066"/>
    <w:rsid w:val="009C2941"/>
    <w:rsid w:val="009C32AA"/>
    <w:rsid w:val="009C32C6"/>
    <w:rsid w:val="009C370A"/>
    <w:rsid w:val="009C37BA"/>
    <w:rsid w:val="009C48C3"/>
    <w:rsid w:val="009C4C99"/>
    <w:rsid w:val="009C63E4"/>
    <w:rsid w:val="009C6486"/>
    <w:rsid w:val="009D0E54"/>
    <w:rsid w:val="009D21BC"/>
    <w:rsid w:val="009D3913"/>
    <w:rsid w:val="009D478F"/>
    <w:rsid w:val="009D5DDA"/>
    <w:rsid w:val="009D62D3"/>
    <w:rsid w:val="009D73B9"/>
    <w:rsid w:val="009D787E"/>
    <w:rsid w:val="009E0746"/>
    <w:rsid w:val="009E0B89"/>
    <w:rsid w:val="009E272C"/>
    <w:rsid w:val="009E2881"/>
    <w:rsid w:val="009E46DE"/>
    <w:rsid w:val="009E5191"/>
    <w:rsid w:val="009E586C"/>
    <w:rsid w:val="009E6600"/>
    <w:rsid w:val="009E6D80"/>
    <w:rsid w:val="009E6DAA"/>
    <w:rsid w:val="009E7BAA"/>
    <w:rsid w:val="009F1D9E"/>
    <w:rsid w:val="009F2092"/>
    <w:rsid w:val="009F3192"/>
    <w:rsid w:val="009F3342"/>
    <w:rsid w:val="009F3F82"/>
    <w:rsid w:val="009F52BB"/>
    <w:rsid w:val="009F680F"/>
    <w:rsid w:val="009F6AA7"/>
    <w:rsid w:val="00A01596"/>
    <w:rsid w:val="00A02097"/>
    <w:rsid w:val="00A02743"/>
    <w:rsid w:val="00A06304"/>
    <w:rsid w:val="00A06B8C"/>
    <w:rsid w:val="00A11023"/>
    <w:rsid w:val="00A111A5"/>
    <w:rsid w:val="00A11F92"/>
    <w:rsid w:val="00A1226C"/>
    <w:rsid w:val="00A12A38"/>
    <w:rsid w:val="00A133DD"/>
    <w:rsid w:val="00A1356C"/>
    <w:rsid w:val="00A1486D"/>
    <w:rsid w:val="00A14DD1"/>
    <w:rsid w:val="00A1503F"/>
    <w:rsid w:val="00A15D13"/>
    <w:rsid w:val="00A15EE6"/>
    <w:rsid w:val="00A163A6"/>
    <w:rsid w:val="00A16559"/>
    <w:rsid w:val="00A16AEE"/>
    <w:rsid w:val="00A2012E"/>
    <w:rsid w:val="00A21DB7"/>
    <w:rsid w:val="00A21DC2"/>
    <w:rsid w:val="00A2269C"/>
    <w:rsid w:val="00A229E3"/>
    <w:rsid w:val="00A2302B"/>
    <w:rsid w:val="00A23E0A"/>
    <w:rsid w:val="00A242FF"/>
    <w:rsid w:val="00A24547"/>
    <w:rsid w:val="00A2698C"/>
    <w:rsid w:val="00A31318"/>
    <w:rsid w:val="00A31F56"/>
    <w:rsid w:val="00A32FBD"/>
    <w:rsid w:val="00A3379F"/>
    <w:rsid w:val="00A33B00"/>
    <w:rsid w:val="00A35115"/>
    <w:rsid w:val="00A36660"/>
    <w:rsid w:val="00A36671"/>
    <w:rsid w:val="00A37098"/>
    <w:rsid w:val="00A400C1"/>
    <w:rsid w:val="00A4024E"/>
    <w:rsid w:val="00A40CFE"/>
    <w:rsid w:val="00A41AA9"/>
    <w:rsid w:val="00A42AA6"/>
    <w:rsid w:val="00A42C8C"/>
    <w:rsid w:val="00A432E6"/>
    <w:rsid w:val="00A44546"/>
    <w:rsid w:val="00A46C59"/>
    <w:rsid w:val="00A476A3"/>
    <w:rsid w:val="00A50078"/>
    <w:rsid w:val="00A51C79"/>
    <w:rsid w:val="00A51DB3"/>
    <w:rsid w:val="00A52B42"/>
    <w:rsid w:val="00A54CDE"/>
    <w:rsid w:val="00A55D6B"/>
    <w:rsid w:val="00A56F71"/>
    <w:rsid w:val="00A572AA"/>
    <w:rsid w:val="00A57A5F"/>
    <w:rsid w:val="00A57B4B"/>
    <w:rsid w:val="00A57F05"/>
    <w:rsid w:val="00A60199"/>
    <w:rsid w:val="00A60230"/>
    <w:rsid w:val="00A606B4"/>
    <w:rsid w:val="00A60B98"/>
    <w:rsid w:val="00A615CE"/>
    <w:rsid w:val="00A618A1"/>
    <w:rsid w:val="00A62877"/>
    <w:rsid w:val="00A64FBF"/>
    <w:rsid w:val="00A65218"/>
    <w:rsid w:val="00A6562F"/>
    <w:rsid w:val="00A65C32"/>
    <w:rsid w:val="00A67091"/>
    <w:rsid w:val="00A67F62"/>
    <w:rsid w:val="00A71583"/>
    <w:rsid w:val="00A71B80"/>
    <w:rsid w:val="00A740E0"/>
    <w:rsid w:val="00A74AD2"/>
    <w:rsid w:val="00A753D2"/>
    <w:rsid w:val="00A75E4D"/>
    <w:rsid w:val="00A75FD7"/>
    <w:rsid w:val="00A765FE"/>
    <w:rsid w:val="00A768A8"/>
    <w:rsid w:val="00A8215C"/>
    <w:rsid w:val="00A84980"/>
    <w:rsid w:val="00A84EDE"/>
    <w:rsid w:val="00A85F93"/>
    <w:rsid w:val="00A86610"/>
    <w:rsid w:val="00A86E89"/>
    <w:rsid w:val="00A86F44"/>
    <w:rsid w:val="00A8743F"/>
    <w:rsid w:val="00A87699"/>
    <w:rsid w:val="00A87953"/>
    <w:rsid w:val="00A910BB"/>
    <w:rsid w:val="00A95792"/>
    <w:rsid w:val="00A96146"/>
    <w:rsid w:val="00A96213"/>
    <w:rsid w:val="00A96AF1"/>
    <w:rsid w:val="00AA0273"/>
    <w:rsid w:val="00AA060A"/>
    <w:rsid w:val="00AA0A9E"/>
    <w:rsid w:val="00AA20B2"/>
    <w:rsid w:val="00AA2B7D"/>
    <w:rsid w:val="00AA2FF6"/>
    <w:rsid w:val="00AA3714"/>
    <w:rsid w:val="00AA4655"/>
    <w:rsid w:val="00AA5C00"/>
    <w:rsid w:val="00AA7D72"/>
    <w:rsid w:val="00AB0577"/>
    <w:rsid w:val="00AB2DE6"/>
    <w:rsid w:val="00AB3187"/>
    <w:rsid w:val="00AB3660"/>
    <w:rsid w:val="00AB3FE5"/>
    <w:rsid w:val="00AB42A0"/>
    <w:rsid w:val="00AB7D1C"/>
    <w:rsid w:val="00AC0A2F"/>
    <w:rsid w:val="00AC1087"/>
    <w:rsid w:val="00AC131F"/>
    <w:rsid w:val="00AC1FB5"/>
    <w:rsid w:val="00AC2422"/>
    <w:rsid w:val="00AC2F46"/>
    <w:rsid w:val="00AC3547"/>
    <w:rsid w:val="00AC3F12"/>
    <w:rsid w:val="00AC4B1B"/>
    <w:rsid w:val="00AC65C7"/>
    <w:rsid w:val="00AC7098"/>
    <w:rsid w:val="00AC7EF1"/>
    <w:rsid w:val="00AD0615"/>
    <w:rsid w:val="00AD0B34"/>
    <w:rsid w:val="00AD2B7C"/>
    <w:rsid w:val="00AD2F77"/>
    <w:rsid w:val="00AD3E88"/>
    <w:rsid w:val="00AD4B07"/>
    <w:rsid w:val="00AD5DCC"/>
    <w:rsid w:val="00AD71D8"/>
    <w:rsid w:val="00AE01A4"/>
    <w:rsid w:val="00AE03C5"/>
    <w:rsid w:val="00AE09B9"/>
    <w:rsid w:val="00AE1C88"/>
    <w:rsid w:val="00AE1FD4"/>
    <w:rsid w:val="00AE36CA"/>
    <w:rsid w:val="00AE48EA"/>
    <w:rsid w:val="00AE49B4"/>
    <w:rsid w:val="00AE581F"/>
    <w:rsid w:val="00AE6346"/>
    <w:rsid w:val="00AE6D7F"/>
    <w:rsid w:val="00AF0F90"/>
    <w:rsid w:val="00AF2386"/>
    <w:rsid w:val="00AF323D"/>
    <w:rsid w:val="00AF37CE"/>
    <w:rsid w:val="00AF3C7B"/>
    <w:rsid w:val="00AF3EC1"/>
    <w:rsid w:val="00AF4DA1"/>
    <w:rsid w:val="00AF5D8D"/>
    <w:rsid w:val="00AF62F2"/>
    <w:rsid w:val="00AF67D9"/>
    <w:rsid w:val="00AF6B94"/>
    <w:rsid w:val="00B018F7"/>
    <w:rsid w:val="00B02238"/>
    <w:rsid w:val="00B03CDA"/>
    <w:rsid w:val="00B03FAD"/>
    <w:rsid w:val="00B04C77"/>
    <w:rsid w:val="00B05C5E"/>
    <w:rsid w:val="00B05D15"/>
    <w:rsid w:val="00B1038D"/>
    <w:rsid w:val="00B133A6"/>
    <w:rsid w:val="00B147B0"/>
    <w:rsid w:val="00B14A3A"/>
    <w:rsid w:val="00B14AD3"/>
    <w:rsid w:val="00B14E55"/>
    <w:rsid w:val="00B22D95"/>
    <w:rsid w:val="00B23299"/>
    <w:rsid w:val="00B23483"/>
    <w:rsid w:val="00B234C8"/>
    <w:rsid w:val="00B23C90"/>
    <w:rsid w:val="00B24345"/>
    <w:rsid w:val="00B2467A"/>
    <w:rsid w:val="00B253E7"/>
    <w:rsid w:val="00B26198"/>
    <w:rsid w:val="00B2676D"/>
    <w:rsid w:val="00B27E7E"/>
    <w:rsid w:val="00B301C7"/>
    <w:rsid w:val="00B3078B"/>
    <w:rsid w:val="00B31971"/>
    <w:rsid w:val="00B339AD"/>
    <w:rsid w:val="00B34CF8"/>
    <w:rsid w:val="00B361B8"/>
    <w:rsid w:val="00B3703E"/>
    <w:rsid w:val="00B3733A"/>
    <w:rsid w:val="00B401A5"/>
    <w:rsid w:val="00B40207"/>
    <w:rsid w:val="00B40742"/>
    <w:rsid w:val="00B40D9E"/>
    <w:rsid w:val="00B41979"/>
    <w:rsid w:val="00B4240F"/>
    <w:rsid w:val="00B43CEA"/>
    <w:rsid w:val="00B444FC"/>
    <w:rsid w:val="00B44B6D"/>
    <w:rsid w:val="00B46983"/>
    <w:rsid w:val="00B4725F"/>
    <w:rsid w:val="00B5102D"/>
    <w:rsid w:val="00B51359"/>
    <w:rsid w:val="00B514AE"/>
    <w:rsid w:val="00B53C48"/>
    <w:rsid w:val="00B55530"/>
    <w:rsid w:val="00B557F8"/>
    <w:rsid w:val="00B55FF1"/>
    <w:rsid w:val="00B56AA1"/>
    <w:rsid w:val="00B571D6"/>
    <w:rsid w:val="00B5770E"/>
    <w:rsid w:val="00B57C78"/>
    <w:rsid w:val="00B611C5"/>
    <w:rsid w:val="00B613A2"/>
    <w:rsid w:val="00B6278B"/>
    <w:rsid w:val="00B65ABA"/>
    <w:rsid w:val="00B65C12"/>
    <w:rsid w:val="00B7034B"/>
    <w:rsid w:val="00B704F8"/>
    <w:rsid w:val="00B70EE3"/>
    <w:rsid w:val="00B712F5"/>
    <w:rsid w:val="00B71FB7"/>
    <w:rsid w:val="00B7347B"/>
    <w:rsid w:val="00B73B9C"/>
    <w:rsid w:val="00B7463C"/>
    <w:rsid w:val="00B75228"/>
    <w:rsid w:val="00B76465"/>
    <w:rsid w:val="00B77210"/>
    <w:rsid w:val="00B80A08"/>
    <w:rsid w:val="00B819B8"/>
    <w:rsid w:val="00B8367F"/>
    <w:rsid w:val="00B8373F"/>
    <w:rsid w:val="00B8418F"/>
    <w:rsid w:val="00B86040"/>
    <w:rsid w:val="00B8712F"/>
    <w:rsid w:val="00B8783A"/>
    <w:rsid w:val="00B90AAA"/>
    <w:rsid w:val="00B90CC3"/>
    <w:rsid w:val="00B91436"/>
    <w:rsid w:val="00B914A4"/>
    <w:rsid w:val="00B91F26"/>
    <w:rsid w:val="00B92E4E"/>
    <w:rsid w:val="00B93553"/>
    <w:rsid w:val="00B93D19"/>
    <w:rsid w:val="00B94CE4"/>
    <w:rsid w:val="00B953FD"/>
    <w:rsid w:val="00B97EC7"/>
    <w:rsid w:val="00BA0A7E"/>
    <w:rsid w:val="00BA1135"/>
    <w:rsid w:val="00BA142D"/>
    <w:rsid w:val="00BA2DB3"/>
    <w:rsid w:val="00BA355D"/>
    <w:rsid w:val="00BA45F2"/>
    <w:rsid w:val="00BA5BA8"/>
    <w:rsid w:val="00BA70D5"/>
    <w:rsid w:val="00BA7B16"/>
    <w:rsid w:val="00BB05EA"/>
    <w:rsid w:val="00BB15B7"/>
    <w:rsid w:val="00BB1B29"/>
    <w:rsid w:val="00BB1D41"/>
    <w:rsid w:val="00BB3F75"/>
    <w:rsid w:val="00BB4472"/>
    <w:rsid w:val="00BB5719"/>
    <w:rsid w:val="00BB5B25"/>
    <w:rsid w:val="00BB5C05"/>
    <w:rsid w:val="00BB5E77"/>
    <w:rsid w:val="00BB5E8D"/>
    <w:rsid w:val="00BB5FE8"/>
    <w:rsid w:val="00BB75C7"/>
    <w:rsid w:val="00BC1841"/>
    <w:rsid w:val="00BC263A"/>
    <w:rsid w:val="00BC2A2D"/>
    <w:rsid w:val="00BC3304"/>
    <w:rsid w:val="00BC3860"/>
    <w:rsid w:val="00BC39E2"/>
    <w:rsid w:val="00BC412A"/>
    <w:rsid w:val="00BC572F"/>
    <w:rsid w:val="00BC5BC2"/>
    <w:rsid w:val="00BC697A"/>
    <w:rsid w:val="00BC6D31"/>
    <w:rsid w:val="00BC6DFC"/>
    <w:rsid w:val="00BC77CE"/>
    <w:rsid w:val="00BC7809"/>
    <w:rsid w:val="00BD0963"/>
    <w:rsid w:val="00BD0C92"/>
    <w:rsid w:val="00BD0F20"/>
    <w:rsid w:val="00BD1166"/>
    <w:rsid w:val="00BD2227"/>
    <w:rsid w:val="00BD243B"/>
    <w:rsid w:val="00BD2933"/>
    <w:rsid w:val="00BD3070"/>
    <w:rsid w:val="00BD4773"/>
    <w:rsid w:val="00BD4B79"/>
    <w:rsid w:val="00BD6D9A"/>
    <w:rsid w:val="00BD7894"/>
    <w:rsid w:val="00BD7B4D"/>
    <w:rsid w:val="00BE0DE8"/>
    <w:rsid w:val="00BE1030"/>
    <w:rsid w:val="00BE1B4D"/>
    <w:rsid w:val="00BE3804"/>
    <w:rsid w:val="00BE3A50"/>
    <w:rsid w:val="00BE5158"/>
    <w:rsid w:val="00BE556D"/>
    <w:rsid w:val="00BE5691"/>
    <w:rsid w:val="00BF06F6"/>
    <w:rsid w:val="00BF1A19"/>
    <w:rsid w:val="00BF52F3"/>
    <w:rsid w:val="00BF5E98"/>
    <w:rsid w:val="00BF75B9"/>
    <w:rsid w:val="00C0037B"/>
    <w:rsid w:val="00C0063D"/>
    <w:rsid w:val="00C0143B"/>
    <w:rsid w:val="00C014A4"/>
    <w:rsid w:val="00C023B5"/>
    <w:rsid w:val="00C02678"/>
    <w:rsid w:val="00C02ABD"/>
    <w:rsid w:val="00C02F23"/>
    <w:rsid w:val="00C04CA1"/>
    <w:rsid w:val="00C056A8"/>
    <w:rsid w:val="00C06A38"/>
    <w:rsid w:val="00C0730A"/>
    <w:rsid w:val="00C074F8"/>
    <w:rsid w:val="00C1083E"/>
    <w:rsid w:val="00C10841"/>
    <w:rsid w:val="00C113FB"/>
    <w:rsid w:val="00C12508"/>
    <w:rsid w:val="00C13289"/>
    <w:rsid w:val="00C13309"/>
    <w:rsid w:val="00C13391"/>
    <w:rsid w:val="00C1401C"/>
    <w:rsid w:val="00C14047"/>
    <w:rsid w:val="00C142B1"/>
    <w:rsid w:val="00C156C9"/>
    <w:rsid w:val="00C15F79"/>
    <w:rsid w:val="00C16B72"/>
    <w:rsid w:val="00C1753B"/>
    <w:rsid w:val="00C17F7D"/>
    <w:rsid w:val="00C20553"/>
    <w:rsid w:val="00C20F5E"/>
    <w:rsid w:val="00C22391"/>
    <w:rsid w:val="00C22F33"/>
    <w:rsid w:val="00C237DD"/>
    <w:rsid w:val="00C2396A"/>
    <w:rsid w:val="00C240AF"/>
    <w:rsid w:val="00C2530D"/>
    <w:rsid w:val="00C2588E"/>
    <w:rsid w:val="00C26F11"/>
    <w:rsid w:val="00C27537"/>
    <w:rsid w:val="00C27F9D"/>
    <w:rsid w:val="00C32935"/>
    <w:rsid w:val="00C32CA9"/>
    <w:rsid w:val="00C3505C"/>
    <w:rsid w:val="00C357C6"/>
    <w:rsid w:val="00C36DF4"/>
    <w:rsid w:val="00C3703E"/>
    <w:rsid w:val="00C37615"/>
    <w:rsid w:val="00C37FC4"/>
    <w:rsid w:val="00C419B2"/>
    <w:rsid w:val="00C41F18"/>
    <w:rsid w:val="00C420D2"/>
    <w:rsid w:val="00C424E8"/>
    <w:rsid w:val="00C4365E"/>
    <w:rsid w:val="00C43BE2"/>
    <w:rsid w:val="00C4501B"/>
    <w:rsid w:val="00C453B7"/>
    <w:rsid w:val="00C50AAB"/>
    <w:rsid w:val="00C50E21"/>
    <w:rsid w:val="00C515D4"/>
    <w:rsid w:val="00C51ACF"/>
    <w:rsid w:val="00C5253B"/>
    <w:rsid w:val="00C52F17"/>
    <w:rsid w:val="00C5384F"/>
    <w:rsid w:val="00C53A3D"/>
    <w:rsid w:val="00C53E4F"/>
    <w:rsid w:val="00C549FC"/>
    <w:rsid w:val="00C56F04"/>
    <w:rsid w:val="00C61432"/>
    <w:rsid w:val="00C61582"/>
    <w:rsid w:val="00C61B81"/>
    <w:rsid w:val="00C64854"/>
    <w:rsid w:val="00C64960"/>
    <w:rsid w:val="00C64ECE"/>
    <w:rsid w:val="00C65C59"/>
    <w:rsid w:val="00C66311"/>
    <w:rsid w:val="00C674B0"/>
    <w:rsid w:val="00C67AD6"/>
    <w:rsid w:val="00C707BF"/>
    <w:rsid w:val="00C70B3D"/>
    <w:rsid w:val="00C7142E"/>
    <w:rsid w:val="00C715D3"/>
    <w:rsid w:val="00C71B12"/>
    <w:rsid w:val="00C72117"/>
    <w:rsid w:val="00C75582"/>
    <w:rsid w:val="00C777A1"/>
    <w:rsid w:val="00C77E57"/>
    <w:rsid w:val="00C804CD"/>
    <w:rsid w:val="00C83246"/>
    <w:rsid w:val="00C84B6F"/>
    <w:rsid w:val="00C8570B"/>
    <w:rsid w:val="00C85C48"/>
    <w:rsid w:val="00C85F52"/>
    <w:rsid w:val="00C86EEA"/>
    <w:rsid w:val="00C87063"/>
    <w:rsid w:val="00C90E53"/>
    <w:rsid w:val="00C912D6"/>
    <w:rsid w:val="00C92354"/>
    <w:rsid w:val="00C92B0F"/>
    <w:rsid w:val="00C92F2F"/>
    <w:rsid w:val="00C9447C"/>
    <w:rsid w:val="00C952E5"/>
    <w:rsid w:val="00C965F7"/>
    <w:rsid w:val="00CA185B"/>
    <w:rsid w:val="00CA188C"/>
    <w:rsid w:val="00CA25E5"/>
    <w:rsid w:val="00CA2618"/>
    <w:rsid w:val="00CA293F"/>
    <w:rsid w:val="00CA2C06"/>
    <w:rsid w:val="00CA2C2A"/>
    <w:rsid w:val="00CA2EC6"/>
    <w:rsid w:val="00CA3654"/>
    <w:rsid w:val="00CA38A8"/>
    <w:rsid w:val="00CA47E6"/>
    <w:rsid w:val="00CA4849"/>
    <w:rsid w:val="00CA63D3"/>
    <w:rsid w:val="00CA6CDB"/>
    <w:rsid w:val="00CA75E3"/>
    <w:rsid w:val="00CB025C"/>
    <w:rsid w:val="00CB0779"/>
    <w:rsid w:val="00CB0B97"/>
    <w:rsid w:val="00CB141F"/>
    <w:rsid w:val="00CB236A"/>
    <w:rsid w:val="00CB3BF6"/>
    <w:rsid w:val="00CB464D"/>
    <w:rsid w:val="00CB51DC"/>
    <w:rsid w:val="00CB5545"/>
    <w:rsid w:val="00CB5A57"/>
    <w:rsid w:val="00CB6F31"/>
    <w:rsid w:val="00CB70EC"/>
    <w:rsid w:val="00CB74A8"/>
    <w:rsid w:val="00CB7FAA"/>
    <w:rsid w:val="00CC28A2"/>
    <w:rsid w:val="00CC2A65"/>
    <w:rsid w:val="00CC2B80"/>
    <w:rsid w:val="00CC3855"/>
    <w:rsid w:val="00CC42A2"/>
    <w:rsid w:val="00CC44C7"/>
    <w:rsid w:val="00CC7F21"/>
    <w:rsid w:val="00CD084F"/>
    <w:rsid w:val="00CD0CDF"/>
    <w:rsid w:val="00CD18F2"/>
    <w:rsid w:val="00CD1923"/>
    <w:rsid w:val="00CD20C3"/>
    <w:rsid w:val="00CD2E4D"/>
    <w:rsid w:val="00CD3436"/>
    <w:rsid w:val="00CD49F8"/>
    <w:rsid w:val="00CD5131"/>
    <w:rsid w:val="00CD683C"/>
    <w:rsid w:val="00CD6F65"/>
    <w:rsid w:val="00CE0E54"/>
    <w:rsid w:val="00CE18CD"/>
    <w:rsid w:val="00CE1946"/>
    <w:rsid w:val="00CE196D"/>
    <w:rsid w:val="00CE1DA7"/>
    <w:rsid w:val="00CE1FF5"/>
    <w:rsid w:val="00CE265A"/>
    <w:rsid w:val="00CE2795"/>
    <w:rsid w:val="00CE32B1"/>
    <w:rsid w:val="00CE3819"/>
    <w:rsid w:val="00CE3CAC"/>
    <w:rsid w:val="00CE41BE"/>
    <w:rsid w:val="00CE4298"/>
    <w:rsid w:val="00CE4AB8"/>
    <w:rsid w:val="00CF0616"/>
    <w:rsid w:val="00CF0EB3"/>
    <w:rsid w:val="00CF1E81"/>
    <w:rsid w:val="00CF2ACF"/>
    <w:rsid w:val="00CF3D12"/>
    <w:rsid w:val="00CF4D7F"/>
    <w:rsid w:val="00CF5EFB"/>
    <w:rsid w:val="00CF6113"/>
    <w:rsid w:val="00CF7BE2"/>
    <w:rsid w:val="00D008A2"/>
    <w:rsid w:val="00D01EA6"/>
    <w:rsid w:val="00D02234"/>
    <w:rsid w:val="00D0260C"/>
    <w:rsid w:val="00D029AA"/>
    <w:rsid w:val="00D02FAD"/>
    <w:rsid w:val="00D04E7B"/>
    <w:rsid w:val="00D05866"/>
    <w:rsid w:val="00D05E99"/>
    <w:rsid w:val="00D072BE"/>
    <w:rsid w:val="00D07A7A"/>
    <w:rsid w:val="00D10CAB"/>
    <w:rsid w:val="00D11758"/>
    <w:rsid w:val="00D1197B"/>
    <w:rsid w:val="00D13574"/>
    <w:rsid w:val="00D14BC6"/>
    <w:rsid w:val="00D14F05"/>
    <w:rsid w:val="00D15226"/>
    <w:rsid w:val="00D15FAD"/>
    <w:rsid w:val="00D1687D"/>
    <w:rsid w:val="00D17626"/>
    <w:rsid w:val="00D20344"/>
    <w:rsid w:val="00D2143A"/>
    <w:rsid w:val="00D22B1C"/>
    <w:rsid w:val="00D2313A"/>
    <w:rsid w:val="00D234BA"/>
    <w:rsid w:val="00D23871"/>
    <w:rsid w:val="00D2422D"/>
    <w:rsid w:val="00D24368"/>
    <w:rsid w:val="00D24523"/>
    <w:rsid w:val="00D24B7A"/>
    <w:rsid w:val="00D260B3"/>
    <w:rsid w:val="00D2659E"/>
    <w:rsid w:val="00D26651"/>
    <w:rsid w:val="00D272B5"/>
    <w:rsid w:val="00D27758"/>
    <w:rsid w:val="00D27A8E"/>
    <w:rsid w:val="00D309FB"/>
    <w:rsid w:val="00D31385"/>
    <w:rsid w:val="00D32619"/>
    <w:rsid w:val="00D32639"/>
    <w:rsid w:val="00D3386E"/>
    <w:rsid w:val="00D33D39"/>
    <w:rsid w:val="00D341A0"/>
    <w:rsid w:val="00D34355"/>
    <w:rsid w:val="00D35EE8"/>
    <w:rsid w:val="00D36560"/>
    <w:rsid w:val="00D40900"/>
    <w:rsid w:val="00D41CF8"/>
    <w:rsid w:val="00D44221"/>
    <w:rsid w:val="00D446C8"/>
    <w:rsid w:val="00D44B0E"/>
    <w:rsid w:val="00D455FB"/>
    <w:rsid w:val="00D45FE7"/>
    <w:rsid w:val="00D463CC"/>
    <w:rsid w:val="00D507FA"/>
    <w:rsid w:val="00D509ED"/>
    <w:rsid w:val="00D509FA"/>
    <w:rsid w:val="00D50A7A"/>
    <w:rsid w:val="00D51406"/>
    <w:rsid w:val="00D52DCE"/>
    <w:rsid w:val="00D535A8"/>
    <w:rsid w:val="00D535E2"/>
    <w:rsid w:val="00D540E6"/>
    <w:rsid w:val="00D54CDE"/>
    <w:rsid w:val="00D55F89"/>
    <w:rsid w:val="00D5607D"/>
    <w:rsid w:val="00D56A56"/>
    <w:rsid w:val="00D56C1C"/>
    <w:rsid w:val="00D57A09"/>
    <w:rsid w:val="00D57F55"/>
    <w:rsid w:val="00D6233D"/>
    <w:rsid w:val="00D629BE"/>
    <w:rsid w:val="00D63FCA"/>
    <w:rsid w:val="00D64040"/>
    <w:rsid w:val="00D64390"/>
    <w:rsid w:val="00D645A3"/>
    <w:rsid w:val="00D649D5"/>
    <w:rsid w:val="00D65712"/>
    <w:rsid w:val="00D6605D"/>
    <w:rsid w:val="00D672DE"/>
    <w:rsid w:val="00D67663"/>
    <w:rsid w:val="00D701D5"/>
    <w:rsid w:val="00D70365"/>
    <w:rsid w:val="00D703E5"/>
    <w:rsid w:val="00D70C3D"/>
    <w:rsid w:val="00D71048"/>
    <w:rsid w:val="00D7144E"/>
    <w:rsid w:val="00D7154D"/>
    <w:rsid w:val="00D7487D"/>
    <w:rsid w:val="00D750AF"/>
    <w:rsid w:val="00D75979"/>
    <w:rsid w:val="00D7601C"/>
    <w:rsid w:val="00D77478"/>
    <w:rsid w:val="00D7772A"/>
    <w:rsid w:val="00D818F7"/>
    <w:rsid w:val="00D81B9E"/>
    <w:rsid w:val="00D82551"/>
    <w:rsid w:val="00D827D2"/>
    <w:rsid w:val="00D836B4"/>
    <w:rsid w:val="00D836DC"/>
    <w:rsid w:val="00D83F5A"/>
    <w:rsid w:val="00D84B8C"/>
    <w:rsid w:val="00D85790"/>
    <w:rsid w:val="00D903D6"/>
    <w:rsid w:val="00D90B40"/>
    <w:rsid w:val="00D934DB"/>
    <w:rsid w:val="00D9469B"/>
    <w:rsid w:val="00D9491C"/>
    <w:rsid w:val="00D97E7A"/>
    <w:rsid w:val="00DA010B"/>
    <w:rsid w:val="00DA12A1"/>
    <w:rsid w:val="00DA2C8B"/>
    <w:rsid w:val="00DA3547"/>
    <w:rsid w:val="00DA3B56"/>
    <w:rsid w:val="00DA48C5"/>
    <w:rsid w:val="00DA4B32"/>
    <w:rsid w:val="00DA5E04"/>
    <w:rsid w:val="00DA72F2"/>
    <w:rsid w:val="00DA7AD7"/>
    <w:rsid w:val="00DB0037"/>
    <w:rsid w:val="00DB0937"/>
    <w:rsid w:val="00DB0D7C"/>
    <w:rsid w:val="00DB25D0"/>
    <w:rsid w:val="00DB2E37"/>
    <w:rsid w:val="00DB4879"/>
    <w:rsid w:val="00DB4FD2"/>
    <w:rsid w:val="00DB5AD7"/>
    <w:rsid w:val="00DB6545"/>
    <w:rsid w:val="00DB7CA5"/>
    <w:rsid w:val="00DC0F23"/>
    <w:rsid w:val="00DC1E5C"/>
    <w:rsid w:val="00DC1E73"/>
    <w:rsid w:val="00DC21CA"/>
    <w:rsid w:val="00DC29F7"/>
    <w:rsid w:val="00DC3167"/>
    <w:rsid w:val="00DC4344"/>
    <w:rsid w:val="00DC4B78"/>
    <w:rsid w:val="00DC562C"/>
    <w:rsid w:val="00DC5965"/>
    <w:rsid w:val="00DC5E60"/>
    <w:rsid w:val="00DC675C"/>
    <w:rsid w:val="00DC725E"/>
    <w:rsid w:val="00DC7CC0"/>
    <w:rsid w:val="00DD01F9"/>
    <w:rsid w:val="00DD02C7"/>
    <w:rsid w:val="00DD2A4A"/>
    <w:rsid w:val="00DD2ECC"/>
    <w:rsid w:val="00DD5546"/>
    <w:rsid w:val="00DD6156"/>
    <w:rsid w:val="00DE0D56"/>
    <w:rsid w:val="00DE19F8"/>
    <w:rsid w:val="00DE29D6"/>
    <w:rsid w:val="00DE307F"/>
    <w:rsid w:val="00DE4B13"/>
    <w:rsid w:val="00DE545B"/>
    <w:rsid w:val="00DE6431"/>
    <w:rsid w:val="00DE67F3"/>
    <w:rsid w:val="00DE6BBB"/>
    <w:rsid w:val="00DE74D0"/>
    <w:rsid w:val="00DE77D1"/>
    <w:rsid w:val="00DE7E43"/>
    <w:rsid w:val="00DF0C7D"/>
    <w:rsid w:val="00DF1BA1"/>
    <w:rsid w:val="00DF2A77"/>
    <w:rsid w:val="00DF2E67"/>
    <w:rsid w:val="00DF3536"/>
    <w:rsid w:val="00DF3CDF"/>
    <w:rsid w:val="00DF4160"/>
    <w:rsid w:val="00DF464C"/>
    <w:rsid w:val="00E007A6"/>
    <w:rsid w:val="00E020DF"/>
    <w:rsid w:val="00E02DF3"/>
    <w:rsid w:val="00E057D7"/>
    <w:rsid w:val="00E079C6"/>
    <w:rsid w:val="00E10334"/>
    <w:rsid w:val="00E11131"/>
    <w:rsid w:val="00E117AB"/>
    <w:rsid w:val="00E11FFE"/>
    <w:rsid w:val="00E123E5"/>
    <w:rsid w:val="00E12D0C"/>
    <w:rsid w:val="00E13BA4"/>
    <w:rsid w:val="00E14B20"/>
    <w:rsid w:val="00E14F8C"/>
    <w:rsid w:val="00E1579A"/>
    <w:rsid w:val="00E159AE"/>
    <w:rsid w:val="00E15B4D"/>
    <w:rsid w:val="00E15D52"/>
    <w:rsid w:val="00E16CBC"/>
    <w:rsid w:val="00E17F5A"/>
    <w:rsid w:val="00E210D4"/>
    <w:rsid w:val="00E22076"/>
    <w:rsid w:val="00E2208D"/>
    <w:rsid w:val="00E220C0"/>
    <w:rsid w:val="00E22376"/>
    <w:rsid w:val="00E225AA"/>
    <w:rsid w:val="00E22EA8"/>
    <w:rsid w:val="00E22FB9"/>
    <w:rsid w:val="00E2516A"/>
    <w:rsid w:val="00E252B5"/>
    <w:rsid w:val="00E2624B"/>
    <w:rsid w:val="00E26E5F"/>
    <w:rsid w:val="00E26F52"/>
    <w:rsid w:val="00E30670"/>
    <w:rsid w:val="00E32328"/>
    <w:rsid w:val="00E33C3A"/>
    <w:rsid w:val="00E3440F"/>
    <w:rsid w:val="00E3499B"/>
    <w:rsid w:val="00E3507F"/>
    <w:rsid w:val="00E35A47"/>
    <w:rsid w:val="00E369B2"/>
    <w:rsid w:val="00E4035D"/>
    <w:rsid w:val="00E422ED"/>
    <w:rsid w:val="00E426CB"/>
    <w:rsid w:val="00E427D2"/>
    <w:rsid w:val="00E436B5"/>
    <w:rsid w:val="00E43F71"/>
    <w:rsid w:val="00E44043"/>
    <w:rsid w:val="00E44EA0"/>
    <w:rsid w:val="00E45D60"/>
    <w:rsid w:val="00E46CE8"/>
    <w:rsid w:val="00E46E25"/>
    <w:rsid w:val="00E47144"/>
    <w:rsid w:val="00E47A0E"/>
    <w:rsid w:val="00E47B65"/>
    <w:rsid w:val="00E47F19"/>
    <w:rsid w:val="00E516AD"/>
    <w:rsid w:val="00E518B4"/>
    <w:rsid w:val="00E5225C"/>
    <w:rsid w:val="00E53344"/>
    <w:rsid w:val="00E54A79"/>
    <w:rsid w:val="00E54FC8"/>
    <w:rsid w:val="00E55077"/>
    <w:rsid w:val="00E55482"/>
    <w:rsid w:val="00E55753"/>
    <w:rsid w:val="00E559CC"/>
    <w:rsid w:val="00E55A3D"/>
    <w:rsid w:val="00E55B79"/>
    <w:rsid w:val="00E55F75"/>
    <w:rsid w:val="00E56B08"/>
    <w:rsid w:val="00E57305"/>
    <w:rsid w:val="00E57A11"/>
    <w:rsid w:val="00E607F0"/>
    <w:rsid w:val="00E60BB3"/>
    <w:rsid w:val="00E63175"/>
    <w:rsid w:val="00E637E3"/>
    <w:rsid w:val="00E63905"/>
    <w:rsid w:val="00E6488C"/>
    <w:rsid w:val="00E66292"/>
    <w:rsid w:val="00E6679E"/>
    <w:rsid w:val="00E667AF"/>
    <w:rsid w:val="00E6782B"/>
    <w:rsid w:val="00E70B80"/>
    <w:rsid w:val="00E70E98"/>
    <w:rsid w:val="00E714A0"/>
    <w:rsid w:val="00E72510"/>
    <w:rsid w:val="00E7318B"/>
    <w:rsid w:val="00E7378D"/>
    <w:rsid w:val="00E73832"/>
    <w:rsid w:val="00E739B9"/>
    <w:rsid w:val="00E73E0A"/>
    <w:rsid w:val="00E74B72"/>
    <w:rsid w:val="00E82EDA"/>
    <w:rsid w:val="00E82EE6"/>
    <w:rsid w:val="00E84465"/>
    <w:rsid w:val="00E847F6"/>
    <w:rsid w:val="00E85284"/>
    <w:rsid w:val="00E85721"/>
    <w:rsid w:val="00E858F0"/>
    <w:rsid w:val="00E8755C"/>
    <w:rsid w:val="00E90868"/>
    <w:rsid w:val="00E92033"/>
    <w:rsid w:val="00E924DC"/>
    <w:rsid w:val="00E92D31"/>
    <w:rsid w:val="00E9628E"/>
    <w:rsid w:val="00E97041"/>
    <w:rsid w:val="00E97BAE"/>
    <w:rsid w:val="00EA0072"/>
    <w:rsid w:val="00EA14C7"/>
    <w:rsid w:val="00EA1A93"/>
    <w:rsid w:val="00EA2359"/>
    <w:rsid w:val="00EA3548"/>
    <w:rsid w:val="00EA42AA"/>
    <w:rsid w:val="00EA4691"/>
    <w:rsid w:val="00EA5940"/>
    <w:rsid w:val="00EA5D1C"/>
    <w:rsid w:val="00EA61D3"/>
    <w:rsid w:val="00EA6235"/>
    <w:rsid w:val="00EA6944"/>
    <w:rsid w:val="00EA7204"/>
    <w:rsid w:val="00EB636B"/>
    <w:rsid w:val="00EB64F5"/>
    <w:rsid w:val="00EB6ABA"/>
    <w:rsid w:val="00EB6CA1"/>
    <w:rsid w:val="00EB6F27"/>
    <w:rsid w:val="00EB736E"/>
    <w:rsid w:val="00EB7C16"/>
    <w:rsid w:val="00EC0A68"/>
    <w:rsid w:val="00EC113B"/>
    <w:rsid w:val="00EC18C2"/>
    <w:rsid w:val="00EC1BFD"/>
    <w:rsid w:val="00EC1C07"/>
    <w:rsid w:val="00EC3D7A"/>
    <w:rsid w:val="00EC5942"/>
    <w:rsid w:val="00EC6683"/>
    <w:rsid w:val="00EC6CA0"/>
    <w:rsid w:val="00EC6DE6"/>
    <w:rsid w:val="00EC7720"/>
    <w:rsid w:val="00EC7EC7"/>
    <w:rsid w:val="00ED03F4"/>
    <w:rsid w:val="00ED046E"/>
    <w:rsid w:val="00ED0AAE"/>
    <w:rsid w:val="00ED0BE2"/>
    <w:rsid w:val="00ED0D42"/>
    <w:rsid w:val="00ED196B"/>
    <w:rsid w:val="00ED1BC3"/>
    <w:rsid w:val="00ED217F"/>
    <w:rsid w:val="00ED2A0C"/>
    <w:rsid w:val="00ED328E"/>
    <w:rsid w:val="00ED3392"/>
    <w:rsid w:val="00ED3462"/>
    <w:rsid w:val="00ED36AB"/>
    <w:rsid w:val="00ED3979"/>
    <w:rsid w:val="00ED5AB8"/>
    <w:rsid w:val="00ED6D59"/>
    <w:rsid w:val="00EE12CD"/>
    <w:rsid w:val="00EE1A8B"/>
    <w:rsid w:val="00EE26BA"/>
    <w:rsid w:val="00EE29DF"/>
    <w:rsid w:val="00EE2CFF"/>
    <w:rsid w:val="00EE33C7"/>
    <w:rsid w:val="00EE4228"/>
    <w:rsid w:val="00EE5884"/>
    <w:rsid w:val="00EE5DAF"/>
    <w:rsid w:val="00EE6CF0"/>
    <w:rsid w:val="00EE7C4A"/>
    <w:rsid w:val="00EE7C7E"/>
    <w:rsid w:val="00EF09B7"/>
    <w:rsid w:val="00EF0D11"/>
    <w:rsid w:val="00EF202A"/>
    <w:rsid w:val="00EF2332"/>
    <w:rsid w:val="00EF2EAB"/>
    <w:rsid w:val="00EF562E"/>
    <w:rsid w:val="00EF6010"/>
    <w:rsid w:val="00EF6459"/>
    <w:rsid w:val="00EF7295"/>
    <w:rsid w:val="00EF7A8F"/>
    <w:rsid w:val="00EF7CE8"/>
    <w:rsid w:val="00F012EB"/>
    <w:rsid w:val="00F03A81"/>
    <w:rsid w:val="00F0424F"/>
    <w:rsid w:val="00F04F04"/>
    <w:rsid w:val="00F053E3"/>
    <w:rsid w:val="00F0592B"/>
    <w:rsid w:val="00F06549"/>
    <w:rsid w:val="00F07112"/>
    <w:rsid w:val="00F10EC4"/>
    <w:rsid w:val="00F12543"/>
    <w:rsid w:val="00F13DF3"/>
    <w:rsid w:val="00F1401D"/>
    <w:rsid w:val="00F14834"/>
    <w:rsid w:val="00F15D28"/>
    <w:rsid w:val="00F16139"/>
    <w:rsid w:val="00F163C9"/>
    <w:rsid w:val="00F17ABE"/>
    <w:rsid w:val="00F235FB"/>
    <w:rsid w:val="00F2412D"/>
    <w:rsid w:val="00F25444"/>
    <w:rsid w:val="00F25521"/>
    <w:rsid w:val="00F25B95"/>
    <w:rsid w:val="00F2687B"/>
    <w:rsid w:val="00F3169A"/>
    <w:rsid w:val="00F3301B"/>
    <w:rsid w:val="00F33A05"/>
    <w:rsid w:val="00F33A0C"/>
    <w:rsid w:val="00F33B7B"/>
    <w:rsid w:val="00F34AAD"/>
    <w:rsid w:val="00F34F06"/>
    <w:rsid w:val="00F352C1"/>
    <w:rsid w:val="00F366B9"/>
    <w:rsid w:val="00F3792A"/>
    <w:rsid w:val="00F4005A"/>
    <w:rsid w:val="00F4427A"/>
    <w:rsid w:val="00F448F0"/>
    <w:rsid w:val="00F467B7"/>
    <w:rsid w:val="00F46D7E"/>
    <w:rsid w:val="00F470E2"/>
    <w:rsid w:val="00F50748"/>
    <w:rsid w:val="00F5193B"/>
    <w:rsid w:val="00F51B39"/>
    <w:rsid w:val="00F53880"/>
    <w:rsid w:val="00F53F1F"/>
    <w:rsid w:val="00F5425C"/>
    <w:rsid w:val="00F54DC8"/>
    <w:rsid w:val="00F552AE"/>
    <w:rsid w:val="00F55AA1"/>
    <w:rsid w:val="00F55D39"/>
    <w:rsid w:val="00F61132"/>
    <w:rsid w:val="00F612F7"/>
    <w:rsid w:val="00F613E9"/>
    <w:rsid w:val="00F614C6"/>
    <w:rsid w:val="00F61ABE"/>
    <w:rsid w:val="00F62AE7"/>
    <w:rsid w:val="00F62DAD"/>
    <w:rsid w:val="00F637CF"/>
    <w:rsid w:val="00F6454D"/>
    <w:rsid w:val="00F64AE7"/>
    <w:rsid w:val="00F653AB"/>
    <w:rsid w:val="00F65E91"/>
    <w:rsid w:val="00F673CF"/>
    <w:rsid w:val="00F6780B"/>
    <w:rsid w:val="00F70240"/>
    <w:rsid w:val="00F710DF"/>
    <w:rsid w:val="00F7196D"/>
    <w:rsid w:val="00F720EC"/>
    <w:rsid w:val="00F72875"/>
    <w:rsid w:val="00F72B3A"/>
    <w:rsid w:val="00F7327B"/>
    <w:rsid w:val="00F741A1"/>
    <w:rsid w:val="00F75FAA"/>
    <w:rsid w:val="00F76BF8"/>
    <w:rsid w:val="00F773CD"/>
    <w:rsid w:val="00F80AF4"/>
    <w:rsid w:val="00F8106D"/>
    <w:rsid w:val="00F8195B"/>
    <w:rsid w:val="00F81980"/>
    <w:rsid w:val="00F8207A"/>
    <w:rsid w:val="00F823B5"/>
    <w:rsid w:val="00F8263D"/>
    <w:rsid w:val="00F82F06"/>
    <w:rsid w:val="00F8350F"/>
    <w:rsid w:val="00F838D9"/>
    <w:rsid w:val="00F85070"/>
    <w:rsid w:val="00F85A66"/>
    <w:rsid w:val="00F85C02"/>
    <w:rsid w:val="00F85C4B"/>
    <w:rsid w:val="00F862DD"/>
    <w:rsid w:val="00F868FC"/>
    <w:rsid w:val="00F8713B"/>
    <w:rsid w:val="00F90D9A"/>
    <w:rsid w:val="00F91E90"/>
    <w:rsid w:val="00F928A3"/>
    <w:rsid w:val="00F92A51"/>
    <w:rsid w:val="00F949A1"/>
    <w:rsid w:val="00F95127"/>
    <w:rsid w:val="00F9568A"/>
    <w:rsid w:val="00F965AF"/>
    <w:rsid w:val="00F96D52"/>
    <w:rsid w:val="00F9787B"/>
    <w:rsid w:val="00F97897"/>
    <w:rsid w:val="00FA019A"/>
    <w:rsid w:val="00FA04D1"/>
    <w:rsid w:val="00FA2719"/>
    <w:rsid w:val="00FA2756"/>
    <w:rsid w:val="00FA2FB2"/>
    <w:rsid w:val="00FA38E6"/>
    <w:rsid w:val="00FA4596"/>
    <w:rsid w:val="00FA5CEF"/>
    <w:rsid w:val="00FA61C0"/>
    <w:rsid w:val="00FA6BD3"/>
    <w:rsid w:val="00FA7025"/>
    <w:rsid w:val="00FA7E19"/>
    <w:rsid w:val="00FB054A"/>
    <w:rsid w:val="00FB200E"/>
    <w:rsid w:val="00FB41E1"/>
    <w:rsid w:val="00FB44C8"/>
    <w:rsid w:val="00FB46B4"/>
    <w:rsid w:val="00FB4CB7"/>
    <w:rsid w:val="00FB60CF"/>
    <w:rsid w:val="00FB6631"/>
    <w:rsid w:val="00FB6DA1"/>
    <w:rsid w:val="00FC0D84"/>
    <w:rsid w:val="00FC2EE5"/>
    <w:rsid w:val="00FC2EF4"/>
    <w:rsid w:val="00FC2FE5"/>
    <w:rsid w:val="00FC31E3"/>
    <w:rsid w:val="00FC34E8"/>
    <w:rsid w:val="00FC3B89"/>
    <w:rsid w:val="00FC54E1"/>
    <w:rsid w:val="00FC57E2"/>
    <w:rsid w:val="00FC5886"/>
    <w:rsid w:val="00FC6609"/>
    <w:rsid w:val="00FD1D5F"/>
    <w:rsid w:val="00FD1F03"/>
    <w:rsid w:val="00FD2D1E"/>
    <w:rsid w:val="00FD319E"/>
    <w:rsid w:val="00FD3268"/>
    <w:rsid w:val="00FD67A7"/>
    <w:rsid w:val="00FD7BEC"/>
    <w:rsid w:val="00FE1ACC"/>
    <w:rsid w:val="00FE1FFB"/>
    <w:rsid w:val="00FE21DA"/>
    <w:rsid w:val="00FE2B23"/>
    <w:rsid w:val="00FE2E26"/>
    <w:rsid w:val="00FE3B7D"/>
    <w:rsid w:val="00FE4A7C"/>
    <w:rsid w:val="00FE6103"/>
    <w:rsid w:val="00FE74D3"/>
    <w:rsid w:val="00FE77C7"/>
    <w:rsid w:val="00FF00DE"/>
    <w:rsid w:val="00FF02E6"/>
    <w:rsid w:val="00FF281F"/>
    <w:rsid w:val="00FF28E7"/>
    <w:rsid w:val="00FF38F4"/>
    <w:rsid w:val="00FF3F5A"/>
    <w:rsid w:val="00FF4BB6"/>
    <w:rsid w:val="00FF4FB0"/>
    <w:rsid w:val="00FF60BB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E0D8C"/>
  <w15:chartTrackingRefBased/>
  <w15:docId w15:val="{D20AEDA5-37FD-4019-82FF-E86CA0F9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7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7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7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7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7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7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7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7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7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7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7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7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7E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7E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7E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7E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7E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7E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7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7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7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7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7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7E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7E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7E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7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7E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7EF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1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86E"/>
  </w:style>
  <w:style w:type="paragraph" w:styleId="Piedepgina">
    <w:name w:val="footer"/>
    <w:basedOn w:val="Normal"/>
    <w:link w:val="PiedepginaCar"/>
    <w:uiPriority w:val="99"/>
    <w:unhideWhenUsed/>
    <w:rsid w:val="00271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86E"/>
  </w:style>
  <w:style w:type="character" w:styleId="Hipervnculo">
    <w:name w:val="Hyperlink"/>
    <w:uiPriority w:val="99"/>
    <w:unhideWhenUsed/>
    <w:rsid w:val="005D078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34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B68C2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862381"/>
    <w:rPr>
      <w:b/>
      <w:bCs/>
    </w:rPr>
  </w:style>
  <w:style w:type="character" w:customStyle="1" w:styleId="ui-provider">
    <w:name w:val="ui-provider"/>
    <w:basedOn w:val="Fuentedeprrafopredeter"/>
    <w:rsid w:val="00B57C78"/>
  </w:style>
  <w:style w:type="character" w:styleId="Refdecomentario">
    <w:name w:val="annotation reference"/>
    <w:basedOn w:val="Fuentedeprrafopredeter"/>
    <w:uiPriority w:val="99"/>
    <w:semiHidden/>
    <w:unhideWhenUsed/>
    <w:rsid w:val="00D836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36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36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36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36DC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6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1C2A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bservatoriodelalquiler.org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undacionalquilerseguro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dfe94c-0cad-405c-9c1d-c4b8836841c9">
      <Terms xmlns="http://schemas.microsoft.com/office/infopath/2007/PartnerControls"/>
    </lcf76f155ced4ddcb4097134ff3c332f>
    <TaxCatchAll xmlns="4bdc35ca-d498-4be8-8ca3-0de12fcdb3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30D4C2C3FA2C46A5823140B444E860" ma:contentTypeVersion="15" ma:contentTypeDescription="Crear nuevo documento." ma:contentTypeScope="" ma:versionID="cd2aa36ae150863b6c9c2475db53d65b">
  <xsd:schema xmlns:xsd="http://www.w3.org/2001/XMLSchema" xmlns:xs="http://www.w3.org/2001/XMLSchema" xmlns:p="http://schemas.microsoft.com/office/2006/metadata/properties" xmlns:ns2="99dfe94c-0cad-405c-9c1d-c4b8836841c9" xmlns:ns3="4bdc35ca-d498-4be8-8ca3-0de12fcdb3f1" targetNamespace="http://schemas.microsoft.com/office/2006/metadata/properties" ma:root="true" ma:fieldsID="f15fa9187d3d1d8d5459c4793b8a2128" ns2:_="" ns3:_="">
    <xsd:import namespace="99dfe94c-0cad-405c-9c1d-c4b8836841c9"/>
    <xsd:import namespace="4bdc35ca-d498-4be8-8ca3-0de12fcdb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fe94c-0cad-405c-9c1d-c4b883684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c7a22f14-e6bf-42fb-8733-2126455cb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c35ca-d498-4be8-8ca3-0de12fcdb3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71dbcf6-b935-443d-8293-2932bcb94f36}" ma:internalName="TaxCatchAll" ma:showField="CatchAllData" ma:web="4bdc35ca-d498-4be8-8ca3-0de12fcdb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A03AE-FFBF-4873-98F1-E9C3245E2865}">
  <ds:schemaRefs>
    <ds:schemaRef ds:uri="http://schemas.microsoft.com/office/2006/metadata/properties"/>
    <ds:schemaRef ds:uri="http://schemas.microsoft.com/office/infopath/2007/PartnerControls"/>
    <ds:schemaRef ds:uri="99dfe94c-0cad-405c-9c1d-c4b8836841c9"/>
    <ds:schemaRef ds:uri="4bdc35ca-d498-4be8-8ca3-0de12fcdb3f1"/>
  </ds:schemaRefs>
</ds:datastoreItem>
</file>

<file path=customXml/itemProps2.xml><?xml version="1.0" encoding="utf-8"?>
<ds:datastoreItem xmlns:ds="http://schemas.openxmlformats.org/officeDocument/2006/customXml" ds:itemID="{3AB0E270-76C3-419C-9BA8-B6AC5CBD7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fe94c-0cad-405c-9c1d-c4b8836841c9"/>
    <ds:schemaRef ds:uri="4bdc35ca-d498-4be8-8ca3-0de12fcdb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6B0435-8FF0-42D9-A24A-8D7A9EB2FE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13C34E-5050-4B75-94A9-1BE4AF85F0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1690</Words>
  <Characters>8770</Characters>
  <Application>Microsoft Office Word</Application>
  <DocSecurity>0</DocSecurity>
  <Lines>152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Links>
    <vt:vector size="6" baseType="variant">
      <vt:variant>
        <vt:i4>327774</vt:i4>
      </vt:variant>
      <vt:variant>
        <vt:i4>0</vt:i4>
      </vt:variant>
      <vt:variant>
        <vt:i4>0</vt:i4>
      </vt:variant>
      <vt:variant>
        <vt:i4>5</vt:i4>
      </vt:variant>
      <vt:variant>
        <vt:lpwstr>https://fundacionalquilerseguro.org/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Negrete | Alquiler Seguro</dc:creator>
  <cp:keywords/>
  <dc:description/>
  <cp:lastModifiedBy>Virginia Carrasco |  Alquiler Seguro</cp:lastModifiedBy>
  <cp:revision>33</cp:revision>
  <dcterms:created xsi:type="dcterms:W3CDTF">2026-01-19T17:26:00Z</dcterms:created>
  <dcterms:modified xsi:type="dcterms:W3CDTF">2026-02-03T09:28:00Z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0x010100C630D4C2C3FA2C46A5823140B444E860</vt:lpwstr>
  </property>
  <property fmtid="{D5CDD505-2E9C-101B-9397-08002B2CF9AE}" pid="3" name="MediaServiceImageTags">
    <vt:lpwstr/>
  </property>
</Properties>
</file>