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A07C" w14:textId="6327A747" w:rsidR="00485E7B" w:rsidRDefault="00321EE2" w:rsidP="00A725F3">
      <w:pPr>
        <w:jc w:val="center"/>
        <w:rPr>
          <w:b/>
          <w:bCs/>
        </w:rPr>
      </w:pPr>
      <w:r>
        <w:rPr>
          <w:b/>
          <w:bCs/>
        </w:rPr>
        <w:t>SITUACIÓN DE LA MOROSIDAD EN EL ALQUILER EN ESPAÑA EN 2025</w:t>
      </w:r>
    </w:p>
    <w:p w14:paraId="79DCE466" w14:textId="063EA4DB" w:rsidR="00A725F3" w:rsidRPr="00A160CE" w:rsidRDefault="00CD1773" w:rsidP="00A725F3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El </w:t>
      </w:r>
      <w:r w:rsidR="00EC2C4E">
        <w:rPr>
          <w:sz w:val="22"/>
          <w:szCs w:val="22"/>
        </w:rPr>
        <w:t xml:space="preserve">informe </w:t>
      </w:r>
      <w:r w:rsidR="00EC2C4E" w:rsidRPr="0002419E">
        <w:rPr>
          <w:b/>
          <w:bCs/>
          <w:sz w:val="22"/>
          <w:szCs w:val="22"/>
        </w:rPr>
        <w:t>“Situación de la Morosidad en el Alquiler en España en 2025”</w:t>
      </w:r>
      <w:r w:rsidR="00C96416">
        <w:rPr>
          <w:sz w:val="22"/>
          <w:szCs w:val="22"/>
        </w:rPr>
        <w:t xml:space="preserve">, elaborado por el </w:t>
      </w:r>
      <w:r w:rsidR="00C96416" w:rsidRPr="00A160CE">
        <w:rPr>
          <w:b/>
          <w:bCs/>
          <w:sz w:val="22"/>
          <w:szCs w:val="22"/>
        </w:rPr>
        <w:t>Observatorio del Alquiler, impulsado por la Fundación Alquiler Seguro</w:t>
      </w:r>
      <w:r w:rsidR="00C96416">
        <w:rPr>
          <w:sz w:val="22"/>
          <w:szCs w:val="22"/>
        </w:rPr>
        <w:t xml:space="preserve">, ofrece una radiografía detallada de los impagos en </w:t>
      </w:r>
      <w:r w:rsidR="004E2662">
        <w:rPr>
          <w:sz w:val="22"/>
          <w:szCs w:val="22"/>
        </w:rPr>
        <w:t xml:space="preserve">el alquiler residencial en España </w:t>
      </w:r>
      <w:r w:rsidR="00C96416">
        <w:rPr>
          <w:sz w:val="22"/>
          <w:szCs w:val="22"/>
        </w:rPr>
        <w:t xml:space="preserve">durante el último ejercicio. </w:t>
      </w:r>
      <w:r w:rsidR="00C96416" w:rsidRPr="00A160CE">
        <w:rPr>
          <w:b/>
          <w:bCs/>
          <w:sz w:val="22"/>
          <w:szCs w:val="22"/>
        </w:rPr>
        <w:t xml:space="preserve">El año 2025 consolida una tendencia de crecimiento </w:t>
      </w:r>
      <w:r w:rsidR="00A160CE">
        <w:rPr>
          <w:b/>
          <w:bCs/>
          <w:sz w:val="22"/>
          <w:szCs w:val="22"/>
        </w:rPr>
        <w:t>significativa</w:t>
      </w:r>
      <w:r w:rsidR="00C96416">
        <w:rPr>
          <w:sz w:val="22"/>
          <w:szCs w:val="22"/>
        </w:rPr>
        <w:t xml:space="preserve">, </w:t>
      </w:r>
      <w:r w:rsidR="00C96416" w:rsidRPr="00A160CE">
        <w:rPr>
          <w:b/>
          <w:bCs/>
          <w:sz w:val="22"/>
          <w:szCs w:val="22"/>
        </w:rPr>
        <w:t xml:space="preserve">mercada por el encarecimiento de las rentas y la saturación de la capacidad de pago de los ciudadanos. </w:t>
      </w:r>
    </w:p>
    <w:p w14:paraId="59D30EEA" w14:textId="236714EC" w:rsidR="00C96416" w:rsidRPr="00A160CE" w:rsidRDefault="00396ED5" w:rsidP="00A725F3">
      <w:pPr>
        <w:jc w:val="both"/>
        <w:rPr>
          <w:b/>
          <w:bCs/>
          <w:sz w:val="22"/>
          <w:szCs w:val="22"/>
        </w:rPr>
      </w:pPr>
      <w:r w:rsidRPr="00A160CE">
        <w:rPr>
          <w:b/>
          <w:bCs/>
          <w:sz w:val="22"/>
          <w:szCs w:val="22"/>
        </w:rPr>
        <w:t>PANORAMA NACIONAL</w:t>
      </w:r>
    </w:p>
    <w:p w14:paraId="740AF903" w14:textId="3AB9E664" w:rsidR="00396ED5" w:rsidRPr="00A160CE" w:rsidRDefault="00396ED5" w:rsidP="00A725F3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La </w:t>
      </w:r>
      <w:r w:rsidRPr="00A160CE">
        <w:rPr>
          <w:b/>
          <w:bCs/>
          <w:sz w:val="22"/>
          <w:szCs w:val="22"/>
        </w:rPr>
        <w:t>morosidad media en España</w:t>
      </w:r>
      <w:r>
        <w:rPr>
          <w:sz w:val="22"/>
          <w:szCs w:val="22"/>
        </w:rPr>
        <w:t xml:space="preserve"> ha registrado un </w:t>
      </w:r>
      <w:r w:rsidRPr="00A160CE">
        <w:rPr>
          <w:b/>
          <w:bCs/>
          <w:sz w:val="22"/>
          <w:szCs w:val="22"/>
        </w:rPr>
        <w:t>aumento histórico en el último año</w:t>
      </w:r>
      <w:r>
        <w:rPr>
          <w:sz w:val="22"/>
          <w:szCs w:val="22"/>
        </w:rPr>
        <w:t>, pasando de 7.957,60</w:t>
      </w:r>
      <w:r w:rsidR="00BE6F00" w:rsidRPr="00BE6F00">
        <w:rPr>
          <w:sz w:val="22"/>
          <w:szCs w:val="22"/>
        </w:rPr>
        <w:t>€</w:t>
      </w:r>
      <w:r w:rsidR="00BE6F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 2024 a </w:t>
      </w:r>
      <w:r w:rsidRPr="00A160CE">
        <w:rPr>
          <w:b/>
          <w:bCs/>
          <w:sz w:val="22"/>
          <w:szCs w:val="22"/>
        </w:rPr>
        <w:t>8.</w:t>
      </w:r>
      <w:r w:rsidR="003A229E" w:rsidRPr="00A160CE">
        <w:rPr>
          <w:b/>
          <w:bCs/>
          <w:sz w:val="22"/>
          <w:szCs w:val="22"/>
        </w:rPr>
        <w:t>489,30</w:t>
      </w:r>
      <w:r w:rsidR="00BE6F00" w:rsidRPr="00A160CE">
        <w:rPr>
          <w:b/>
          <w:bCs/>
          <w:sz w:val="22"/>
          <w:szCs w:val="22"/>
        </w:rPr>
        <w:t>€</w:t>
      </w:r>
      <w:r w:rsidR="003A229E" w:rsidRPr="00A160CE">
        <w:rPr>
          <w:b/>
          <w:bCs/>
          <w:sz w:val="22"/>
          <w:szCs w:val="22"/>
        </w:rPr>
        <w:t xml:space="preserve"> en 2025.</w:t>
      </w:r>
    </w:p>
    <w:p w14:paraId="2E172D45" w14:textId="5628AEF7" w:rsidR="003A229E" w:rsidRDefault="003A229E" w:rsidP="00A725F3">
      <w:pPr>
        <w:jc w:val="both"/>
        <w:rPr>
          <w:sz w:val="22"/>
          <w:szCs w:val="22"/>
        </w:rPr>
      </w:pPr>
      <w:r w:rsidRPr="00A160CE">
        <w:rPr>
          <w:b/>
          <w:bCs/>
          <w:sz w:val="22"/>
          <w:szCs w:val="22"/>
        </w:rPr>
        <w:t>El incremento de la morosidad entre 2024 y 2025 ha sido del 16,5%,</w:t>
      </w:r>
      <w:r>
        <w:rPr>
          <w:sz w:val="22"/>
          <w:szCs w:val="22"/>
        </w:rPr>
        <w:t xml:space="preserve"> una cifra que </w:t>
      </w:r>
      <w:r w:rsidRPr="00A160CE">
        <w:rPr>
          <w:b/>
          <w:bCs/>
          <w:sz w:val="22"/>
          <w:szCs w:val="22"/>
        </w:rPr>
        <w:t>triplica la variación del periodo anterior (4,23%).</w:t>
      </w:r>
      <w:r>
        <w:rPr>
          <w:sz w:val="22"/>
          <w:szCs w:val="22"/>
        </w:rPr>
        <w:t xml:space="preserve"> </w:t>
      </w:r>
      <w:r w:rsidR="005C17B2">
        <w:rPr>
          <w:sz w:val="22"/>
          <w:szCs w:val="22"/>
        </w:rPr>
        <w:t>Este aumento</w:t>
      </w:r>
      <w:r w:rsidR="00350474">
        <w:rPr>
          <w:sz w:val="22"/>
          <w:szCs w:val="22"/>
        </w:rPr>
        <w:t>, entre otras cuestiones,</w:t>
      </w:r>
      <w:r w:rsidR="005C17B2">
        <w:rPr>
          <w:sz w:val="22"/>
          <w:szCs w:val="22"/>
        </w:rPr>
        <w:t xml:space="preserve"> se debe a que el precio medio del alquiler en España ha alcanzado en 2025 los 1.18</w:t>
      </w:r>
      <w:r w:rsidR="00BE6F00">
        <w:rPr>
          <w:sz w:val="22"/>
          <w:szCs w:val="22"/>
        </w:rPr>
        <w:t>4</w:t>
      </w:r>
      <w:r w:rsidR="00BE6F00" w:rsidRPr="00BE6F00">
        <w:rPr>
          <w:sz w:val="22"/>
          <w:szCs w:val="22"/>
        </w:rPr>
        <w:t>€</w:t>
      </w:r>
      <w:r w:rsidR="00C046C6">
        <w:rPr>
          <w:sz w:val="22"/>
          <w:szCs w:val="22"/>
        </w:rPr>
        <w:t xml:space="preserve">, </w:t>
      </w:r>
      <w:r w:rsidR="00C046C6" w:rsidRPr="0010543D">
        <w:rPr>
          <w:b/>
          <w:bCs/>
          <w:sz w:val="22"/>
          <w:szCs w:val="22"/>
        </w:rPr>
        <w:t xml:space="preserve">según el Barómetro del Alquiler elaborado por </w:t>
      </w:r>
      <w:r w:rsidR="00350474">
        <w:rPr>
          <w:b/>
          <w:bCs/>
          <w:sz w:val="22"/>
          <w:szCs w:val="22"/>
        </w:rPr>
        <w:t>este mismo</w:t>
      </w:r>
      <w:r w:rsidR="00C046C6" w:rsidRPr="0010543D">
        <w:rPr>
          <w:b/>
          <w:bCs/>
          <w:sz w:val="22"/>
          <w:szCs w:val="22"/>
        </w:rPr>
        <w:t xml:space="preserve"> </w:t>
      </w:r>
      <w:r w:rsidR="00350474">
        <w:rPr>
          <w:b/>
          <w:bCs/>
          <w:sz w:val="22"/>
          <w:szCs w:val="22"/>
        </w:rPr>
        <w:t>O</w:t>
      </w:r>
      <w:r w:rsidR="00C046C6" w:rsidRPr="0010543D">
        <w:rPr>
          <w:b/>
          <w:bCs/>
          <w:sz w:val="22"/>
          <w:szCs w:val="22"/>
        </w:rPr>
        <w:t>bservatorio</w:t>
      </w:r>
      <w:r w:rsidR="005C17B2">
        <w:rPr>
          <w:sz w:val="22"/>
          <w:szCs w:val="22"/>
        </w:rPr>
        <w:t>. El esfuerzo financiero medio de los inquilinos en España para el pago de la renta ha llegado a su límite crítico, situándose en el 34% de sus ingresos mensuales</w:t>
      </w:r>
      <w:r w:rsidR="00C046C6">
        <w:rPr>
          <w:sz w:val="22"/>
          <w:szCs w:val="22"/>
        </w:rPr>
        <w:t xml:space="preserve"> en 2024</w:t>
      </w:r>
      <w:r w:rsidR="005C17B2">
        <w:rPr>
          <w:sz w:val="22"/>
          <w:szCs w:val="22"/>
        </w:rPr>
        <w:t>. Este porcentaje</w:t>
      </w:r>
      <w:r w:rsidR="0010543D">
        <w:rPr>
          <w:sz w:val="22"/>
          <w:szCs w:val="22"/>
        </w:rPr>
        <w:t xml:space="preserve">, que es aún mayor en </w:t>
      </w:r>
      <w:r w:rsidR="00C06A38">
        <w:rPr>
          <w:sz w:val="22"/>
          <w:szCs w:val="22"/>
        </w:rPr>
        <w:t>zonas</w:t>
      </w:r>
      <w:r w:rsidR="0010543D">
        <w:rPr>
          <w:sz w:val="22"/>
          <w:szCs w:val="22"/>
        </w:rPr>
        <w:t xml:space="preserve"> como </w:t>
      </w:r>
      <w:r w:rsidR="00C06A38" w:rsidRPr="00DC1322">
        <w:rPr>
          <w:b/>
          <w:bCs/>
          <w:sz w:val="22"/>
          <w:szCs w:val="22"/>
        </w:rPr>
        <w:t>Guipúzcoa</w:t>
      </w:r>
      <w:r w:rsidR="00C06A38">
        <w:rPr>
          <w:sz w:val="22"/>
          <w:szCs w:val="22"/>
        </w:rPr>
        <w:t xml:space="preserve"> (3</w:t>
      </w:r>
      <w:r w:rsidR="00B66AB7">
        <w:rPr>
          <w:sz w:val="22"/>
          <w:szCs w:val="22"/>
        </w:rPr>
        <w:t>9,4</w:t>
      </w:r>
      <w:r w:rsidR="00C06A38">
        <w:rPr>
          <w:sz w:val="22"/>
          <w:szCs w:val="22"/>
        </w:rPr>
        <w:t xml:space="preserve">%), </w:t>
      </w:r>
      <w:r w:rsidR="00B66AB7" w:rsidRPr="00DC1322">
        <w:rPr>
          <w:b/>
          <w:bCs/>
          <w:sz w:val="22"/>
          <w:szCs w:val="22"/>
        </w:rPr>
        <w:t>Islas Baleares</w:t>
      </w:r>
      <w:r w:rsidR="00B66AB7">
        <w:rPr>
          <w:sz w:val="22"/>
          <w:szCs w:val="22"/>
        </w:rPr>
        <w:t xml:space="preserve"> (39,3%)</w:t>
      </w:r>
      <w:r w:rsidR="00DC1322">
        <w:rPr>
          <w:sz w:val="22"/>
          <w:szCs w:val="22"/>
        </w:rPr>
        <w:t xml:space="preserve"> o </w:t>
      </w:r>
      <w:r w:rsidR="00B66AB7" w:rsidRPr="00DC1322">
        <w:rPr>
          <w:b/>
          <w:bCs/>
          <w:sz w:val="22"/>
          <w:szCs w:val="22"/>
        </w:rPr>
        <w:t>Barcelona</w:t>
      </w:r>
      <w:r w:rsidR="00B66AB7">
        <w:rPr>
          <w:sz w:val="22"/>
          <w:szCs w:val="22"/>
        </w:rPr>
        <w:t xml:space="preserve"> (</w:t>
      </w:r>
      <w:r w:rsidR="00DC1322">
        <w:rPr>
          <w:sz w:val="22"/>
          <w:szCs w:val="22"/>
        </w:rPr>
        <w:t xml:space="preserve">38,3%), </w:t>
      </w:r>
      <w:r w:rsidR="005C17B2">
        <w:rPr>
          <w:sz w:val="22"/>
          <w:szCs w:val="22"/>
        </w:rPr>
        <w:t xml:space="preserve">supera las recomendaciones de estabilidad financiera, aumentando directamente el riesgo de impago estructural. </w:t>
      </w:r>
    </w:p>
    <w:p w14:paraId="700255AE" w14:textId="654EFB00" w:rsidR="00FA17C9" w:rsidRDefault="00FA17C9" w:rsidP="00A725F3">
      <w:pPr>
        <w:jc w:val="both"/>
        <w:rPr>
          <w:b/>
          <w:bCs/>
          <w:sz w:val="22"/>
          <w:szCs w:val="22"/>
        </w:rPr>
      </w:pPr>
      <w:r w:rsidRPr="00FA17C9">
        <w:rPr>
          <w:b/>
          <w:bCs/>
          <w:sz w:val="22"/>
          <w:szCs w:val="22"/>
        </w:rPr>
        <w:t>DIFERENCIAS TERRITORIALES</w:t>
      </w:r>
    </w:p>
    <w:p w14:paraId="7A7C0271" w14:textId="25893933" w:rsidR="00FA17C9" w:rsidRDefault="00FF6119" w:rsidP="00A725F3">
      <w:pPr>
        <w:jc w:val="both"/>
        <w:rPr>
          <w:sz w:val="22"/>
          <w:szCs w:val="22"/>
        </w:rPr>
      </w:pPr>
      <w:r w:rsidRPr="00BB2372">
        <w:rPr>
          <w:sz w:val="22"/>
          <w:szCs w:val="22"/>
        </w:rPr>
        <w:t xml:space="preserve">El análisis territorial de 2025 confirma una brecha persistente en el mercado del alquiler español, donde la cuantía de la deuda está directamente relacionada con </w:t>
      </w:r>
      <w:r w:rsidR="00BB2372">
        <w:rPr>
          <w:sz w:val="22"/>
          <w:szCs w:val="22"/>
        </w:rPr>
        <w:t>las rentas de alquiler</w:t>
      </w:r>
      <w:r w:rsidR="00BB2372" w:rsidRPr="00BB2372">
        <w:rPr>
          <w:sz w:val="22"/>
          <w:szCs w:val="22"/>
        </w:rPr>
        <w:t xml:space="preserve"> y el dinamismo económico de cada región</w:t>
      </w:r>
      <w:r w:rsidR="00BB2372">
        <w:rPr>
          <w:sz w:val="22"/>
          <w:szCs w:val="22"/>
        </w:rPr>
        <w:t xml:space="preserve">. Al igual que en años anteriores, se observa un patrón: </w:t>
      </w:r>
      <w:r w:rsidR="00BB2372" w:rsidRPr="00E13DBD">
        <w:rPr>
          <w:b/>
          <w:bCs/>
          <w:sz w:val="22"/>
          <w:szCs w:val="22"/>
        </w:rPr>
        <w:t>las zonas costeras, los archipiélagos</w:t>
      </w:r>
      <w:r w:rsidR="00F348CD" w:rsidRPr="00E13DBD">
        <w:rPr>
          <w:b/>
          <w:bCs/>
          <w:sz w:val="22"/>
          <w:szCs w:val="22"/>
        </w:rPr>
        <w:t xml:space="preserve"> y los grandes núcleos urbanos presentan los niveles de impago más elevados.</w:t>
      </w:r>
      <w:r w:rsidR="00F348CD">
        <w:rPr>
          <w:sz w:val="22"/>
          <w:szCs w:val="22"/>
        </w:rPr>
        <w:t xml:space="preserve"> </w:t>
      </w:r>
    </w:p>
    <w:p w14:paraId="5A7488AE" w14:textId="76126C71" w:rsidR="00F348CD" w:rsidRDefault="00F348CD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este ejercicio, </w:t>
      </w:r>
      <w:r w:rsidRPr="00E13DBD">
        <w:rPr>
          <w:b/>
          <w:bCs/>
          <w:sz w:val="22"/>
          <w:szCs w:val="22"/>
        </w:rPr>
        <w:t>cuatro comunidades autónomas se sitúan por encima de la media nacional</w:t>
      </w:r>
      <w:r w:rsidR="005C590B" w:rsidRPr="00E13DBD">
        <w:rPr>
          <w:b/>
          <w:bCs/>
          <w:sz w:val="22"/>
          <w:szCs w:val="22"/>
        </w:rPr>
        <w:t xml:space="preserve"> de 8.489,30€</w:t>
      </w:r>
      <w:r w:rsidR="005C590B">
        <w:rPr>
          <w:sz w:val="22"/>
          <w:szCs w:val="22"/>
        </w:rPr>
        <w:t xml:space="preserve">, consolidándose como los mercados con mayor riesgo financiero. </w:t>
      </w:r>
      <w:r w:rsidR="005C590B" w:rsidRPr="00E13DBD">
        <w:rPr>
          <w:b/>
          <w:bCs/>
          <w:sz w:val="22"/>
          <w:szCs w:val="22"/>
        </w:rPr>
        <w:t>Cataluña</w:t>
      </w:r>
      <w:r w:rsidR="005C590B">
        <w:rPr>
          <w:sz w:val="22"/>
          <w:szCs w:val="22"/>
        </w:rPr>
        <w:t xml:space="preserve">, que se mantiene como </w:t>
      </w:r>
      <w:r w:rsidR="005C590B" w:rsidRPr="00E13DBD">
        <w:rPr>
          <w:b/>
          <w:bCs/>
          <w:sz w:val="22"/>
          <w:szCs w:val="22"/>
        </w:rPr>
        <w:t>la región con la morosidad más alta de España</w:t>
      </w:r>
      <w:r w:rsidR="005C590B">
        <w:rPr>
          <w:sz w:val="22"/>
          <w:szCs w:val="22"/>
        </w:rPr>
        <w:t>, alcanzando los 11.619,9</w:t>
      </w:r>
      <w:r w:rsidR="005C590B" w:rsidRPr="00BE6F00">
        <w:rPr>
          <w:sz w:val="22"/>
          <w:szCs w:val="22"/>
        </w:rPr>
        <w:t>€</w:t>
      </w:r>
      <w:r w:rsidR="00C1317C">
        <w:rPr>
          <w:sz w:val="22"/>
          <w:szCs w:val="22"/>
        </w:rPr>
        <w:t xml:space="preserve">. La </w:t>
      </w:r>
      <w:r w:rsidR="00C1317C" w:rsidRPr="00E13DBD">
        <w:rPr>
          <w:b/>
          <w:bCs/>
          <w:sz w:val="22"/>
          <w:szCs w:val="22"/>
        </w:rPr>
        <w:t>Comunidad de Madrid</w:t>
      </w:r>
      <w:r w:rsidR="00C1317C">
        <w:rPr>
          <w:sz w:val="22"/>
          <w:szCs w:val="22"/>
        </w:rPr>
        <w:t xml:space="preserve"> registra una deuda media de 10.420,4</w:t>
      </w:r>
      <w:r w:rsidR="00C1317C" w:rsidRPr="00BE6F00">
        <w:rPr>
          <w:sz w:val="22"/>
          <w:szCs w:val="22"/>
        </w:rPr>
        <w:t>€</w:t>
      </w:r>
      <w:r w:rsidR="00BA3C5A">
        <w:rPr>
          <w:sz w:val="22"/>
          <w:szCs w:val="22"/>
        </w:rPr>
        <w:t xml:space="preserve">. </w:t>
      </w:r>
      <w:r w:rsidR="008B0FB0">
        <w:rPr>
          <w:sz w:val="22"/>
          <w:szCs w:val="22"/>
        </w:rPr>
        <w:t xml:space="preserve">Por su parte, </w:t>
      </w:r>
      <w:r w:rsidR="008B0FB0" w:rsidRPr="00E13DBD">
        <w:rPr>
          <w:b/>
          <w:bCs/>
          <w:sz w:val="22"/>
          <w:szCs w:val="22"/>
        </w:rPr>
        <w:t>Islas Baleares</w:t>
      </w:r>
      <w:r w:rsidR="008B0FB0">
        <w:rPr>
          <w:sz w:val="22"/>
          <w:szCs w:val="22"/>
        </w:rPr>
        <w:t>, supera también la barrera de los diez mil euros con 10.354,4</w:t>
      </w:r>
      <w:r w:rsidR="003C72E2" w:rsidRPr="00BE6F00">
        <w:rPr>
          <w:sz w:val="22"/>
          <w:szCs w:val="22"/>
        </w:rPr>
        <w:t>€</w:t>
      </w:r>
      <w:r w:rsidR="003C72E2">
        <w:rPr>
          <w:sz w:val="22"/>
          <w:szCs w:val="22"/>
        </w:rPr>
        <w:t xml:space="preserve">, situándose como la tercera región con mayor volumen de deuda, y </w:t>
      </w:r>
      <w:r w:rsidR="003C72E2" w:rsidRPr="00E13DBD">
        <w:rPr>
          <w:b/>
          <w:bCs/>
          <w:sz w:val="22"/>
          <w:szCs w:val="22"/>
        </w:rPr>
        <w:t>País Vasco</w:t>
      </w:r>
      <w:r w:rsidR="003C72E2">
        <w:rPr>
          <w:sz w:val="22"/>
          <w:szCs w:val="22"/>
        </w:rPr>
        <w:t>, que cierra este grupo con 8.501,</w:t>
      </w:r>
      <w:r w:rsidR="00F948C9">
        <w:rPr>
          <w:sz w:val="22"/>
          <w:szCs w:val="22"/>
        </w:rPr>
        <w:t>7</w:t>
      </w:r>
      <w:r w:rsidR="003C72E2" w:rsidRPr="00BE6F00">
        <w:rPr>
          <w:sz w:val="22"/>
          <w:szCs w:val="22"/>
        </w:rPr>
        <w:t>€</w:t>
      </w:r>
      <w:r w:rsidR="003C72E2">
        <w:rPr>
          <w:sz w:val="22"/>
          <w:szCs w:val="22"/>
        </w:rPr>
        <w:t xml:space="preserve">, situándose ligeramente por encima del promedio estatal. </w:t>
      </w:r>
    </w:p>
    <w:p w14:paraId="2642A295" w14:textId="16D5CFDA" w:rsidR="00350DC9" w:rsidRDefault="00C544DC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segundo bloque de comunidades presenta niveles de morosidad significativos, moviéndose </w:t>
      </w:r>
      <w:r w:rsidRPr="00E13DBD">
        <w:rPr>
          <w:b/>
          <w:bCs/>
          <w:sz w:val="22"/>
          <w:szCs w:val="22"/>
        </w:rPr>
        <w:t>en la franja de los 6.000€ a 8.000€</w:t>
      </w:r>
      <w:r>
        <w:rPr>
          <w:sz w:val="22"/>
          <w:szCs w:val="22"/>
        </w:rPr>
        <w:t xml:space="preserve">: </w:t>
      </w:r>
      <w:r w:rsidR="00BD03F4" w:rsidRPr="000C590D">
        <w:rPr>
          <w:b/>
          <w:bCs/>
          <w:sz w:val="22"/>
          <w:szCs w:val="22"/>
        </w:rPr>
        <w:t>Andalucía</w:t>
      </w:r>
      <w:r w:rsidR="00BD03F4">
        <w:rPr>
          <w:sz w:val="22"/>
          <w:szCs w:val="22"/>
        </w:rPr>
        <w:t xml:space="preserve"> con 7.579,2</w:t>
      </w:r>
      <w:r w:rsidR="00BD03F4" w:rsidRPr="00BE6F00">
        <w:rPr>
          <w:sz w:val="22"/>
          <w:szCs w:val="22"/>
        </w:rPr>
        <w:t>€</w:t>
      </w:r>
      <w:r w:rsidR="004F1B79">
        <w:rPr>
          <w:sz w:val="22"/>
          <w:szCs w:val="22"/>
        </w:rPr>
        <w:t xml:space="preserve">, </w:t>
      </w:r>
      <w:r w:rsidR="00BD03F4" w:rsidRPr="00353C0C">
        <w:rPr>
          <w:b/>
          <w:bCs/>
          <w:sz w:val="22"/>
          <w:szCs w:val="22"/>
        </w:rPr>
        <w:t>Murcia</w:t>
      </w:r>
      <w:r w:rsidR="00BD03F4" w:rsidRPr="00353C0C">
        <w:rPr>
          <w:sz w:val="22"/>
          <w:szCs w:val="22"/>
        </w:rPr>
        <w:t xml:space="preserve"> con 7.256€</w:t>
      </w:r>
      <w:r w:rsidR="004F1B79">
        <w:rPr>
          <w:sz w:val="22"/>
          <w:szCs w:val="22"/>
        </w:rPr>
        <w:t xml:space="preserve">, </w:t>
      </w:r>
      <w:r w:rsidR="00BD03F4" w:rsidRPr="00353C0C">
        <w:rPr>
          <w:b/>
          <w:bCs/>
          <w:sz w:val="22"/>
          <w:szCs w:val="22"/>
        </w:rPr>
        <w:t>Navarra</w:t>
      </w:r>
      <w:r w:rsidR="00BD03F4" w:rsidRPr="00353C0C">
        <w:rPr>
          <w:sz w:val="22"/>
          <w:szCs w:val="22"/>
        </w:rPr>
        <w:t xml:space="preserve"> con 7.091,6€</w:t>
      </w:r>
      <w:r w:rsidR="004F1B79">
        <w:rPr>
          <w:sz w:val="22"/>
          <w:szCs w:val="22"/>
        </w:rPr>
        <w:t xml:space="preserve">, </w:t>
      </w:r>
      <w:r w:rsidR="0032068E" w:rsidRPr="00353C0C">
        <w:rPr>
          <w:b/>
          <w:bCs/>
          <w:sz w:val="22"/>
          <w:szCs w:val="22"/>
        </w:rPr>
        <w:t xml:space="preserve">Comunidad Valencia </w:t>
      </w:r>
      <w:r w:rsidR="0032068E" w:rsidRPr="00353C0C">
        <w:rPr>
          <w:sz w:val="22"/>
          <w:szCs w:val="22"/>
        </w:rPr>
        <w:t>c</w:t>
      </w:r>
      <w:r w:rsidR="0032068E">
        <w:rPr>
          <w:sz w:val="22"/>
          <w:szCs w:val="22"/>
        </w:rPr>
        <w:t xml:space="preserve">on </w:t>
      </w:r>
      <w:r w:rsidR="003D6C4A">
        <w:rPr>
          <w:sz w:val="22"/>
          <w:szCs w:val="22"/>
        </w:rPr>
        <w:t>7.033,6</w:t>
      </w:r>
      <w:r w:rsidR="003D6C4A" w:rsidRPr="00BE6F00">
        <w:rPr>
          <w:sz w:val="22"/>
          <w:szCs w:val="22"/>
        </w:rPr>
        <w:t>€</w:t>
      </w:r>
      <w:r w:rsidR="004F1B79">
        <w:rPr>
          <w:sz w:val="22"/>
          <w:szCs w:val="22"/>
        </w:rPr>
        <w:t xml:space="preserve">, </w:t>
      </w:r>
      <w:r w:rsidR="003D6C4A">
        <w:rPr>
          <w:sz w:val="22"/>
          <w:szCs w:val="22"/>
        </w:rPr>
        <w:t xml:space="preserve">y </w:t>
      </w:r>
      <w:r w:rsidR="003D6C4A" w:rsidRPr="000C590D">
        <w:rPr>
          <w:b/>
          <w:bCs/>
          <w:sz w:val="22"/>
          <w:szCs w:val="22"/>
        </w:rPr>
        <w:t>Canarias</w:t>
      </w:r>
      <w:r w:rsidR="003D6C4A">
        <w:rPr>
          <w:sz w:val="22"/>
          <w:szCs w:val="22"/>
        </w:rPr>
        <w:t xml:space="preserve"> con 6.348,1</w:t>
      </w:r>
      <w:r w:rsidR="003D6C4A" w:rsidRPr="00BE6F00">
        <w:rPr>
          <w:sz w:val="22"/>
          <w:szCs w:val="22"/>
        </w:rPr>
        <w:t>€</w:t>
      </w:r>
      <w:r w:rsidR="004F1B79">
        <w:rPr>
          <w:sz w:val="22"/>
          <w:szCs w:val="22"/>
        </w:rPr>
        <w:t>.</w:t>
      </w:r>
    </w:p>
    <w:p w14:paraId="3FD96D3A" w14:textId="1B9152A1" w:rsidR="007454B5" w:rsidRDefault="00353C0C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7454B5">
        <w:rPr>
          <w:sz w:val="22"/>
          <w:szCs w:val="22"/>
        </w:rPr>
        <w:t xml:space="preserve">n el rango intermedio, con una morosidad situada </w:t>
      </w:r>
      <w:r w:rsidR="007454B5" w:rsidRPr="000C590D">
        <w:rPr>
          <w:b/>
          <w:bCs/>
          <w:sz w:val="22"/>
          <w:szCs w:val="22"/>
        </w:rPr>
        <w:t>entre los 5.000€ y 6.000€</w:t>
      </w:r>
      <w:r w:rsidR="007454B5">
        <w:rPr>
          <w:sz w:val="22"/>
          <w:szCs w:val="22"/>
        </w:rPr>
        <w:t xml:space="preserve">, encontramos regiones con mercados más equilibrados pero que no son ajenas a la tendencia alcista </w:t>
      </w:r>
      <w:r w:rsidR="007454B5">
        <w:rPr>
          <w:sz w:val="22"/>
          <w:szCs w:val="22"/>
        </w:rPr>
        <w:lastRenderedPageBreak/>
        <w:t xml:space="preserve">nacional: </w:t>
      </w:r>
      <w:r w:rsidR="007454B5" w:rsidRPr="000C590D">
        <w:rPr>
          <w:b/>
          <w:bCs/>
          <w:sz w:val="22"/>
          <w:szCs w:val="22"/>
        </w:rPr>
        <w:t>Cantabria</w:t>
      </w:r>
      <w:r w:rsidR="007454B5">
        <w:rPr>
          <w:sz w:val="22"/>
          <w:szCs w:val="22"/>
        </w:rPr>
        <w:t xml:space="preserve"> (5.689,3</w:t>
      </w:r>
      <w:r w:rsidR="007454B5" w:rsidRPr="00BE6F00">
        <w:rPr>
          <w:sz w:val="22"/>
          <w:szCs w:val="22"/>
        </w:rPr>
        <w:t>€</w:t>
      </w:r>
      <w:r w:rsidR="007454B5">
        <w:rPr>
          <w:sz w:val="22"/>
          <w:szCs w:val="22"/>
        </w:rPr>
        <w:t xml:space="preserve">), </w:t>
      </w:r>
      <w:r w:rsidR="007454B5" w:rsidRPr="000C590D">
        <w:rPr>
          <w:b/>
          <w:bCs/>
          <w:sz w:val="22"/>
          <w:szCs w:val="22"/>
        </w:rPr>
        <w:t>Ceuta</w:t>
      </w:r>
      <w:r w:rsidR="007454B5">
        <w:rPr>
          <w:sz w:val="22"/>
          <w:szCs w:val="22"/>
        </w:rPr>
        <w:t xml:space="preserve"> (5.57</w:t>
      </w:r>
      <w:r w:rsidR="00625D10">
        <w:rPr>
          <w:sz w:val="22"/>
          <w:szCs w:val="22"/>
        </w:rPr>
        <w:t>9,9</w:t>
      </w:r>
      <w:r w:rsidR="00625D10" w:rsidRPr="00BE6F00">
        <w:rPr>
          <w:sz w:val="22"/>
          <w:szCs w:val="22"/>
        </w:rPr>
        <w:t>€</w:t>
      </w:r>
      <w:r w:rsidR="00625D10">
        <w:rPr>
          <w:sz w:val="22"/>
          <w:szCs w:val="22"/>
        </w:rPr>
        <w:t xml:space="preserve">), </w:t>
      </w:r>
      <w:r w:rsidR="00625D10" w:rsidRPr="000C590D">
        <w:rPr>
          <w:b/>
          <w:bCs/>
          <w:sz w:val="22"/>
          <w:szCs w:val="22"/>
        </w:rPr>
        <w:t>Galicia</w:t>
      </w:r>
      <w:r w:rsidR="00625D10">
        <w:rPr>
          <w:sz w:val="22"/>
          <w:szCs w:val="22"/>
        </w:rPr>
        <w:t xml:space="preserve"> (5.507,8</w:t>
      </w:r>
      <w:r w:rsidR="00625D10" w:rsidRPr="00BE6F00">
        <w:rPr>
          <w:sz w:val="22"/>
          <w:szCs w:val="22"/>
        </w:rPr>
        <w:t>€</w:t>
      </w:r>
      <w:r w:rsidR="00625D10">
        <w:rPr>
          <w:sz w:val="22"/>
          <w:szCs w:val="22"/>
        </w:rPr>
        <w:t xml:space="preserve">), </w:t>
      </w:r>
      <w:r w:rsidR="00625D10" w:rsidRPr="000C590D">
        <w:rPr>
          <w:b/>
          <w:bCs/>
          <w:sz w:val="22"/>
          <w:szCs w:val="22"/>
        </w:rPr>
        <w:t>Castilla-La Mancha</w:t>
      </w:r>
      <w:r w:rsidR="00625D10">
        <w:rPr>
          <w:sz w:val="22"/>
          <w:szCs w:val="22"/>
        </w:rPr>
        <w:t xml:space="preserve"> (5.477,3</w:t>
      </w:r>
      <w:r w:rsidR="00625D10" w:rsidRPr="00BE6F00">
        <w:rPr>
          <w:sz w:val="22"/>
          <w:szCs w:val="22"/>
        </w:rPr>
        <w:t>€</w:t>
      </w:r>
      <w:r w:rsidR="00625D10">
        <w:rPr>
          <w:sz w:val="22"/>
          <w:szCs w:val="22"/>
        </w:rPr>
        <w:t xml:space="preserve">) y </w:t>
      </w:r>
      <w:r w:rsidR="00625D10" w:rsidRPr="000C590D">
        <w:rPr>
          <w:b/>
          <w:bCs/>
          <w:sz w:val="22"/>
          <w:szCs w:val="22"/>
        </w:rPr>
        <w:t>Aragón</w:t>
      </w:r>
      <w:r w:rsidR="00625D10">
        <w:rPr>
          <w:sz w:val="22"/>
          <w:szCs w:val="22"/>
        </w:rPr>
        <w:t xml:space="preserve"> (5.391</w:t>
      </w:r>
      <w:r w:rsidR="00625D10" w:rsidRPr="00BE6F00">
        <w:rPr>
          <w:sz w:val="22"/>
          <w:szCs w:val="22"/>
        </w:rPr>
        <w:t>€</w:t>
      </w:r>
      <w:r w:rsidR="00625D10">
        <w:rPr>
          <w:sz w:val="22"/>
          <w:szCs w:val="22"/>
        </w:rPr>
        <w:t xml:space="preserve">). </w:t>
      </w:r>
    </w:p>
    <w:p w14:paraId="515F4048" w14:textId="332D158E" w:rsidR="00625D10" w:rsidRDefault="00625D10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último, las </w:t>
      </w:r>
      <w:r w:rsidRPr="000C590D">
        <w:rPr>
          <w:b/>
          <w:bCs/>
          <w:sz w:val="22"/>
          <w:szCs w:val="22"/>
        </w:rPr>
        <w:t>regiones con los niveles de deuda acumulada más bajos del país</w:t>
      </w:r>
      <w:r w:rsidR="005B0D92">
        <w:rPr>
          <w:sz w:val="22"/>
          <w:szCs w:val="22"/>
        </w:rPr>
        <w:t xml:space="preserve"> – generalmente </w:t>
      </w:r>
      <w:r w:rsidR="005B0D92" w:rsidRPr="000C590D">
        <w:rPr>
          <w:b/>
          <w:bCs/>
          <w:sz w:val="22"/>
          <w:szCs w:val="22"/>
        </w:rPr>
        <w:t>por debajo de los 5.000€</w:t>
      </w:r>
      <w:r w:rsidR="005B0D92">
        <w:rPr>
          <w:sz w:val="22"/>
          <w:szCs w:val="22"/>
        </w:rPr>
        <w:t xml:space="preserve"> - son aquellas donde la</w:t>
      </w:r>
      <w:r w:rsidR="008200D9">
        <w:rPr>
          <w:sz w:val="22"/>
          <w:szCs w:val="22"/>
        </w:rPr>
        <w:t>s</w:t>
      </w:r>
      <w:r w:rsidR="005B0D92">
        <w:rPr>
          <w:sz w:val="22"/>
          <w:szCs w:val="22"/>
        </w:rPr>
        <w:t xml:space="preserve"> </w:t>
      </w:r>
      <w:r w:rsidR="000C590D">
        <w:rPr>
          <w:sz w:val="22"/>
          <w:szCs w:val="22"/>
        </w:rPr>
        <w:t>rentas medias</w:t>
      </w:r>
      <w:r w:rsidR="005B0D92">
        <w:rPr>
          <w:sz w:val="22"/>
          <w:szCs w:val="22"/>
        </w:rPr>
        <w:t xml:space="preserve"> de alquiler</w:t>
      </w:r>
      <w:r w:rsidR="008200D9">
        <w:rPr>
          <w:sz w:val="22"/>
          <w:szCs w:val="22"/>
        </w:rPr>
        <w:t xml:space="preserve"> </w:t>
      </w:r>
      <w:r w:rsidR="005B0D92">
        <w:rPr>
          <w:sz w:val="22"/>
          <w:szCs w:val="22"/>
        </w:rPr>
        <w:t xml:space="preserve">son tradicionalmente menores, </w:t>
      </w:r>
      <w:r w:rsidR="005B0D92" w:rsidRPr="000C590D">
        <w:rPr>
          <w:b/>
          <w:bCs/>
          <w:sz w:val="22"/>
          <w:szCs w:val="22"/>
        </w:rPr>
        <w:t>aunque todas muestran crecimientos en 2025</w:t>
      </w:r>
      <w:r w:rsidR="005B0D92">
        <w:rPr>
          <w:sz w:val="22"/>
          <w:szCs w:val="22"/>
        </w:rPr>
        <w:t xml:space="preserve">: </w:t>
      </w:r>
      <w:r w:rsidR="008200D9" w:rsidRPr="000C590D">
        <w:rPr>
          <w:b/>
          <w:bCs/>
          <w:sz w:val="22"/>
          <w:szCs w:val="22"/>
        </w:rPr>
        <w:t>Asturias</w:t>
      </w:r>
      <w:r w:rsidR="008200D9">
        <w:rPr>
          <w:sz w:val="22"/>
          <w:szCs w:val="22"/>
        </w:rPr>
        <w:t xml:space="preserve"> (4.875,6</w:t>
      </w:r>
      <w:r w:rsidR="008200D9" w:rsidRPr="00BE6F00">
        <w:rPr>
          <w:sz w:val="22"/>
          <w:szCs w:val="22"/>
        </w:rPr>
        <w:t>€</w:t>
      </w:r>
      <w:r w:rsidR="008200D9">
        <w:rPr>
          <w:sz w:val="22"/>
          <w:szCs w:val="22"/>
        </w:rPr>
        <w:t xml:space="preserve">), </w:t>
      </w:r>
      <w:r w:rsidR="008200D9" w:rsidRPr="000C590D">
        <w:rPr>
          <w:b/>
          <w:bCs/>
          <w:sz w:val="22"/>
          <w:szCs w:val="22"/>
        </w:rPr>
        <w:t>Melilla</w:t>
      </w:r>
      <w:r w:rsidR="008200D9">
        <w:rPr>
          <w:sz w:val="22"/>
          <w:szCs w:val="22"/>
        </w:rPr>
        <w:t xml:space="preserve"> (4.832,2</w:t>
      </w:r>
      <w:r w:rsidR="008200D9" w:rsidRPr="00BE6F00">
        <w:rPr>
          <w:sz w:val="22"/>
          <w:szCs w:val="22"/>
        </w:rPr>
        <w:t>€</w:t>
      </w:r>
      <w:r w:rsidR="008200D9">
        <w:rPr>
          <w:sz w:val="22"/>
          <w:szCs w:val="22"/>
        </w:rPr>
        <w:t xml:space="preserve">), </w:t>
      </w:r>
      <w:r w:rsidR="008200D9" w:rsidRPr="000C590D">
        <w:rPr>
          <w:b/>
          <w:bCs/>
          <w:sz w:val="22"/>
          <w:szCs w:val="22"/>
        </w:rPr>
        <w:t>Castilla y León</w:t>
      </w:r>
      <w:r w:rsidR="008200D9">
        <w:rPr>
          <w:sz w:val="22"/>
          <w:szCs w:val="22"/>
        </w:rPr>
        <w:t xml:space="preserve"> (4.411,6</w:t>
      </w:r>
      <w:r w:rsidR="008200D9" w:rsidRPr="00BE6F00">
        <w:rPr>
          <w:sz w:val="22"/>
          <w:szCs w:val="22"/>
        </w:rPr>
        <w:t>€</w:t>
      </w:r>
      <w:r w:rsidR="008200D9">
        <w:rPr>
          <w:sz w:val="22"/>
          <w:szCs w:val="22"/>
        </w:rPr>
        <w:t xml:space="preserve">), </w:t>
      </w:r>
      <w:r w:rsidR="008200D9" w:rsidRPr="000C590D">
        <w:rPr>
          <w:b/>
          <w:bCs/>
          <w:sz w:val="22"/>
          <w:szCs w:val="22"/>
        </w:rPr>
        <w:t>La Rioja</w:t>
      </w:r>
      <w:r w:rsidR="008200D9">
        <w:rPr>
          <w:sz w:val="22"/>
          <w:szCs w:val="22"/>
        </w:rPr>
        <w:t xml:space="preserve"> (4.098,7</w:t>
      </w:r>
      <w:r w:rsidR="008200D9" w:rsidRPr="00BE6F00">
        <w:rPr>
          <w:sz w:val="22"/>
          <w:szCs w:val="22"/>
        </w:rPr>
        <w:t>€</w:t>
      </w:r>
      <w:r w:rsidR="008200D9">
        <w:rPr>
          <w:sz w:val="22"/>
          <w:szCs w:val="22"/>
        </w:rPr>
        <w:t xml:space="preserve">) y </w:t>
      </w:r>
      <w:r w:rsidR="008200D9" w:rsidRPr="000C590D">
        <w:rPr>
          <w:b/>
          <w:bCs/>
          <w:sz w:val="22"/>
          <w:szCs w:val="22"/>
        </w:rPr>
        <w:t>Extremadura</w:t>
      </w:r>
      <w:r w:rsidR="008200D9">
        <w:rPr>
          <w:sz w:val="22"/>
          <w:szCs w:val="22"/>
        </w:rPr>
        <w:t xml:space="preserve">, que se mantiene </w:t>
      </w:r>
      <w:r w:rsidR="008200D9" w:rsidRPr="000C590D">
        <w:rPr>
          <w:b/>
          <w:bCs/>
          <w:sz w:val="22"/>
          <w:szCs w:val="22"/>
        </w:rPr>
        <w:t>un año más como la comunidad autónoma con menor morosidad de España</w:t>
      </w:r>
      <w:r w:rsidR="008200D9">
        <w:rPr>
          <w:sz w:val="22"/>
          <w:szCs w:val="22"/>
        </w:rPr>
        <w:t>, con una media de 3.403,2</w:t>
      </w:r>
      <w:r w:rsidR="008200D9" w:rsidRPr="00BE6F00">
        <w:rPr>
          <w:sz w:val="22"/>
          <w:szCs w:val="22"/>
        </w:rPr>
        <w:t>€</w:t>
      </w:r>
      <w:r w:rsidR="008200D9">
        <w:rPr>
          <w:sz w:val="22"/>
          <w:szCs w:val="22"/>
        </w:rPr>
        <w:t>.</w:t>
      </w:r>
    </w:p>
    <w:p w14:paraId="00C941E6" w14:textId="3BCFC5D9" w:rsidR="00B91E5B" w:rsidRPr="00B91E5B" w:rsidRDefault="00DE2FB7" w:rsidP="00B91E5B">
      <w:pPr>
        <w:jc w:val="center"/>
        <w:rPr>
          <w:b/>
          <w:bCs/>
          <w:sz w:val="22"/>
          <w:szCs w:val="22"/>
        </w:rPr>
      </w:pPr>
      <w:r w:rsidRPr="00DE2FB7">
        <w:rPr>
          <w:b/>
          <w:bCs/>
          <w:sz w:val="22"/>
          <w:szCs w:val="22"/>
        </w:rPr>
        <w:t xml:space="preserve">Morosidad por CCAA en </w:t>
      </w:r>
      <w:r w:rsidRPr="00E301DF">
        <w:rPr>
          <w:b/>
          <w:bCs/>
          <w:sz w:val="22"/>
          <w:szCs w:val="22"/>
        </w:rPr>
        <w:t>2025</w:t>
      </w:r>
      <w:r w:rsidR="00E86A79" w:rsidRPr="00E301DF">
        <w:rPr>
          <w:b/>
          <w:bCs/>
          <w:sz w:val="22"/>
          <w:szCs w:val="22"/>
        </w:rPr>
        <w:t xml:space="preserve"> (cuantía media)</w:t>
      </w:r>
    </w:p>
    <w:p w14:paraId="2FD01B85" w14:textId="015A505A" w:rsidR="00DE2FB7" w:rsidRDefault="00B91E5B" w:rsidP="00A725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1594B18" wp14:editId="3701AA15">
            <wp:extent cx="5400040" cy="2722880"/>
            <wp:effectExtent l="0" t="0" r="0" b="1270"/>
            <wp:docPr id="1691832040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32040" name="Imagen 1" descr="Gráfic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2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F6642" w14:textId="07A67B3D" w:rsidR="00EE7FA5" w:rsidRDefault="003F21D9" w:rsidP="00241C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Sin embargo, </w:t>
      </w:r>
      <w:r w:rsidRPr="002E73A3">
        <w:rPr>
          <w:b/>
          <w:bCs/>
          <w:sz w:val="22"/>
          <w:szCs w:val="22"/>
        </w:rPr>
        <w:t>si ponemos en relación la cantidad adeudada con el precio medio del alquiler en cada comunidad autónoma</w:t>
      </w:r>
      <w:r>
        <w:rPr>
          <w:sz w:val="22"/>
          <w:szCs w:val="22"/>
        </w:rPr>
        <w:t xml:space="preserve">, </w:t>
      </w:r>
      <w:r w:rsidR="00EE7FA5">
        <w:rPr>
          <w:sz w:val="22"/>
          <w:szCs w:val="22"/>
        </w:rPr>
        <w:t xml:space="preserve">el estudio revela una acumulación de deuda que, en los casos más </w:t>
      </w:r>
      <w:r w:rsidR="00F53249">
        <w:rPr>
          <w:sz w:val="22"/>
          <w:szCs w:val="22"/>
        </w:rPr>
        <w:t>destacados</w:t>
      </w:r>
      <w:r w:rsidR="00EE7FA5">
        <w:rPr>
          <w:sz w:val="22"/>
          <w:szCs w:val="22"/>
        </w:rPr>
        <w:t>, se acerca al año de impago. Aquellos lugares donde los inquilinos han dejado de pagar más mensualidades s</w:t>
      </w:r>
      <w:r w:rsidR="00954AA3">
        <w:rPr>
          <w:sz w:val="22"/>
          <w:szCs w:val="22"/>
        </w:rPr>
        <w:t>erían</w:t>
      </w:r>
      <w:r w:rsidR="00EE7FA5">
        <w:rPr>
          <w:sz w:val="22"/>
          <w:szCs w:val="22"/>
        </w:rPr>
        <w:t xml:space="preserve"> la </w:t>
      </w:r>
      <w:r w:rsidR="00EE7FA5" w:rsidRPr="00F74377">
        <w:rPr>
          <w:b/>
          <w:bCs/>
          <w:sz w:val="22"/>
          <w:szCs w:val="22"/>
        </w:rPr>
        <w:t>Región de Murcia</w:t>
      </w:r>
      <w:r w:rsidR="00EE7FA5">
        <w:rPr>
          <w:sz w:val="22"/>
          <w:szCs w:val="22"/>
        </w:rPr>
        <w:t>, que lidera el ranking nacional con más de 9 meses de renta adeudada</w:t>
      </w:r>
      <w:r w:rsidR="00600B6D">
        <w:rPr>
          <w:sz w:val="22"/>
          <w:szCs w:val="22"/>
        </w:rPr>
        <w:t xml:space="preserve">, seguida muy de cerca por </w:t>
      </w:r>
      <w:r w:rsidR="00600B6D" w:rsidRPr="00F74377">
        <w:rPr>
          <w:b/>
          <w:bCs/>
          <w:sz w:val="22"/>
          <w:szCs w:val="22"/>
        </w:rPr>
        <w:t>Andalucía</w:t>
      </w:r>
      <w:r w:rsidR="007009C7">
        <w:rPr>
          <w:sz w:val="22"/>
          <w:szCs w:val="22"/>
        </w:rPr>
        <w:t xml:space="preserve"> </w:t>
      </w:r>
      <w:r w:rsidR="00600B6D">
        <w:rPr>
          <w:sz w:val="22"/>
          <w:szCs w:val="22"/>
        </w:rPr>
        <w:t xml:space="preserve">y </w:t>
      </w:r>
      <w:r w:rsidR="00600B6D" w:rsidRPr="00F74377">
        <w:rPr>
          <w:b/>
          <w:bCs/>
          <w:sz w:val="22"/>
          <w:szCs w:val="22"/>
        </w:rPr>
        <w:t>Cataluña</w:t>
      </w:r>
      <w:r w:rsidR="00600B6D">
        <w:rPr>
          <w:sz w:val="22"/>
          <w:szCs w:val="22"/>
        </w:rPr>
        <w:t>, donde la deuda equival</w:t>
      </w:r>
      <w:r w:rsidR="008275B5">
        <w:rPr>
          <w:sz w:val="22"/>
          <w:szCs w:val="22"/>
        </w:rPr>
        <w:t>dría</w:t>
      </w:r>
      <w:r w:rsidR="00600B6D">
        <w:rPr>
          <w:sz w:val="22"/>
          <w:szCs w:val="22"/>
        </w:rPr>
        <w:t xml:space="preserve"> a más de 8 meses. </w:t>
      </w:r>
    </w:p>
    <w:p w14:paraId="0751BCDD" w14:textId="25FD4D53" w:rsidR="00067946" w:rsidRDefault="00067946" w:rsidP="00241C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un escalafón intermedio, situándose por encima de la media nacional de 7 meses, se </w:t>
      </w:r>
      <w:r w:rsidR="00954AA3">
        <w:rPr>
          <w:sz w:val="22"/>
          <w:szCs w:val="22"/>
        </w:rPr>
        <w:t>encontrarían</w:t>
      </w:r>
      <w:r>
        <w:rPr>
          <w:sz w:val="22"/>
          <w:szCs w:val="22"/>
        </w:rPr>
        <w:t xml:space="preserve"> </w:t>
      </w:r>
      <w:r w:rsidRPr="00F74377">
        <w:rPr>
          <w:b/>
          <w:bCs/>
          <w:sz w:val="22"/>
          <w:szCs w:val="22"/>
        </w:rPr>
        <w:t>Castilla-La Mancha</w:t>
      </w:r>
      <w:r>
        <w:rPr>
          <w:sz w:val="22"/>
          <w:szCs w:val="22"/>
        </w:rPr>
        <w:t xml:space="preserve"> </w:t>
      </w:r>
      <w:r w:rsidR="004350C3">
        <w:rPr>
          <w:sz w:val="22"/>
          <w:szCs w:val="22"/>
        </w:rPr>
        <w:t>que se queda</w:t>
      </w:r>
      <w:r w:rsidR="00615AE2">
        <w:rPr>
          <w:sz w:val="22"/>
          <w:szCs w:val="22"/>
        </w:rPr>
        <w:t>ría</w:t>
      </w:r>
      <w:r w:rsidR="004350C3">
        <w:rPr>
          <w:sz w:val="22"/>
          <w:szCs w:val="22"/>
        </w:rPr>
        <w:t xml:space="preserve"> rozando la cifra de los </w:t>
      </w:r>
      <w:r w:rsidR="00CD255E">
        <w:rPr>
          <w:sz w:val="22"/>
          <w:szCs w:val="22"/>
        </w:rPr>
        <w:t>8</w:t>
      </w:r>
      <w:r w:rsidR="004350C3">
        <w:rPr>
          <w:sz w:val="22"/>
          <w:szCs w:val="22"/>
        </w:rPr>
        <w:t xml:space="preserve"> meses</w:t>
      </w:r>
      <w:r>
        <w:rPr>
          <w:sz w:val="22"/>
          <w:szCs w:val="22"/>
        </w:rPr>
        <w:t>,</w:t>
      </w:r>
      <w:r w:rsidR="001C59F4">
        <w:rPr>
          <w:sz w:val="22"/>
          <w:szCs w:val="22"/>
        </w:rPr>
        <w:t xml:space="preserve"> y</w:t>
      </w:r>
      <w:r>
        <w:rPr>
          <w:sz w:val="22"/>
          <w:szCs w:val="22"/>
        </w:rPr>
        <w:t xml:space="preserve"> </w:t>
      </w:r>
      <w:r w:rsidRPr="00F74377">
        <w:rPr>
          <w:b/>
          <w:bCs/>
          <w:sz w:val="22"/>
          <w:szCs w:val="22"/>
        </w:rPr>
        <w:t>Galicia</w:t>
      </w:r>
      <w:r>
        <w:rPr>
          <w:sz w:val="22"/>
          <w:szCs w:val="22"/>
        </w:rPr>
        <w:t xml:space="preserve"> y </w:t>
      </w:r>
      <w:r w:rsidRPr="00F74377">
        <w:rPr>
          <w:b/>
          <w:bCs/>
          <w:sz w:val="22"/>
          <w:szCs w:val="22"/>
        </w:rPr>
        <w:t>Cantabria</w:t>
      </w:r>
      <w:r w:rsidR="004350C3">
        <w:rPr>
          <w:b/>
          <w:bCs/>
          <w:sz w:val="22"/>
          <w:szCs w:val="22"/>
        </w:rPr>
        <w:t xml:space="preserve">, </w:t>
      </w:r>
      <w:r w:rsidR="004350C3" w:rsidRPr="001C59F4">
        <w:rPr>
          <w:sz w:val="22"/>
          <w:szCs w:val="22"/>
        </w:rPr>
        <w:t>ambas con</w:t>
      </w:r>
      <w:r w:rsidR="001C59F4" w:rsidRPr="001C59F4">
        <w:rPr>
          <w:sz w:val="22"/>
          <w:szCs w:val="22"/>
        </w:rPr>
        <w:t xml:space="preserve"> </w:t>
      </w:r>
      <w:r w:rsidR="00CD255E">
        <w:rPr>
          <w:sz w:val="22"/>
          <w:szCs w:val="22"/>
        </w:rPr>
        <w:t>7</w:t>
      </w:r>
      <w:r w:rsidR="001C59F4" w:rsidRPr="001C59F4">
        <w:rPr>
          <w:sz w:val="22"/>
          <w:szCs w:val="22"/>
        </w:rPr>
        <w:t xml:space="preserve"> meses de impago acumulado</w:t>
      </w:r>
      <w:r>
        <w:rPr>
          <w:sz w:val="22"/>
          <w:szCs w:val="22"/>
        </w:rPr>
        <w:t xml:space="preserve">. </w:t>
      </w:r>
      <w:r w:rsidR="00F8780C">
        <w:rPr>
          <w:sz w:val="22"/>
          <w:szCs w:val="22"/>
        </w:rPr>
        <w:t>M</w:t>
      </w:r>
      <w:r w:rsidR="00E8338F">
        <w:rPr>
          <w:sz w:val="22"/>
          <w:szCs w:val="22"/>
        </w:rPr>
        <w:t>uy cerca de</w:t>
      </w:r>
      <w:r>
        <w:rPr>
          <w:sz w:val="22"/>
          <w:szCs w:val="22"/>
        </w:rPr>
        <w:t xml:space="preserve"> ese promedio estatal, se </w:t>
      </w:r>
      <w:r w:rsidR="00954AA3">
        <w:rPr>
          <w:sz w:val="22"/>
          <w:szCs w:val="22"/>
        </w:rPr>
        <w:t>hallarían</w:t>
      </w:r>
      <w:r>
        <w:rPr>
          <w:sz w:val="22"/>
          <w:szCs w:val="22"/>
        </w:rPr>
        <w:t xml:space="preserve"> </w:t>
      </w:r>
      <w:r w:rsidRPr="00F74377">
        <w:rPr>
          <w:b/>
          <w:bCs/>
          <w:sz w:val="22"/>
          <w:szCs w:val="22"/>
        </w:rPr>
        <w:t>Aragón</w:t>
      </w:r>
      <w:r w:rsidR="00AD04FB">
        <w:rPr>
          <w:sz w:val="22"/>
          <w:szCs w:val="22"/>
        </w:rPr>
        <w:t xml:space="preserve">, </w:t>
      </w:r>
      <w:r w:rsidRPr="00F74377">
        <w:rPr>
          <w:b/>
          <w:bCs/>
          <w:sz w:val="22"/>
          <w:szCs w:val="22"/>
        </w:rPr>
        <w:t>Navarra</w:t>
      </w:r>
      <w:r>
        <w:rPr>
          <w:sz w:val="22"/>
          <w:szCs w:val="22"/>
        </w:rPr>
        <w:t xml:space="preserve"> y</w:t>
      </w:r>
      <w:r w:rsidR="00E8338F">
        <w:rPr>
          <w:sz w:val="22"/>
          <w:szCs w:val="22"/>
        </w:rPr>
        <w:t xml:space="preserve"> la</w:t>
      </w:r>
      <w:r>
        <w:rPr>
          <w:sz w:val="22"/>
          <w:szCs w:val="22"/>
        </w:rPr>
        <w:t xml:space="preserve"> </w:t>
      </w:r>
      <w:r w:rsidRPr="00F74377">
        <w:rPr>
          <w:b/>
          <w:bCs/>
          <w:sz w:val="22"/>
          <w:szCs w:val="22"/>
        </w:rPr>
        <w:t>Comunidad</w:t>
      </w:r>
      <w:r>
        <w:rPr>
          <w:sz w:val="22"/>
          <w:szCs w:val="22"/>
        </w:rPr>
        <w:t xml:space="preserve"> </w:t>
      </w:r>
      <w:r w:rsidRPr="00F74377">
        <w:rPr>
          <w:b/>
          <w:bCs/>
          <w:sz w:val="22"/>
          <w:szCs w:val="22"/>
        </w:rPr>
        <w:t>Valenciana</w:t>
      </w:r>
      <w:r w:rsidR="00E8338F">
        <w:rPr>
          <w:sz w:val="22"/>
          <w:szCs w:val="22"/>
        </w:rPr>
        <w:t xml:space="preserve">, todas ellas rozando los </w:t>
      </w:r>
      <w:r w:rsidR="000808EA">
        <w:rPr>
          <w:sz w:val="22"/>
          <w:szCs w:val="22"/>
        </w:rPr>
        <w:t>7</w:t>
      </w:r>
      <w:r w:rsidR="00E8338F">
        <w:rPr>
          <w:sz w:val="22"/>
          <w:szCs w:val="22"/>
        </w:rPr>
        <w:t xml:space="preserve"> meses.</w:t>
      </w:r>
    </w:p>
    <w:p w14:paraId="47EA87DF" w14:textId="01623BA7" w:rsidR="00067946" w:rsidRPr="00BB2372" w:rsidRDefault="00E8338F" w:rsidP="00241C64">
      <w:pPr>
        <w:jc w:val="both"/>
        <w:rPr>
          <w:sz w:val="22"/>
          <w:szCs w:val="22"/>
        </w:rPr>
      </w:pPr>
      <w:r>
        <w:rPr>
          <w:sz w:val="22"/>
          <w:szCs w:val="22"/>
        </w:rPr>
        <w:t>Por su parte</w:t>
      </w:r>
      <w:r w:rsidR="00F8780C">
        <w:rPr>
          <w:sz w:val="22"/>
          <w:szCs w:val="22"/>
        </w:rPr>
        <w:t xml:space="preserve">, en un amplio bloque que oscila entre los </w:t>
      </w:r>
      <w:r w:rsidR="00CD255E">
        <w:rPr>
          <w:sz w:val="22"/>
          <w:szCs w:val="22"/>
        </w:rPr>
        <w:t>6</w:t>
      </w:r>
      <w:r w:rsidR="00F8780C">
        <w:rPr>
          <w:sz w:val="22"/>
          <w:szCs w:val="22"/>
        </w:rPr>
        <w:t xml:space="preserve"> y </w:t>
      </w:r>
      <w:r w:rsidR="00CD255E">
        <w:rPr>
          <w:sz w:val="22"/>
          <w:szCs w:val="22"/>
        </w:rPr>
        <w:t>7</w:t>
      </w:r>
      <w:r w:rsidR="00F8780C">
        <w:rPr>
          <w:sz w:val="22"/>
          <w:szCs w:val="22"/>
        </w:rPr>
        <w:t xml:space="preserve"> meses de deuda, se </w:t>
      </w:r>
      <w:r w:rsidR="00954AA3">
        <w:rPr>
          <w:sz w:val="22"/>
          <w:szCs w:val="22"/>
        </w:rPr>
        <w:t>ubicarían</w:t>
      </w:r>
      <w:r w:rsidR="00067946">
        <w:rPr>
          <w:sz w:val="22"/>
          <w:szCs w:val="22"/>
        </w:rPr>
        <w:t xml:space="preserve"> la </w:t>
      </w:r>
      <w:r w:rsidR="00067946" w:rsidRPr="00F74377">
        <w:rPr>
          <w:b/>
          <w:bCs/>
          <w:sz w:val="22"/>
          <w:szCs w:val="22"/>
        </w:rPr>
        <w:t>Comunidad de Madrid</w:t>
      </w:r>
      <w:r w:rsidR="00F8780C">
        <w:rPr>
          <w:sz w:val="22"/>
          <w:szCs w:val="22"/>
        </w:rPr>
        <w:t xml:space="preserve">, </w:t>
      </w:r>
      <w:r w:rsidR="00535992" w:rsidRPr="00F74377">
        <w:rPr>
          <w:b/>
          <w:bCs/>
          <w:sz w:val="22"/>
          <w:szCs w:val="22"/>
        </w:rPr>
        <w:t>Ceuta</w:t>
      </w:r>
      <w:r w:rsidR="00F8780C">
        <w:rPr>
          <w:sz w:val="22"/>
          <w:szCs w:val="22"/>
        </w:rPr>
        <w:t xml:space="preserve">, </w:t>
      </w:r>
      <w:r w:rsidR="00535992">
        <w:rPr>
          <w:sz w:val="22"/>
          <w:szCs w:val="22"/>
        </w:rPr>
        <w:t xml:space="preserve">el </w:t>
      </w:r>
      <w:r w:rsidR="00535992" w:rsidRPr="00F74377">
        <w:rPr>
          <w:b/>
          <w:bCs/>
          <w:sz w:val="22"/>
          <w:szCs w:val="22"/>
        </w:rPr>
        <w:t>País Vasco</w:t>
      </w:r>
      <w:r w:rsidR="00535992">
        <w:rPr>
          <w:sz w:val="22"/>
          <w:szCs w:val="22"/>
        </w:rPr>
        <w:t xml:space="preserve">, </w:t>
      </w:r>
      <w:r w:rsidR="00F8780C">
        <w:rPr>
          <w:sz w:val="22"/>
          <w:szCs w:val="22"/>
        </w:rPr>
        <w:t xml:space="preserve">las </w:t>
      </w:r>
      <w:r w:rsidR="00535992" w:rsidRPr="00F74377">
        <w:rPr>
          <w:b/>
          <w:bCs/>
          <w:sz w:val="22"/>
          <w:szCs w:val="22"/>
        </w:rPr>
        <w:t>Islas Baleares</w:t>
      </w:r>
      <w:r w:rsidR="00F8780C">
        <w:rPr>
          <w:sz w:val="22"/>
          <w:szCs w:val="22"/>
        </w:rPr>
        <w:t>,</w:t>
      </w:r>
      <w:r w:rsidR="00535992">
        <w:rPr>
          <w:sz w:val="22"/>
          <w:szCs w:val="22"/>
        </w:rPr>
        <w:t xml:space="preserve"> </w:t>
      </w:r>
      <w:r w:rsidR="00535992" w:rsidRPr="00F74377">
        <w:rPr>
          <w:b/>
          <w:bCs/>
          <w:sz w:val="22"/>
          <w:szCs w:val="22"/>
        </w:rPr>
        <w:t>Melilla</w:t>
      </w:r>
      <w:r w:rsidR="00535992">
        <w:rPr>
          <w:sz w:val="22"/>
          <w:szCs w:val="22"/>
        </w:rPr>
        <w:t xml:space="preserve"> </w:t>
      </w:r>
      <w:r w:rsidR="006F5DDF">
        <w:rPr>
          <w:sz w:val="22"/>
          <w:szCs w:val="22"/>
        </w:rPr>
        <w:t>y</w:t>
      </w:r>
      <w:r w:rsidR="00535992">
        <w:rPr>
          <w:sz w:val="22"/>
          <w:szCs w:val="22"/>
        </w:rPr>
        <w:t xml:space="preserve"> </w:t>
      </w:r>
      <w:r w:rsidR="00535992" w:rsidRPr="00F74377">
        <w:rPr>
          <w:b/>
          <w:bCs/>
          <w:sz w:val="22"/>
          <w:szCs w:val="22"/>
        </w:rPr>
        <w:t>Asturias</w:t>
      </w:r>
      <w:r w:rsidR="00535992">
        <w:rPr>
          <w:sz w:val="22"/>
          <w:szCs w:val="22"/>
        </w:rPr>
        <w:t xml:space="preserve">, </w:t>
      </w:r>
      <w:r w:rsidR="006F5DDF">
        <w:rPr>
          <w:sz w:val="22"/>
          <w:szCs w:val="22"/>
        </w:rPr>
        <w:t xml:space="preserve">todas ellas situándose por encima de los </w:t>
      </w:r>
      <w:r w:rsidR="00CD255E">
        <w:rPr>
          <w:sz w:val="22"/>
          <w:szCs w:val="22"/>
        </w:rPr>
        <w:t>6</w:t>
      </w:r>
      <w:r w:rsidR="006F5DDF">
        <w:rPr>
          <w:sz w:val="22"/>
          <w:szCs w:val="22"/>
        </w:rPr>
        <w:t xml:space="preserve"> meses de impago, junto a</w:t>
      </w:r>
      <w:r w:rsidR="00535992">
        <w:rPr>
          <w:sz w:val="22"/>
          <w:szCs w:val="22"/>
        </w:rPr>
        <w:t xml:space="preserve"> </w:t>
      </w:r>
      <w:r w:rsidR="00535992" w:rsidRPr="00F74377">
        <w:rPr>
          <w:b/>
          <w:bCs/>
          <w:sz w:val="22"/>
          <w:szCs w:val="22"/>
        </w:rPr>
        <w:t>Castilla y León</w:t>
      </w:r>
      <w:r w:rsidR="006F5DDF">
        <w:rPr>
          <w:sz w:val="22"/>
          <w:szCs w:val="22"/>
        </w:rPr>
        <w:t xml:space="preserve">, que </w:t>
      </w:r>
      <w:r w:rsidR="00954AA3">
        <w:rPr>
          <w:sz w:val="22"/>
          <w:szCs w:val="22"/>
        </w:rPr>
        <w:t>registraría</w:t>
      </w:r>
      <w:r w:rsidR="006F5DDF">
        <w:rPr>
          <w:sz w:val="22"/>
          <w:szCs w:val="22"/>
        </w:rPr>
        <w:t xml:space="preserve"> exactamente 6 meses.</w:t>
      </w:r>
      <w:r w:rsidR="008C2F5F">
        <w:rPr>
          <w:sz w:val="22"/>
          <w:szCs w:val="22"/>
        </w:rPr>
        <w:t xml:space="preserve"> Finalmente, en el extremo opuesto</w:t>
      </w:r>
      <w:r w:rsidR="00DA5634">
        <w:rPr>
          <w:sz w:val="22"/>
          <w:szCs w:val="22"/>
        </w:rPr>
        <w:t xml:space="preserve"> con los niveles de acumulación más bajos del país, </w:t>
      </w:r>
      <w:r w:rsidR="00954AA3">
        <w:rPr>
          <w:sz w:val="22"/>
          <w:szCs w:val="22"/>
        </w:rPr>
        <w:t>destacarían</w:t>
      </w:r>
      <w:r w:rsidR="00DA5634">
        <w:rPr>
          <w:sz w:val="22"/>
          <w:szCs w:val="22"/>
        </w:rPr>
        <w:t xml:space="preserve"> </w:t>
      </w:r>
      <w:r w:rsidR="008C2F5F" w:rsidRPr="00F74377">
        <w:rPr>
          <w:b/>
          <w:bCs/>
          <w:sz w:val="22"/>
          <w:szCs w:val="22"/>
        </w:rPr>
        <w:t>Extremadura</w:t>
      </w:r>
      <w:r w:rsidR="008C2F5F">
        <w:rPr>
          <w:sz w:val="22"/>
          <w:szCs w:val="22"/>
        </w:rPr>
        <w:t>,</w:t>
      </w:r>
      <w:r w:rsidR="00DA5634">
        <w:rPr>
          <w:sz w:val="22"/>
          <w:szCs w:val="22"/>
        </w:rPr>
        <w:t xml:space="preserve"> que se queda en casi 6 meses, y las </w:t>
      </w:r>
      <w:r w:rsidR="00CD255E" w:rsidRPr="00F53249">
        <w:rPr>
          <w:b/>
          <w:bCs/>
          <w:sz w:val="22"/>
          <w:szCs w:val="22"/>
        </w:rPr>
        <w:t>Islas</w:t>
      </w:r>
      <w:r w:rsidR="008C2F5F">
        <w:rPr>
          <w:sz w:val="22"/>
          <w:szCs w:val="22"/>
        </w:rPr>
        <w:t xml:space="preserve"> </w:t>
      </w:r>
      <w:r w:rsidR="008C2F5F" w:rsidRPr="00F74377">
        <w:rPr>
          <w:b/>
          <w:bCs/>
          <w:sz w:val="22"/>
          <w:szCs w:val="22"/>
        </w:rPr>
        <w:t>Canarias</w:t>
      </w:r>
      <w:r w:rsidR="008C2F5F">
        <w:rPr>
          <w:sz w:val="22"/>
          <w:szCs w:val="22"/>
        </w:rPr>
        <w:t xml:space="preserve"> </w:t>
      </w:r>
      <w:r w:rsidR="00CD255E">
        <w:rPr>
          <w:sz w:val="22"/>
          <w:szCs w:val="22"/>
        </w:rPr>
        <w:t>junto a</w:t>
      </w:r>
      <w:r w:rsidR="008C2F5F">
        <w:rPr>
          <w:sz w:val="22"/>
          <w:szCs w:val="22"/>
        </w:rPr>
        <w:t xml:space="preserve"> </w:t>
      </w:r>
      <w:r w:rsidR="008C2F5F" w:rsidRPr="00F74377">
        <w:rPr>
          <w:b/>
          <w:bCs/>
          <w:sz w:val="22"/>
          <w:szCs w:val="22"/>
        </w:rPr>
        <w:t>La Rioja</w:t>
      </w:r>
      <w:r w:rsidR="008C2F5F">
        <w:rPr>
          <w:sz w:val="22"/>
          <w:szCs w:val="22"/>
        </w:rPr>
        <w:t xml:space="preserve">, </w:t>
      </w:r>
      <w:r w:rsidR="00CD255E">
        <w:rPr>
          <w:sz w:val="22"/>
          <w:szCs w:val="22"/>
        </w:rPr>
        <w:t xml:space="preserve">que </w:t>
      </w:r>
      <w:r w:rsidR="00954AA3">
        <w:rPr>
          <w:sz w:val="22"/>
          <w:szCs w:val="22"/>
        </w:rPr>
        <w:t>cerrarían</w:t>
      </w:r>
      <w:r w:rsidR="00CD255E">
        <w:rPr>
          <w:sz w:val="22"/>
          <w:szCs w:val="22"/>
        </w:rPr>
        <w:t xml:space="preserve"> la tabla situándose por debajo de los 6 meses de alquiler adeudado. </w:t>
      </w:r>
    </w:p>
    <w:p w14:paraId="21595480" w14:textId="61C5DB16" w:rsidR="00A41EEE" w:rsidRPr="00DC1322" w:rsidRDefault="00A41EEE" w:rsidP="00A725F3">
      <w:pPr>
        <w:jc w:val="both"/>
        <w:rPr>
          <w:b/>
          <w:bCs/>
          <w:sz w:val="22"/>
          <w:szCs w:val="22"/>
        </w:rPr>
      </w:pPr>
      <w:r w:rsidRPr="00DC1322">
        <w:rPr>
          <w:b/>
          <w:bCs/>
          <w:sz w:val="22"/>
          <w:szCs w:val="22"/>
        </w:rPr>
        <w:lastRenderedPageBreak/>
        <w:t>MOROSIDAD POR PROVINCIAS</w:t>
      </w:r>
    </w:p>
    <w:p w14:paraId="16EE233C" w14:textId="5A210503" w:rsidR="00A41EEE" w:rsidRDefault="00932B47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Más allá de la visión autonómica, el </w:t>
      </w:r>
      <w:r w:rsidRPr="00D434FB">
        <w:rPr>
          <w:b/>
          <w:bCs/>
          <w:sz w:val="22"/>
          <w:szCs w:val="22"/>
        </w:rPr>
        <w:t>desglose provincial es clave para identificar los focos de impago</w:t>
      </w:r>
      <w:r>
        <w:rPr>
          <w:sz w:val="22"/>
          <w:szCs w:val="22"/>
        </w:rPr>
        <w:t xml:space="preserve">, ya que, a menudo, la situación </w:t>
      </w:r>
      <w:r w:rsidR="00545325">
        <w:rPr>
          <w:sz w:val="22"/>
          <w:szCs w:val="22"/>
        </w:rPr>
        <w:t xml:space="preserve">de una región viene condicionada por el desequilibrio en sus principales núcleos económicos y urbanos. El </w:t>
      </w:r>
      <w:r w:rsidR="003F4552">
        <w:rPr>
          <w:sz w:val="22"/>
          <w:szCs w:val="22"/>
        </w:rPr>
        <w:t xml:space="preserve">estudio revela así una jerarquía clara de </w:t>
      </w:r>
      <w:r w:rsidR="00091C91">
        <w:rPr>
          <w:sz w:val="22"/>
          <w:szCs w:val="22"/>
        </w:rPr>
        <w:t>impagos</w:t>
      </w:r>
      <w:r w:rsidR="003F4552">
        <w:rPr>
          <w:sz w:val="22"/>
          <w:szCs w:val="22"/>
        </w:rPr>
        <w:t xml:space="preserve">, liderada por los mercados más desequilibrados de la península y las islas, donde </w:t>
      </w:r>
      <w:r w:rsidR="00D434FB">
        <w:rPr>
          <w:sz w:val="22"/>
          <w:szCs w:val="22"/>
        </w:rPr>
        <w:t xml:space="preserve">el precio del alquiler ha sobrepasado la capacidad de solvencia de los arrendatarios. </w:t>
      </w:r>
    </w:p>
    <w:p w14:paraId="67641B23" w14:textId="3A3B4056" w:rsidR="0030487D" w:rsidRDefault="00002A4F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provincia con mayor </w:t>
      </w:r>
      <w:r w:rsidR="00091C91">
        <w:rPr>
          <w:sz w:val="22"/>
          <w:szCs w:val="22"/>
        </w:rPr>
        <w:t>nivel de impago</w:t>
      </w:r>
      <w:r>
        <w:rPr>
          <w:sz w:val="22"/>
          <w:szCs w:val="22"/>
        </w:rPr>
        <w:t xml:space="preserve"> es </w:t>
      </w:r>
      <w:r w:rsidRPr="00236FBE">
        <w:rPr>
          <w:b/>
          <w:bCs/>
          <w:sz w:val="22"/>
          <w:szCs w:val="22"/>
        </w:rPr>
        <w:t>Barcelona</w:t>
      </w:r>
      <w:r>
        <w:rPr>
          <w:sz w:val="22"/>
          <w:szCs w:val="22"/>
        </w:rPr>
        <w:t>, con una media de 14.036,</w:t>
      </w:r>
      <w:r w:rsidR="00132796">
        <w:rPr>
          <w:sz w:val="22"/>
          <w:szCs w:val="22"/>
        </w:rPr>
        <w:t>5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. </w:t>
      </w:r>
      <w:r w:rsidR="00420AAD">
        <w:rPr>
          <w:sz w:val="22"/>
          <w:szCs w:val="22"/>
        </w:rPr>
        <w:t xml:space="preserve">Le sigue </w:t>
      </w:r>
      <w:r w:rsidR="00420AAD" w:rsidRPr="00236FBE">
        <w:rPr>
          <w:b/>
          <w:bCs/>
          <w:sz w:val="22"/>
          <w:szCs w:val="22"/>
        </w:rPr>
        <w:t>Madrid</w:t>
      </w:r>
      <w:r w:rsidR="00420AAD">
        <w:rPr>
          <w:sz w:val="22"/>
          <w:szCs w:val="22"/>
        </w:rPr>
        <w:t>, con 10.420,4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420AAD" w:rsidRPr="00236FBE">
        <w:rPr>
          <w:b/>
          <w:bCs/>
          <w:sz w:val="22"/>
          <w:szCs w:val="22"/>
        </w:rPr>
        <w:t>Islas Baleares</w:t>
      </w:r>
      <w:r w:rsidR="00420AAD">
        <w:rPr>
          <w:sz w:val="22"/>
          <w:szCs w:val="22"/>
        </w:rPr>
        <w:t xml:space="preserve"> </w:t>
      </w:r>
      <w:r w:rsidR="00F0190F">
        <w:rPr>
          <w:sz w:val="22"/>
          <w:szCs w:val="22"/>
        </w:rPr>
        <w:t>con 10.354,4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F0190F" w:rsidRPr="00236FBE">
        <w:rPr>
          <w:b/>
          <w:bCs/>
          <w:sz w:val="22"/>
          <w:szCs w:val="22"/>
        </w:rPr>
        <w:t>Guipúzcoa</w:t>
      </w:r>
      <w:r w:rsidR="00F0190F">
        <w:rPr>
          <w:sz w:val="22"/>
          <w:szCs w:val="22"/>
        </w:rPr>
        <w:t xml:space="preserve"> con 10.</w:t>
      </w:r>
      <w:r w:rsidR="00E85431">
        <w:rPr>
          <w:sz w:val="22"/>
          <w:szCs w:val="22"/>
        </w:rPr>
        <w:t>137,6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E85431" w:rsidRPr="00236FBE">
        <w:rPr>
          <w:b/>
          <w:bCs/>
          <w:sz w:val="22"/>
          <w:szCs w:val="22"/>
        </w:rPr>
        <w:t>Málaga</w:t>
      </w:r>
      <w:r w:rsidR="00E85431">
        <w:rPr>
          <w:sz w:val="22"/>
          <w:szCs w:val="22"/>
        </w:rPr>
        <w:t xml:space="preserve"> con 10.003,1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4F6D59" w:rsidRPr="00236FBE">
        <w:rPr>
          <w:b/>
          <w:bCs/>
          <w:sz w:val="22"/>
          <w:szCs w:val="22"/>
        </w:rPr>
        <w:t>Sevilla</w:t>
      </w:r>
      <w:r w:rsidR="004F6D59">
        <w:rPr>
          <w:sz w:val="22"/>
          <w:szCs w:val="22"/>
        </w:rPr>
        <w:t xml:space="preserve"> con 8.964,8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E93944" w:rsidRPr="00236FBE">
        <w:rPr>
          <w:b/>
          <w:bCs/>
          <w:sz w:val="22"/>
          <w:szCs w:val="22"/>
        </w:rPr>
        <w:t>Vizcaya</w:t>
      </w:r>
      <w:r w:rsidR="00E93944">
        <w:rPr>
          <w:sz w:val="22"/>
          <w:szCs w:val="22"/>
        </w:rPr>
        <w:t xml:space="preserve"> con 7.990,5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E93944" w:rsidRPr="00236FBE">
        <w:rPr>
          <w:b/>
          <w:bCs/>
          <w:sz w:val="22"/>
          <w:szCs w:val="22"/>
        </w:rPr>
        <w:t>Valencia</w:t>
      </w:r>
      <w:r w:rsidR="00E93944">
        <w:rPr>
          <w:sz w:val="22"/>
          <w:szCs w:val="22"/>
        </w:rPr>
        <w:t xml:space="preserve"> con 7.716,4</w:t>
      </w:r>
      <w:r w:rsidR="00BE6F00" w:rsidRPr="00BE6F00">
        <w:rPr>
          <w:sz w:val="22"/>
          <w:szCs w:val="22"/>
        </w:rPr>
        <w:t>€</w:t>
      </w:r>
      <w:r w:rsidR="00AB0DF2">
        <w:rPr>
          <w:sz w:val="22"/>
          <w:szCs w:val="22"/>
        </w:rPr>
        <w:t xml:space="preserve">, </w:t>
      </w:r>
      <w:r w:rsidR="00AE4139" w:rsidRPr="00AE4139">
        <w:rPr>
          <w:b/>
          <w:bCs/>
          <w:sz w:val="22"/>
          <w:szCs w:val="22"/>
        </w:rPr>
        <w:t>Murcia</w:t>
      </w:r>
      <w:r w:rsidR="00AE4139">
        <w:rPr>
          <w:sz w:val="22"/>
          <w:szCs w:val="22"/>
        </w:rPr>
        <w:t xml:space="preserve"> (7.25</w:t>
      </w:r>
      <w:r w:rsidR="00EC430E">
        <w:rPr>
          <w:sz w:val="22"/>
          <w:szCs w:val="22"/>
        </w:rPr>
        <w:t>6</w:t>
      </w:r>
      <w:r w:rsidR="00AE4139" w:rsidRPr="00BE6F00">
        <w:rPr>
          <w:sz w:val="22"/>
          <w:szCs w:val="22"/>
        </w:rPr>
        <w:t>€</w:t>
      </w:r>
      <w:r w:rsidR="00AE4139">
        <w:rPr>
          <w:sz w:val="22"/>
          <w:szCs w:val="22"/>
        </w:rPr>
        <w:t>)</w:t>
      </w:r>
      <w:r w:rsidR="0030487D">
        <w:rPr>
          <w:sz w:val="22"/>
          <w:szCs w:val="22"/>
        </w:rPr>
        <w:t xml:space="preserve"> y </w:t>
      </w:r>
      <w:r w:rsidR="005722F8" w:rsidRPr="00AE4139">
        <w:rPr>
          <w:b/>
          <w:bCs/>
          <w:sz w:val="22"/>
          <w:szCs w:val="22"/>
        </w:rPr>
        <w:t>Navarra</w:t>
      </w:r>
      <w:r w:rsidR="00263B2A">
        <w:rPr>
          <w:sz w:val="22"/>
          <w:szCs w:val="22"/>
        </w:rPr>
        <w:t xml:space="preserve"> (7.091,6</w:t>
      </w:r>
      <w:r w:rsidR="00263B2A" w:rsidRPr="00BE6F00">
        <w:rPr>
          <w:sz w:val="22"/>
          <w:szCs w:val="22"/>
        </w:rPr>
        <w:t>€</w:t>
      </w:r>
      <w:r w:rsidR="00263B2A">
        <w:rPr>
          <w:sz w:val="22"/>
          <w:szCs w:val="22"/>
        </w:rPr>
        <w:t>)</w:t>
      </w:r>
      <w:r w:rsidR="0030487D">
        <w:rPr>
          <w:sz w:val="22"/>
          <w:szCs w:val="22"/>
        </w:rPr>
        <w:t>.</w:t>
      </w:r>
    </w:p>
    <w:p w14:paraId="1E37FDA1" w14:textId="517F39D8" w:rsidR="00A91A44" w:rsidRDefault="0003602B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2E7C87">
        <w:rPr>
          <w:sz w:val="22"/>
          <w:szCs w:val="22"/>
        </w:rPr>
        <w:t xml:space="preserve">estas </w:t>
      </w:r>
      <w:r w:rsidR="0030487D">
        <w:rPr>
          <w:sz w:val="22"/>
          <w:szCs w:val="22"/>
        </w:rPr>
        <w:t>diez</w:t>
      </w:r>
      <w:r w:rsidR="002E7C87">
        <w:rPr>
          <w:sz w:val="22"/>
          <w:szCs w:val="22"/>
        </w:rPr>
        <w:t xml:space="preserve"> primeras, le siguen: </w:t>
      </w:r>
      <w:r w:rsidR="0030487D" w:rsidRPr="00236FBE">
        <w:rPr>
          <w:b/>
          <w:bCs/>
          <w:sz w:val="22"/>
          <w:szCs w:val="22"/>
        </w:rPr>
        <w:t>Guadalajara</w:t>
      </w:r>
      <w:r w:rsidR="0030487D">
        <w:rPr>
          <w:sz w:val="22"/>
          <w:szCs w:val="22"/>
        </w:rPr>
        <w:t xml:space="preserve"> con 6.846,3</w:t>
      </w:r>
      <w:r w:rsidR="0030487D" w:rsidRPr="00BE6F00">
        <w:rPr>
          <w:sz w:val="22"/>
          <w:szCs w:val="22"/>
        </w:rPr>
        <w:t>€</w:t>
      </w:r>
      <w:r w:rsidR="0030487D">
        <w:rPr>
          <w:sz w:val="22"/>
          <w:szCs w:val="22"/>
        </w:rPr>
        <w:t xml:space="preserve">, </w:t>
      </w:r>
      <w:r w:rsidR="0030487D" w:rsidRPr="00236FBE">
        <w:rPr>
          <w:b/>
          <w:bCs/>
          <w:sz w:val="22"/>
          <w:szCs w:val="22"/>
        </w:rPr>
        <w:t>Alicante</w:t>
      </w:r>
      <w:r w:rsidR="0030487D">
        <w:rPr>
          <w:sz w:val="22"/>
          <w:szCs w:val="22"/>
        </w:rPr>
        <w:t xml:space="preserve"> con 6.713,7</w:t>
      </w:r>
      <w:r w:rsidR="0030487D" w:rsidRPr="00BE6F00">
        <w:rPr>
          <w:sz w:val="22"/>
          <w:szCs w:val="22"/>
        </w:rPr>
        <w:t>€</w:t>
      </w:r>
      <w:r w:rsidR="0030487D">
        <w:rPr>
          <w:sz w:val="22"/>
          <w:szCs w:val="22"/>
        </w:rPr>
        <w:t xml:space="preserve">, </w:t>
      </w:r>
      <w:r w:rsidR="00BC7AB0" w:rsidRPr="00236FBE">
        <w:rPr>
          <w:b/>
          <w:bCs/>
          <w:sz w:val="22"/>
          <w:szCs w:val="22"/>
        </w:rPr>
        <w:t>Las Palmas</w:t>
      </w:r>
      <w:r w:rsidR="00BC7AB0">
        <w:rPr>
          <w:sz w:val="22"/>
          <w:szCs w:val="22"/>
        </w:rPr>
        <w:t xml:space="preserve"> (6.711,1</w:t>
      </w:r>
      <w:r w:rsidR="00BE6F00" w:rsidRPr="00BE6F00">
        <w:rPr>
          <w:sz w:val="22"/>
          <w:szCs w:val="22"/>
        </w:rPr>
        <w:t>€</w:t>
      </w:r>
      <w:r w:rsidR="00BC7AB0">
        <w:rPr>
          <w:sz w:val="22"/>
          <w:szCs w:val="22"/>
        </w:rPr>
        <w:t xml:space="preserve">), </w:t>
      </w:r>
      <w:r w:rsidR="00BC7AB0" w:rsidRPr="00236FBE">
        <w:rPr>
          <w:b/>
          <w:bCs/>
          <w:sz w:val="22"/>
          <w:szCs w:val="22"/>
        </w:rPr>
        <w:t>Granada</w:t>
      </w:r>
      <w:r w:rsidR="00BC7AB0">
        <w:rPr>
          <w:sz w:val="22"/>
          <w:szCs w:val="22"/>
        </w:rPr>
        <w:t xml:space="preserve"> (6.</w:t>
      </w:r>
      <w:r w:rsidR="000731BC">
        <w:rPr>
          <w:sz w:val="22"/>
          <w:szCs w:val="22"/>
        </w:rPr>
        <w:t>686,</w:t>
      </w:r>
      <w:r w:rsidR="00AD58E4">
        <w:rPr>
          <w:sz w:val="22"/>
          <w:szCs w:val="22"/>
        </w:rPr>
        <w:t>1</w:t>
      </w:r>
      <w:r w:rsidR="00BE6F00" w:rsidRPr="00BE6F00">
        <w:rPr>
          <w:sz w:val="22"/>
          <w:szCs w:val="22"/>
        </w:rPr>
        <w:t>€</w:t>
      </w:r>
      <w:r w:rsidR="00AD58E4">
        <w:rPr>
          <w:sz w:val="22"/>
          <w:szCs w:val="22"/>
        </w:rPr>
        <w:t xml:space="preserve">), </w:t>
      </w:r>
      <w:r w:rsidR="00AD58E4" w:rsidRPr="00236FBE">
        <w:rPr>
          <w:b/>
          <w:bCs/>
          <w:sz w:val="22"/>
          <w:szCs w:val="22"/>
        </w:rPr>
        <w:t>Álava</w:t>
      </w:r>
      <w:r w:rsidR="00AD58E4">
        <w:rPr>
          <w:sz w:val="22"/>
          <w:szCs w:val="22"/>
        </w:rPr>
        <w:t xml:space="preserve"> (6.685,8</w:t>
      </w:r>
      <w:r w:rsidR="00BE6F00" w:rsidRPr="00BE6F00">
        <w:rPr>
          <w:sz w:val="22"/>
          <w:szCs w:val="22"/>
        </w:rPr>
        <w:t>€</w:t>
      </w:r>
      <w:r w:rsidR="00AD58E4">
        <w:rPr>
          <w:sz w:val="22"/>
          <w:szCs w:val="22"/>
        </w:rPr>
        <w:t xml:space="preserve">), </w:t>
      </w:r>
      <w:r w:rsidR="00AD58E4" w:rsidRPr="00236FBE">
        <w:rPr>
          <w:b/>
          <w:bCs/>
          <w:sz w:val="22"/>
          <w:szCs w:val="22"/>
        </w:rPr>
        <w:t>Cádiz</w:t>
      </w:r>
      <w:r w:rsidR="00AD58E4">
        <w:rPr>
          <w:sz w:val="22"/>
          <w:szCs w:val="22"/>
        </w:rPr>
        <w:t xml:space="preserve"> (6.478,</w:t>
      </w:r>
      <w:r w:rsidR="00105F8C">
        <w:rPr>
          <w:sz w:val="22"/>
          <w:szCs w:val="22"/>
        </w:rPr>
        <w:t>5</w:t>
      </w:r>
      <w:r w:rsidR="00BE6F00" w:rsidRPr="00BE6F00">
        <w:rPr>
          <w:sz w:val="22"/>
          <w:szCs w:val="22"/>
        </w:rPr>
        <w:t>€</w:t>
      </w:r>
      <w:r w:rsidR="00105F8C">
        <w:rPr>
          <w:sz w:val="22"/>
          <w:szCs w:val="22"/>
        </w:rPr>
        <w:t xml:space="preserve">), </w:t>
      </w:r>
      <w:r w:rsidR="00FD6FD0" w:rsidRPr="00FD6FD0">
        <w:rPr>
          <w:b/>
          <w:bCs/>
          <w:sz w:val="22"/>
          <w:szCs w:val="22"/>
        </w:rPr>
        <w:t>Canarias</w:t>
      </w:r>
      <w:r w:rsidR="00FD6FD0">
        <w:rPr>
          <w:sz w:val="22"/>
          <w:szCs w:val="22"/>
        </w:rPr>
        <w:t xml:space="preserve"> (6.348,1</w:t>
      </w:r>
      <w:r w:rsidR="00FD6FD0" w:rsidRPr="00BE6F00">
        <w:rPr>
          <w:sz w:val="22"/>
          <w:szCs w:val="22"/>
        </w:rPr>
        <w:t>€</w:t>
      </w:r>
      <w:r w:rsidR="00FD6FD0">
        <w:rPr>
          <w:sz w:val="22"/>
          <w:szCs w:val="22"/>
        </w:rPr>
        <w:t xml:space="preserve">), </w:t>
      </w:r>
      <w:r w:rsidR="00105F8C" w:rsidRPr="00236FBE">
        <w:rPr>
          <w:b/>
          <w:bCs/>
          <w:sz w:val="22"/>
          <w:szCs w:val="22"/>
        </w:rPr>
        <w:t>Toledo</w:t>
      </w:r>
      <w:r w:rsidR="00105F8C">
        <w:rPr>
          <w:sz w:val="22"/>
          <w:szCs w:val="22"/>
        </w:rPr>
        <w:t xml:space="preserve"> (6.144,9</w:t>
      </w:r>
      <w:r w:rsidR="00BE6F00" w:rsidRPr="00BE6F00">
        <w:rPr>
          <w:sz w:val="22"/>
          <w:szCs w:val="22"/>
        </w:rPr>
        <w:t>€</w:t>
      </w:r>
      <w:r w:rsidR="00105F8C">
        <w:rPr>
          <w:sz w:val="22"/>
          <w:szCs w:val="22"/>
        </w:rPr>
        <w:t xml:space="preserve">), </w:t>
      </w:r>
      <w:r w:rsidR="00105F8C" w:rsidRPr="00236FBE">
        <w:rPr>
          <w:b/>
          <w:bCs/>
          <w:sz w:val="22"/>
          <w:szCs w:val="22"/>
        </w:rPr>
        <w:t>Almería</w:t>
      </w:r>
      <w:r w:rsidR="00105F8C">
        <w:rPr>
          <w:sz w:val="22"/>
          <w:szCs w:val="22"/>
        </w:rPr>
        <w:t xml:space="preserve"> (6.090,9</w:t>
      </w:r>
      <w:r w:rsidR="00BE6F00" w:rsidRPr="00BE6F00">
        <w:rPr>
          <w:sz w:val="22"/>
          <w:szCs w:val="22"/>
        </w:rPr>
        <w:t>€</w:t>
      </w:r>
      <w:r w:rsidR="00105F8C">
        <w:rPr>
          <w:sz w:val="22"/>
          <w:szCs w:val="22"/>
        </w:rPr>
        <w:t xml:space="preserve">), </w:t>
      </w:r>
      <w:r w:rsidR="00F35E3E" w:rsidRPr="00236FBE">
        <w:rPr>
          <w:b/>
          <w:bCs/>
          <w:sz w:val="22"/>
          <w:szCs w:val="22"/>
        </w:rPr>
        <w:t>Tarragona</w:t>
      </w:r>
      <w:r w:rsidR="00F35E3E">
        <w:rPr>
          <w:sz w:val="22"/>
          <w:szCs w:val="22"/>
        </w:rPr>
        <w:t xml:space="preserve"> (6.084,5</w:t>
      </w:r>
      <w:r w:rsidR="00BE6F00" w:rsidRPr="00BE6F00">
        <w:rPr>
          <w:sz w:val="22"/>
          <w:szCs w:val="22"/>
        </w:rPr>
        <w:t>€</w:t>
      </w:r>
      <w:r w:rsidR="00F35E3E">
        <w:rPr>
          <w:sz w:val="22"/>
          <w:szCs w:val="22"/>
        </w:rPr>
        <w:t xml:space="preserve">) y </w:t>
      </w:r>
      <w:r w:rsidR="00F35E3E" w:rsidRPr="00236FBE">
        <w:rPr>
          <w:b/>
          <w:bCs/>
          <w:sz w:val="22"/>
          <w:szCs w:val="22"/>
        </w:rPr>
        <w:t>La Coruña</w:t>
      </w:r>
      <w:r w:rsidR="00F35E3E">
        <w:rPr>
          <w:sz w:val="22"/>
          <w:szCs w:val="22"/>
        </w:rPr>
        <w:t xml:space="preserve"> (6.015,2</w:t>
      </w:r>
      <w:r w:rsidR="00BE6F00" w:rsidRPr="00BE6F00">
        <w:rPr>
          <w:sz w:val="22"/>
          <w:szCs w:val="22"/>
        </w:rPr>
        <w:t>€</w:t>
      </w:r>
      <w:r w:rsidR="00F35E3E">
        <w:rPr>
          <w:sz w:val="22"/>
          <w:szCs w:val="22"/>
        </w:rPr>
        <w:t xml:space="preserve">). </w:t>
      </w:r>
    </w:p>
    <w:p w14:paraId="31159B79" w14:textId="7F2176BA" w:rsidR="009A5191" w:rsidRPr="009A5191" w:rsidRDefault="009A5191" w:rsidP="009A5191">
      <w:pPr>
        <w:jc w:val="center"/>
        <w:rPr>
          <w:b/>
          <w:bCs/>
          <w:sz w:val="22"/>
          <w:szCs w:val="22"/>
        </w:rPr>
      </w:pPr>
      <w:r w:rsidRPr="009A5191">
        <w:rPr>
          <w:b/>
          <w:bCs/>
          <w:sz w:val="22"/>
          <w:szCs w:val="22"/>
        </w:rPr>
        <w:t>Las diez provincias con mayor morosidad en 2025</w:t>
      </w:r>
    </w:p>
    <w:p w14:paraId="1B66F0BF" w14:textId="193EB6EC" w:rsidR="009A5191" w:rsidRDefault="008B651A" w:rsidP="00A725F3">
      <w:pPr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15FC2EB0" wp14:editId="29865638">
            <wp:extent cx="5400040" cy="3025775"/>
            <wp:effectExtent l="0" t="0" r="0" b="3175"/>
            <wp:docPr id="332482023" name="Imagen 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82023" name="Imagen 4" descr="Icon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A92BC" w14:textId="77777777" w:rsidR="009A5191" w:rsidRDefault="009A5191" w:rsidP="00A725F3">
      <w:pPr>
        <w:jc w:val="both"/>
        <w:rPr>
          <w:b/>
          <w:bCs/>
          <w:sz w:val="22"/>
          <w:szCs w:val="22"/>
        </w:rPr>
      </w:pPr>
    </w:p>
    <w:p w14:paraId="122B8CB0" w14:textId="572EA2DB" w:rsidR="00971EA9" w:rsidRDefault="00A91A44" w:rsidP="00A725F3">
      <w:pPr>
        <w:jc w:val="both"/>
        <w:rPr>
          <w:sz w:val="22"/>
          <w:szCs w:val="22"/>
        </w:rPr>
      </w:pPr>
      <w:r w:rsidRPr="00236FBE">
        <w:rPr>
          <w:b/>
          <w:bCs/>
          <w:sz w:val="22"/>
          <w:szCs w:val="22"/>
        </w:rPr>
        <w:t>Por debajo de la barrera de los 6.000</w:t>
      </w:r>
      <w:r w:rsidR="00BE6F00" w:rsidRPr="00236FBE">
        <w:rPr>
          <w:b/>
          <w:bCs/>
          <w:sz w:val="22"/>
          <w:szCs w:val="22"/>
        </w:rPr>
        <w:t>€</w:t>
      </w:r>
      <w:r w:rsidR="00BE6F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sitúan provincias </w:t>
      </w:r>
      <w:r w:rsidR="00A01B16">
        <w:rPr>
          <w:sz w:val="22"/>
          <w:szCs w:val="22"/>
        </w:rPr>
        <w:t xml:space="preserve">como </w:t>
      </w:r>
      <w:r w:rsidR="00A01B16" w:rsidRPr="00236FBE">
        <w:rPr>
          <w:b/>
          <w:bCs/>
          <w:sz w:val="22"/>
          <w:szCs w:val="22"/>
        </w:rPr>
        <w:t>Santa</w:t>
      </w:r>
      <w:r w:rsidR="00BE6F00" w:rsidRPr="00236FBE">
        <w:rPr>
          <w:b/>
          <w:bCs/>
          <w:sz w:val="22"/>
          <w:szCs w:val="22"/>
        </w:rPr>
        <w:t xml:space="preserve"> Cruz de Tenerife</w:t>
      </w:r>
      <w:r w:rsidR="00BE6F00">
        <w:rPr>
          <w:sz w:val="22"/>
          <w:szCs w:val="22"/>
        </w:rPr>
        <w:t xml:space="preserve"> (5.968,4</w:t>
      </w:r>
      <w:r w:rsidR="00BE6F00" w:rsidRPr="00BE6F00">
        <w:rPr>
          <w:sz w:val="22"/>
          <w:szCs w:val="22"/>
        </w:rPr>
        <w:t>€</w:t>
      </w:r>
      <w:r w:rsidR="00BE6F00">
        <w:rPr>
          <w:sz w:val="22"/>
          <w:szCs w:val="22"/>
        </w:rPr>
        <w:t xml:space="preserve">), </w:t>
      </w:r>
      <w:r w:rsidR="00BE6F00" w:rsidRPr="00236FBE">
        <w:rPr>
          <w:b/>
          <w:bCs/>
          <w:sz w:val="22"/>
          <w:szCs w:val="22"/>
        </w:rPr>
        <w:t>Zaragoza</w:t>
      </w:r>
      <w:r w:rsidR="00BE6F00">
        <w:rPr>
          <w:sz w:val="22"/>
          <w:szCs w:val="22"/>
        </w:rPr>
        <w:t xml:space="preserve"> (5.</w:t>
      </w:r>
      <w:r w:rsidR="0064156E">
        <w:rPr>
          <w:sz w:val="22"/>
          <w:szCs w:val="22"/>
        </w:rPr>
        <w:t>914,8</w:t>
      </w:r>
      <w:r w:rsidR="0064156E" w:rsidRPr="00BE6F00">
        <w:rPr>
          <w:sz w:val="22"/>
          <w:szCs w:val="22"/>
        </w:rPr>
        <w:t>€</w:t>
      </w:r>
      <w:r w:rsidR="0064156E">
        <w:rPr>
          <w:sz w:val="22"/>
          <w:szCs w:val="22"/>
        </w:rPr>
        <w:t xml:space="preserve">), </w:t>
      </w:r>
      <w:r w:rsidR="0064156E" w:rsidRPr="00236FBE">
        <w:rPr>
          <w:b/>
          <w:bCs/>
          <w:sz w:val="22"/>
          <w:szCs w:val="22"/>
        </w:rPr>
        <w:t>G</w:t>
      </w:r>
      <w:r w:rsidR="00236FBE" w:rsidRPr="00236FBE">
        <w:rPr>
          <w:b/>
          <w:bCs/>
          <w:sz w:val="22"/>
          <w:szCs w:val="22"/>
        </w:rPr>
        <w:t>i</w:t>
      </w:r>
      <w:r w:rsidR="0064156E" w:rsidRPr="00236FBE">
        <w:rPr>
          <w:b/>
          <w:bCs/>
          <w:sz w:val="22"/>
          <w:szCs w:val="22"/>
        </w:rPr>
        <w:t>rona</w:t>
      </w:r>
      <w:r w:rsidR="0064156E">
        <w:rPr>
          <w:sz w:val="22"/>
          <w:szCs w:val="22"/>
        </w:rPr>
        <w:t xml:space="preserve"> (5.705,9</w:t>
      </w:r>
      <w:r w:rsidR="0064156E" w:rsidRPr="00BE6F00">
        <w:rPr>
          <w:sz w:val="22"/>
          <w:szCs w:val="22"/>
        </w:rPr>
        <w:t>€</w:t>
      </w:r>
      <w:r w:rsidR="0064156E">
        <w:rPr>
          <w:sz w:val="22"/>
          <w:szCs w:val="22"/>
        </w:rPr>
        <w:t xml:space="preserve">), </w:t>
      </w:r>
      <w:r w:rsidR="00D01138" w:rsidRPr="00F77D5C">
        <w:rPr>
          <w:b/>
          <w:bCs/>
          <w:sz w:val="22"/>
          <w:szCs w:val="22"/>
        </w:rPr>
        <w:t>Cantabria</w:t>
      </w:r>
      <w:r w:rsidR="00D01138">
        <w:rPr>
          <w:sz w:val="22"/>
          <w:szCs w:val="22"/>
        </w:rPr>
        <w:t xml:space="preserve"> (5.689,3</w:t>
      </w:r>
      <w:r w:rsidR="00D01138" w:rsidRPr="00BE6F00">
        <w:rPr>
          <w:sz w:val="22"/>
          <w:szCs w:val="22"/>
        </w:rPr>
        <w:t>€</w:t>
      </w:r>
      <w:r w:rsidR="00D01138">
        <w:rPr>
          <w:sz w:val="22"/>
          <w:szCs w:val="22"/>
        </w:rPr>
        <w:t xml:space="preserve">), </w:t>
      </w:r>
      <w:r w:rsidR="00D01138" w:rsidRPr="00F77D5C">
        <w:rPr>
          <w:b/>
          <w:bCs/>
          <w:sz w:val="22"/>
          <w:szCs w:val="22"/>
        </w:rPr>
        <w:t>Ceuta</w:t>
      </w:r>
      <w:r w:rsidR="00D01138">
        <w:rPr>
          <w:sz w:val="22"/>
          <w:szCs w:val="22"/>
        </w:rPr>
        <w:t xml:space="preserve"> (5.</w:t>
      </w:r>
      <w:r w:rsidR="00F77D5C">
        <w:rPr>
          <w:sz w:val="22"/>
          <w:szCs w:val="22"/>
        </w:rPr>
        <w:t>989,3</w:t>
      </w:r>
      <w:r w:rsidR="00F77D5C" w:rsidRPr="00BE6F00">
        <w:rPr>
          <w:sz w:val="22"/>
          <w:szCs w:val="22"/>
        </w:rPr>
        <w:t>€</w:t>
      </w:r>
      <w:r w:rsidR="00F77D5C">
        <w:rPr>
          <w:sz w:val="22"/>
          <w:szCs w:val="22"/>
        </w:rPr>
        <w:t xml:space="preserve">), </w:t>
      </w:r>
      <w:r w:rsidR="0064156E" w:rsidRPr="00236FBE">
        <w:rPr>
          <w:b/>
          <w:bCs/>
          <w:sz w:val="22"/>
          <w:szCs w:val="22"/>
        </w:rPr>
        <w:t>Pontevedra</w:t>
      </w:r>
      <w:r w:rsidR="0064156E">
        <w:rPr>
          <w:sz w:val="22"/>
          <w:szCs w:val="22"/>
        </w:rPr>
        <w:t xml:space="preserve"> (5.517,8</w:t>
      </w:r>
      <w:r w:rsidR="0064156E" w:rsidRPr="00BE6F00">
        <w:rPr>
          <w:sz w:val="22"/>
          <w:szCs w:val="22"/>
        </w:rPr>
        <w:t>€</w:t>
      </w:r>
      <w:r w:rsidR="0064156E">
        <w:rPr>
          <w:sz w:val="22"/>
          <w:szCs w:val="22"/>
        </w:rPr>
        <w:t xml:space="preserve">), </w:t>
      </w:r>
      <w:r w:rsidR="008B1F89" w:rsidRPr="00236FBE">
        <w:rPr>
          <w:b/>
          <w:bCs/>
          <w:sz w:val="22"/>
          <w:szCs w:val="22"/>
        </w:rPr>
        <w:t>Castellón</w:t>
      </w:r>
      <w:r w:rsidR="008B1F89">
        <w:rPr>
          <w:sz w:val="22"/>
          <w:szCs w:val="22"/>
        </w:rPr>
        <w:t xml:space="preserve"> (5.251</w:t>
      </w:r>
      <w:r w:rsidR="008B1F89" w:rsidRPr="00BE6F00">
        <w:rPr>
          <w:sz w:val="22"/>
          <w:szCs w:val="22"/>
        </w:rPr>
        <w:t>€</w:t>
      </w:r>
      <w:r w:rsidR="008B1F89">
        <w:rPr>
          <w:sz w:val="22"/>
          <w:szCs w:val="22"/>
        </w:rPr>
        <w:t xml:space="preserve">), </w:t>
      </w:r>
      <w:r w:rsidR="008B1F89" w:rsidRPr="00236FBE">
        <w:rPr>
          <w:b/>
          <w:bCs/>
          <w:sz w:val="22"/>
          <w:szCs w:val="22"/>
        </w:rPr>
        <w:t>Córdoba</w:t>
      </w:r>
      <w:r w:rsidR="008B1F89">
        <w:rPr>
          <w:sz w:val="22"/>
          <w:szCs w:val="22"/>
        </w:rPr>
        <w:t xml:space="preserve"> (5.232,3</w:t>
      </w:r>
      <w:r w:rsidR="008B1F89" w:rsidRPr="00BE6F00">
        <w:rPr>
          <w:sz w:val="22"/>
          <w:szCs w:val="22"/>
        </w:rPr>
        <w:t>€</w:t>
      </w:r>
      <w:r w:rsidR="008B1F89">
        <w:rPr>
          <w:sz w:val="22"/>
          <w:szCs w:val="22"/>
        </w:rPr>
        <w:t xml:space="preserve">) y </w:t>
      </w:r>
      <w:r w:rsidR="00A01B16" w:rsidRPr="00236FBE">
        <w:rPr>
          <w:b/>
          <w:bCs/>
          <w:sz w:val="22"/>
          <w:szCs w:val="22"/>
        </w:rPr>
        <w:t>Valladolid</w:t>
      </w:r>
      <w:r w:rsidR="00A01B16">
        <w:rPr>
          <w:sz w:val="22"/>
          <w:szCs w:val="22"/>
        </w:rPr>
        <w:t xml:space="preserve"> (5.050,4</w:t>
      </w:r>
      <w:r w:rsidR="00A01B16" w:rsidRPr="00BE6F00">
        <w:rPr>
          <w:sz w:val="22"/>
          <w:szCs w:val="22"/>
        </w:rPr>
        <w:t>€</w:t>
      </w:r>
      <w:r w:rsidR="00A01B16">
        <w:rPr>
          <w:sz w:val="22"/>
          <w:szCs w:val="22"/>
        </w:rPr>
        <w:t xml:space="preserve">). </w:t>
      </w:r>
    </w:p>
    <w:p w14:paraId="432D50D5" w14:textId="3266E5DE" w:rsidR="00A01B16" w:rsidRDefault="00A01B16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otro lado, </w:t>
      </w:r>
      <w:r w:rsidRPr="00236FBE">
        <w:rPr>
          <w:b/>
          <w:bCs/>
          <w:sz w:val="22"/>
          <w:szCs w:val="22"/>
        </w:rPr>
        <w:t>entre los 5.000€ y los 3.000€</w:t>
      </w:r>
      <w:r>
        <w:rPr>
          <w:sz w:val="22"/>
          <w:szCs w:val="22"/>
        </w:rPr>
        <w:t xml:space="preserve"> se encuentran </w:t>
      </w:r>
      <w:r w:rsidRPr="00236FBE">
        <w:rPr>
          <w:b/>
          <w:bCs/>
          <w:sz w:val="22"/>
          <w:szCs w:val="22"/>
        </w:rPr>
        <w:t>Albacete</w:t>
      </w:r>
      <w:r>
        <w:rPr>
          <w:sz w:val="22"/>
          <w:szCs w:val="22"/>
        </w:rPr>
        <w:t xml:space="preserve"> (4.982,7</w:t>
      </w:r>
      <w:r w:rsidRPr="00BE6F00">
        <w:rPr>
          <w:sz w:val="22"/>
          <w:szCs w:val="22"/>
        </w:rPr>
        <w:t>€</w:t>
      </w:r>
      <w:r>
        <w:rPr>
          <w:sz w:val="22"/>
          <w:szCs w:val="22"/>
        </w:rPr>
        <w:t xml:space="preserve">), </w:t>
      </w:r>
      <w:r w:rsidRPr="00236FBE">
        <w:rPr>
          <w:b/>
          <w:bCs/>
          <w:sz w:val="22"/>
          <w:szCs w:val="22"/>
        </w:rPr>
        <w:t>A</w:t>
      </w:r>
      <w:r w:rsidR="00497E5A" w:rsidRPr="00236FBE">
        <w:rPr>
          <w:b/>
          <w:bCs/>
          <w:sz w:val="22"/>
          <w:szCs w:val="22"/>
        </w:rPr>
        <w:t>sturias</w:t>
      </w:r>
      <w:r w:rsidR="00497E5A">
        <w:rPr>
          <w:sz w:val="22"/>
          <w:szCs w:val="22"/>
        </w:rPr>
        <w:t xml:space="preserve"> (4.875,6</w:t>
      </w:r>
      <w:r w:rsidR="00497E5A" w:rsidRPr="00BE6F00">
        <w:rPr>
          <w:sz w:val="22"/>
          <w:szCs w:val="22"/>
        </w:rPr>
        <w:t>€</w:t>
      </w:r>
      <w:r w:rsidR="00497E5A">
        <w:rPr>
          <w:sz w:val="22"/>
          <w:szCs w:val="22"/>
        </w:rPr>
        <w:t xml:space="preserve">), </w:t>
      </w:r>
      <w:r w:rsidR="00497E5A" w:rsidRPr="00236FBE">
        <w:rPr>
          <w:b/>
          <w:bCs/>
          <w:sz w:val="22"/>
          <w:szCs w:val="22"/>
        </w:rPr>
        <w:t>Melilla</w:t>
      </w:r>
      <w:r w:rsidR="00497E5A">
        <w:rPr>
          <w:sz w:val="22"/>
          <w:szCs w:val="22"/>
        </w:rPr>
        <w:t xml:space="preserve"> (4.832,2</w:t>
      </w:r>
      <w:r w:rsidR="00497E5A" w:rsidRPr="00BE6F00">
        <w:rPr>
          <w:sz w:val="22"/>
          <w:szCs w:val="22"/>
        </w:rPr>
        <w:t>€</w:t>
      </w:r>
      <w:r w:rsidR="00497E5A">
        <w:rPr>
          <w:sz w:val="22"/>
          <w:szCs w:val="22"/>
        </w:rPr>
        <w:t xml:space="preserve">), </w:t>
      </w:r>
      <w:r w:rsidR="00497E5A" w:rsidRPr="00236FBE">
        <w:rPr>
          <w:b/>
          <w:bCs/>
          <w:sz w:val="22"/>
          <w:szCs w:val="22"/>
        </w:rPr>
        <w:t>Salamanca</w:t>
      </w:r>
      <w:r w:rsidR="00497E5A">
        <w:rPr>
          <w:sz w:val="22"/>
          <w:szCs w:val="22"/>
        </w:rPr>
        <w:t xml:space="preserve"> (4.817,5</w:t>
      </w:r>
      <w:r w:rsidR="00497E5A" w:rsidRPr="00BE6F00">
        <w:rPr>
          <w:sz w:val="22"/>
          <w:szCs w:val="22"/>
        </w:rPr>
        <w:t>€</w:t>
      </w:r>
      <w:r w:rsidR="00497E5A">
        <w:rPr>
          <w:sz w:val="22"/>
          <w:szCs w:val="22"/>
        </w:rPr>
        <w:t xml:space="preserve">), </w:t>
      </w:r>
      <w:r w:rsidR="00497E5A" w:rsidRPr="00236FBE">
        <w:rPr>
          <w:b/>
          <w:bCs/>
          <w:sz w:val="22"/>
          <w:szCs w:val="22"/>
        </w:rPr>
        <w:t>León</w:t>
      </w:r>
      <w:r w:rsidR="00497E5A">
        <w:rPr>
          <w:sz w:val="22"/>
          <w:szCs w:val="22"/>
        </w:rPr>
        <w:t xml:space="preserve"> (</w:t>
      </w:r>
      <w:r w:rsidR="006A3719">
        <w:rPr>
          <w:sz w:val="22"/>
          <w:szCs w:val="22"/>
        </w:rPr>
        <w:t>4.631,8</w:t>
      </w:r>
      <w:r w:rsidR="006A3719" w:rsidRPr="00BE6F00">
        <w:rPr>
          <w:sz w:val="22"/>
          <w:szCs w:val="22"/>
        </w:rPr>
        <w:t>€</w:t>
      </w:r>
      <w:r w:rsidR="006A3719">
        <w:rPr>
          <w:sz w:val="22"/>
          <w:szCs w:val="22"/>
        </w:rPr>
        <w:t xml:space="preserve">), </w:t>
      </w:r>
      <w:r w:rsidR="006A3719" w:rsidRPr="00236FBE">
        <w:rPr>
          <w:b/>
          <w:bCs/>
          <w:sz w:val="22"/>
          <w:szCs w:val="22"/>
        </w:rPr>
        <w:t>Huelva</w:t>
      </w:r>
      <w:r w:rsidR="006A3719">
        <w:rPr>
          <w:sz w:val="22"/>
          <w:szCs w:val="22"/>
        </w:rPr>
        <w:t xml:space="preserve"> (4.430,2</w:t>
      </w:r>
      <w:r w:rsidR="006A3719" w:rsidRPr="00BE6F00">
        <w:rPr>
          <w:sz w:val="22"/>
          <w:szCs w:val="22"/>
        </w:rPr>
        <w:t>€</w:t>
      </w:r>
      <w:r w:rsidR="006A3719">
        <w:rPr>
          <w:sz w:val="22"/>
          <w:szCs w:val="22"/>
        </w:rPr>
        <w:t xml:space="preserve">), </w:t>
      </w:r>
      <w:r w:rsidR="006A3719" w:rsidRPr="00236FBE">
        <w:rPr>
          <w:b/>
          <w:bCs/>
          <w:sz w:val="22"/>
          <w:szCs w:val="22"/>
        </w:rPr>
        <w:t>Burgos</w:t>
      </w:r>
      <w:r w:rsidR="006A3719">
        <w:rPr>
          <w:sz w:val="22"/>
          <w:szCs w:val="22"/>
        </w:rPr>
        <w:t xml:space="preserve"> (4.418,1</w:t>
      </w:r>
      <w:r w:rsidR="006A3719" w:rsidRPr="00BE6F00">
        <w:rPr>
          <w:sz w:val="22"/>
          <w:szCs w:val="22"/>
        </w:rPr>
        <w:t>€</w:t>
      </w:r>
      <w:r w:rsidR="006A3719">
        <w:rPr>
          <w:sz w:val="22"/>
          <w:szCs w:val="22"/>
        </w:rPr>
        <w:t xml:space="preserve">), </w:t>
      </w:r>
      <w:r w:rsidR="004E5D56" w:rsidRPr="00236FBE">
        <w:rPr>
          <w:b/>
          <w:bCs/>
          <w:sz w:val="22"/>
          <w:szCs w:val="22"/>
        </w:rPr>
        <w:t>Segovia</w:t>
      </w:r>
      <w:r w:rsidR="004E5D56">
        <w:rPr>
          <w:sz w:val="22"/>
          <w:szCs w:val="22"/>
        </w:rPr>
        <w:t xml:space="preserve"> (4.402,7</w:t>
      </w:r>
      <w:r w:rsidR="004E5D56" w:rsidRPr="00BE6F00">
        <w:rPr>
          <w:sz w:val="22"/>
          <w:szCs w:val="22"/>
        </w:rPr>
        <w:t>€</w:t>
      </w:r>
      <w:r w:rsidR="004E5D56">
        <w:rPr>
          <w:sz w:val="22"/>
          <w:szCs w:val="22"/>
        </w:rPr>
        <w:t xml:space="preserve">), </w:t>
      </w:r>
      <w:r w:rsidR="004E5D56" w:rsidRPr="00236FBE">
        <w:rPr>
          <w:b/>
          <w:bCs/>
          <w:sz w:val="22"/>
          <w:szCs w:val="22"/>
        </w:rPr>
        <w:t>Lérida</w:t>
      </w:r>
      <w:r w:rsidR="004E5D56">
        <w:rPr>
          <w:sz w:val="22"/>
          <w:szCs w:val="22"/>
        </w:rPr>
        <w:t xml:space="preserve"> (4.376,9</w:t>
      </w:r>
      <w:r w:rsidR="004E5D56" w:rsidRPr="00BE6F00">
        <w:rPr>
          <w:sz w:val="22"/>
          <w:szCs w:val="22"/>
        </w:rPr>
        <w:t>€</w:t>
      </w:r>
      <w:r w:rsidR="004E5D56">
        <w:rPr>
          <w:sz w:val="22"/>
          <w:szCs w:val="22"/>
        </w:rPr>
        <w:t xml:space="preserve">), </w:t>
      </w:r>
      <w:r w:rsidR="004E5D56" w:rsidRPr="00236FBE">
        <w:rPr>
          <w:b/>
          <w:bCs/>
          <w:sz w:val="22"/>
          <w:szCs w:val="22"/>
        </w:rPr>
        <w:t>Lugo</w:t>
      </w:r>
      <w:r w:rsidR="004E5D56">
        <w:rPr>
          <w:sz w:val="22"/>
          <w:szCs w:val="22"/>
        </w:rPr>
        <w:t xml:space="preserve"> (4.37</w:t>
      </w:r>
      <w:r w:rsidR="006E378C">
        <w:rPr>
          <w:sz w:val="22"/>
          <w:szCs w:val="22"/>
        </w:rPr>
        <w:t>3,9</w:t>
      </w:r>
      <w:r w:rsidR="00307111" w:rsidRPr="00BE6F00">
        <w:rPr>
          <w:sz w:val="22"/>
          <w:szCs w:val="22"/>
        </w:rPr>
        <w:t>€</w:t>
      </w:r>
      <w:r w:rsidR="00307111">
        <w:rPr>
          <w:sz w:val="22"/>
          <w:szCs w:val="22"/>
        </w:rPr>
        <w:t xml:space="preserve">), </w:t>
      </w:r>
      <w:r w:rsidR="00307111" w:rsidRPr="00236FBE">
        <w:rPr>
          <w:b/>
          <w:bCs/>
          <w:sz w:val="22"/>
          <w:szCs w:val="22"/>
        </w:rPr>
        <w:t>Ciudad Real</w:t>
      </w:r>
      <w:r w:rsidR="00307111">
        <w:rPr>
          <w:sz w:val="22"/>
          <w:szCs w:val="22"/>
        </w:rPr>
        <w:t xml:space="preserve"> (4.236,5</w:t>
      </w:r>
      <w:r w:rsidR="00307111" w:rsidRPr="00BE6F00">
        <w:rPr>
          <w:sz w:val="22"/>
          <w:szCs w:val="22"/>
        </w:rPr>
        <w:t>€</w:t>
      </w:r>
      <w:r w:rsidR="00307111">
        <w:rPr>
          <w:sz w:val="22"/>
          <w:szCs w:val="22"/>
        </w:rPr>
        <w:t xml:space="preserve">), </w:t>
      </w:r>
      <w:r w:rsidR="00307111" w:rsidRPr="00236FBE">
        <w:rPr>
          <w:b/>
          <w:bCs/>
          <w:sz w:val="22"/>
          <w:szCs w:val="22"/>
        </w:rPr>
        <w:t>Orense</w:t>
      </w:r>
      <w:r w:rsidR="00307111">
        <w:rPr>
          <w:sz w:val="22"/>
          <w:szCs w:val="22"/>
        </w:rPr>
        <w:t xml:space="preserve"> (4.205,</w:t>
      </w:r>
      <w:r w:rsidR="00584CC6">
        <w:rPr>
          <w:sz w:val="22"/>
          <w:szCs w:val="22"/>
        </w:rPr>
        <w:t>8</w:t>
      </w:r>
      <w:r w:rsidR="00584CC6" w:rsidRPr="00BE6F00">
        <w:rPr>
          <w:sz w:val="22"/>
          <w:szCs w:val="22"/>
        </w:rPr>
        <w:t>€</w:t>
      </w:r>
      <w:r w:rsidR="00584CC6">
        <w:rPr>
          <w:sz w:val="22"/>
          <w:szCs w:val="22"/>
        </w:rPr>
        <w:t xml:space="preserve">), </w:t>
      </w:r>
      <w:r w:rsidR="00584CC6" w:rsidRPr="00236FBE">
        <w:rPr>
          <w:b/>
          <w:bCs/>
          <w:sz w:val="22"/>
          <w:szCs w:val="22"/>
        </w:rPr>
        <w:t>La Rio</w:t>
      </w:r>
      <w:r w:rsidR="00B2573D" w:rsidRPr="00236FBE">
        <w:rPr>
          <w:b/>
          <w:bCs/>
          <w:sz w:val="22"/>
          <w:szCs w:val="22"/>
        </w:rPr>
        <w:t>ja</w:t>
      </w:r>
      <w:r w:rsidR="00B2573D">
        <w:rPr>
          <w:sz w:val="22"/>
          <w:szCs w:val="22"/>
        </w:rPr>
        <w:t xml:space="preserve"> (4.098,7</w:t>
      </w:r>
      <w:r w:rsidR="00B2573D" w:rsidRPr="00BE6F00">
        <w:rPr>
          <w:sz w:val="22"/>
          <w:szCs w:val="22"/>
        </w:rPr>
        <w:t>€</w:t>
      </w:r>
      <w:r w:rsidR="00B2573D">
        <w:rPr>
          <w:sz w:val="22"/>
          <w:szCs w:val="22"/>
        </w:rPr>
        <w:t xml:space="preserve">), </w:t>
      </w:r>
      <w:r w:rsidR="00B2573D" w:rsidRPr="00236FBE">
        <w:rPr>
          <w:b/>
          <w:bCs/>
          <w:sz w:val="22"/>
          <w:szCs w:val="22"/>
        </w:rPr>
        <w:t>Teruel</w:t>
      </w:r>
      <w:r w:rsidR="00B2573D">
        <w:rPr>
          <w:sz w:val="22"/>
          <w:szCs w:val="22"/>
        </w:rPr>
        <w:t xml:space="preserve"> (3.916,9</w:t>
      </w:r>
      <w:r w:rsidR="00B2573D" w:rsidRPr="00BE6F00">
        <w:rPr>
          <w:sz w:val="22"/>
          <w:szCs w:val="22"/>
        </w:rPr>
        <w:t>€</w:t>
      </w:r>
      <w:r w:rsidR="00B2573D">
        <w:rPr>
          <w:sz w:val="22"/>
          <w:szCs w:val="22"/>
        </w:rPr>
        <w:t xml:space="preserve">), </w:t>
      </w:r>
      <w:r w:rsidR="00FB21C0" w:rsidRPr="00236FBE">
        <w:rPr>
          <w:b/>
          <w:bCs/>
          <w:sz w:val="22"/>
          <w:szCs w:val="22"/>
        </w:rPr>
        <w:t>Palencia</w:t>
      </w:r>
      <w:r w:rsidR="00FB21C0">
        <w:rPr>
          <w:sz w:val="22"/>
          <w:szCs w:val="22"/>
        </w:rPr>
        <w:t xml:space="preserve"> (3.879,8</w:t>
      </w:r>
      <w:r w:rsidR="00FB21C0" w:rsidRPr="00BE6F00">
        <w:rPr>
          <w:sz w:val="22"/>
          <w:szCs w:val="22"/>
        </w:rPr>
        <w:t>€</w:t>
      </w:r>
      <w:r w:rsidR="00FB21C0">
        <w:rPr>
          <w:sz w:val="22"/>
          <w:szCs w:val="22"/>
        </w:rPr>
        <w:t xml:space="preserve">), </w:t>
      </w:r>
      <w:r w:rsidR="00FB21C0" w:rsidRPr="00236FBE">
        <w:rPr>
          <w:b/>
          <w:bCs/>
          <w:sz w:val="22"/>
          <w:szCs w:val="22"/>
        </w:rPr>
        <w:lastRenderedPageBreak/>
        <w:t>Huesca</w:t>
      </w:r>
      <w:r w:rsidR="00FB21C0">
        <w:rPr>
          <w:sz w:val="22"/>
          <w:szCs w:val="22"/>
        </w:rPr>
        <w:t xml:space="preserve"> (3.823,3</w:t>
      </w:r>
      <w:r w:rsidR="00FB21C0" w:rsidRPr="00BE6F00">
        <w:rPr>
          <w:sz w:val="22"/>
          <w:szCs w:val="22"/>
        </w:rPr>
        <w:t>€</w:t>
      </w:r>
      <w:r w:rsidR="00FB21C0">
        <w:rPr>
          <w:sz w:val="22"/>
          <w:szCs w:val="22"/>
        </w:rPr>
        <w:t xml:space="preserve">), </w:t>
      </w:r>
      <w:r w:rsidR="00FB21C0" w:rsidRPr="00236FBE">
        <w:rPr>
          <w:b/>
          <w:bCs/>
          <w:sz w:val="22"/>
          <w:szCs w:val="22"/>
        </w:rPr>
        <w:t>Jaén</w:t>
      </w:r>
      <w:r w:rsidR="00FB21C0">
        <w:rPr>
          <w:sz w:val="22"/>
          <w:szCs w:val="22"/>
        </w:rPr>
        <w:t xml:space="preserve"> (3.427,</w:t>
      </w:r>
      <w:r w:rsidR="00287C76">
        <w:rPr>
          <w:sz w:val="22"/>
          <w:szCs w:val="22"/>
        </w:rPr>
        <w:t>6</w:t>
      </w:r>
      <w:r w:rsidR="00287C76" w:rsidRPr="00BE6F00">
        <w:rPr>
          <w:sz w:val="22"/>
          <w:szCs w:val="22"/>
        </w:rPr>
        <w:t>€</w:t>
      </w:r>
      <w:r w:rsidR="00287C76">
        <w:rPr>
          <w:sz w:val="22"/>
          <w:szCs w:val="22"/>
        </w:rPr>
        <w:t xml:space="preserve">), </w:t>
      </w:r>
      <w:r w:rsidR="00287C76" w:rsidRPr="00236FBE">
        <w:rPr>
          <w:b/>
          <w:bCs/>
          <w:sz w:val="22"/>
          <w:szCs w:val="22"/>
        </w:rPr>
        <w:t>Cáceres</w:t>
      </w:r>
      <w:r w:rsidR="00287C76">
        <w:rPr>
          <w:sz w:val="22"/>
          <w:szCs w:val="22"/>
        </w:rPr>
        <w:t xml:space="preserve"> (3.418,2</w:t>
      </w:r>
      <w:r w:rsidR="00287C76" w:rsidRPr="00BE6F00">
        <w:rPr>
          <w:sz w:val="22"/>
          <w:szCs w:val="22"/>
        </w:rPr>
        <w:t>€</w:t>
      </w:r>
      <w:r w:rsidR="00287C76">
        <w:rPr>
          <w:sz w:val="22"/>
          <w:szCs w:val="22"/>
        </w:rPr>
        <w:t xml:space="preserve">), </w:t>
      </w:r>
      <w:r w:rsidR="00287C76" w:rsidRPr="00236FBE">
        <w:rPr>
          <w:b/>
          <w:bCs/>
          <w:sz w:val="22"/>
          <w:szCs w:val="22"/>
        </w:rPr>
        <w:t>Badajoz</w:t>
      </w:r>
      <w:r w:rsidR="00287C76">
        <w:rPr>
          <w:sz w:val="22"/>
          <w:szCs w:val="22"/>
        </w:rPr>
        <w:t xml:space="preserve"> (3.394,5</w:t>
      </w:r>
      <w:r w:rsidR="00287C76" w:rsidRPr="00BE6F00">
        <w:rPr>
          <w:sz w:val="22"/>
          <w:szCs w:val="22"/>
        </w:rPr>
        <w:t>€</w:t>
      </w:r>
      <w:r w:rsidR="00287C76">
        <w:rPr>
          <w:sz w:val="22"/>
          <w:szCs w:val="22"/>
        </w:rPr>
        <w:t xml:space="preserve">) y </w:t>
      </w:r>
      <w:r w:rsidR="00287C76" w:rsidRPr="00236FBE">
        <w:rPr>
          <w:b/>
          <w:bCs/>
          <w:sz w:val="22"/>
          <w:szCs w:val="22"/>
        </w:rPr>
        <w:t>Cuenca</w:t>
      </w:r>
      <w:r w:rsidR="00287C76">
        <w:rPr>
          <w:sz w:val="22"/>
          <w:szCs w:val="22"/>
        </w:rPr>
        <w:t xml:space="preserve"> (3,299</w:t>
      </w:r>
      <w:r w:rsidR="00CE37A9">
        <w:rPr>
          <w:sz w:val="22"/>
          <w:szCs w:val="22"/>
        </w:rPr>
        <w:t>,</w:t>
      </w:r>
      <w:r w:rsidR="006B098F">
        <w:rPr>
          <w:sz w:val="22"/>
          <w:szCs w:val="22"/>
        </w:rPr>
        <w:t>6</w:t>
      </w:r>
      <w:r w:rsidR="00CE37A9" w:rsidRPr="00BE6F00">
        <w:rPr>
          <w:sz w:val="22"/>
          <w:szCs w:val="22"/>
        </w:rPr>
        <w:t>€</w:t>
      </w:r>
      <w:r w:rsidR="00CE37A9">
        <w:rPr>
          <w:sz w:val="22"/>
          <w:szCs w:val="22"/>
        </w:rPr>
        <w:t>).</w:t>
      </w:r>
    </w:p>
    <w:p w14:paraId="5B1A801C" w14:textId="1EC4D221" w:rsidR="00CE37A9" w:rsidRDefault="00BC7FA4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el extremo opuesto, estas zonas mantienen los </w:t>
      </w:r>
      <w:r w:rsidRPr="00236FBE">
        <w:rPr>
          <w:b/>
          <w:bCs/>
          <w:sz w:val="22"/>
          <w:szCs w:val="22"/>
        </w:rPr>
        <w:t>niveles de deuda más bajos del país</w:t>
      </w:r>
      <w:r>
        <w:rPr>
          <w:sz w:val="22"/>
          <w:szCs w:val="22"/>
        </w:rPr>
        <w:t xml:space="preserve">, generalmente asociados a precios de alquiler más contenidos: </w:t>
      </w:r>
      <w:r w:rsidR="00CE37A9" w:rsidRPr="00236FBE">
        <w:rPr>
          <w:b/>
          <w:bCs/>
          <w:sz w:val="22"/>
          <w:szCs w:val="22"/>
        </w:rPr>
        <w:t>Ávila</w:t>
      </w:r>
      <w:r w:rsidR="00CE37A9">
        <w:rPr>
          <w:sz w:val="22"/>
          <w:szCs w:val="22"/>
        </w:rPr>
        <w:t xml:space="preserve"> con </w:t>
      </w:r>
      <w:r w:rsidR="00100FC4">
        <w:rPr>
          <w:sz w:val="22"/>
          <w:szCs w:val="22"/>
        </w:rPr>
        <w:t>2.942,3</w:t>
      </w:r>
      <w:r w:rsidR="00100FC4" w:rsidRPr="00BE6F00">
        <w:rPr>
          <w:sz w:val="22"/>
          <w:szCs w:val="22"/>
        </w:rPr>
        <w:t>€</w:t>
      </w:r>
      <w:r w:rsidR="00100FC4">
        <w:rPr>
          <w:sz w:val="22"/>
          <w:szCs w:val="22"/>
        </w:rPr>
        <w:t xml:space="preserve">, </w:t>
      </w:r>
      <w:r w:rsidR="00100FC4" w:rsidRPr="00236FBE">
        <w:rPr>
          <w:b/>
          <w:bCs/>
          <w:sz w:val="22"/>
          <w:szCs w:val="22"/>
        </w:rPr>
        <w:t>Soria</w:t>
      </w:r>
      <w:r w:rsidR="00100FC4">
        <w:rPr>
          <w:sz w:val="22"/>
          <w:szCs w:val="22"/>
        </w:rPr>
        <w:t>, con 2.867,6</w:t>
      </w:r>
      <w:r w:rsidR="00100FC4" w:rsidRPr="00BE6F00">
        <w:rPr>
          <w:sz w:val="22"/>
          <w:szCs w:val="22"/>
        </w:rPr>
        <w:t>€</w:t>
      </w:r>
      <w:r w:rsidR="00100FC4">
        <w:rPr>
          <w:sz w:val="22"/>
          <w:szCs w:val="22"/>
        </w:rPr>
        <w:t xml:space="preserve">, y </w:t>
      </w:r>
      <w:r w:rsidR="00100FC4" w:rsidRPr="00236FBE">
        <w:rPr>
          <w:b/>
          <w:bCs/>
          <w:sz w:val="22"/>
          <w:szCs w:val="22"/>
        </w:rPr>
        <w:t>Zamora</w:t>
      </w:r>
      <w:r w:rsidR="00100FC4">
        <w:rPr>
          <w:sz w:val="22"/>
          <w:szCs w:val="22"/>
        </w:rPr>
        <w:t xml:space="preserve"> con 2.832,8</w:t>
      </w:r>
      <w:r w:rsidR="00100FC4" w:rsidRPr="00BE6F00">
        <w:rPr>
          <w:sz w:val="22"/>
          <w:szCs w:val="22"/>
        </w:rPr>
        <w:t>€</w:t>
      </w:r>
      <w:r w:rsidR="00100FC4">
        <w:rPr>
          <w:sz w:val="22"/>
          <w:szCs w:val="22"/>
        </w:rPr>
        <w:t xml:space="preserve">. </w:t>
      </w:r>
    </w:p>
    <w:p w14:paraId="6604C74A" w14:textId="3E3F9E52" w:rsidR="00CA4F06" w:rsidRPr="009217FA" w:rsidRDefault="002D2A45" w:rsidP="00A725F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ANÁLISIS DE LA VARIACIÓN DE LA MOROSIDAD: EL SALTO DE 2024 A 2025</w:t>
      </w:r>
    </w:p>
    <w:p w14:paraId="0A46202C" w14:textId="11A092CC" w:rsidR="003C249F" w:rsidRDefault="00802B96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>El análisis de la evolución interanual revela un cambio en la velocidad con la que crece la deuda de los inquilinos en España. S</w:t>
      </w:r>
      <w:r w:rsidR="002D2A45">
        <w:rPr>
          <w:sz w:val="22"/>
          <w:szCs w:val="22"/>
        </w:rPr>
        <w:t>i</w:t>
      </w:r>
      <w:r>
        <w:rPr>
          <w:sz w:val="22"/>
          <w:szCs w:val="22"/>
        </w:rPr>
        <w:t xml:space="preserve"> bien </w:t>
      </w:r>
      <w:r w:rsidRPr="002D2A45">
        <w:rPr>
          <w:b/>
          <w:bCs/>
          <w:sz w:val="22"/>
          <w:szCs w:val="22"/>
        </w:rPr>
        <w:t xml:space="preserve">el periodo 2023-2024 cerró con un </w:t>
      </w:r>
      <w:r w:rsidR="00471116" w:rsidRPr="002D2A45">
        <w:rPr>
          <w:b/>
          <w:bCs/>
          <w:sz w:val="22"/>
          <w:szCs w:val="22"/>
        </w:rPr>
        <w:t>incremento</w:t>
      </w:r>
      <w:r w:rsidRPr="002D2A45">
        <w:rPr>
          <w:b/>
          <w:bCs/>
          <w:sz w:val="22"/>
          <w:szCs w:val="22"/>
        </w:rPr>
        <w:t xml:space="preserve"> nacional moderado del 4,23%</w:t>
      </w:r>
      <w:r>
        <w:rPr>
          <w:sz w:val="22"/>
          <w:szCs w:val="22"/>
        </w:rPr>
        <w:t xml:space="preserve">, los datos de </w:t>
      </w:r>
      <w:r w:rsidRPr="002D2A45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 muestran una aceleración </w:t>
      </w:r>
      <w:r w:rsidR="002D2A45">
        <w:rPr>
          <w:sz w:val="22"/>
          <w:szCs w:val="22"/>
        </w:rPr>
        <w:t>significativa</w:t>
      </w:r>
      <w:r>
        <w:rPr>
          <w:sz w:val="22"/>
          <w:szCs w:val="22"/>
        </w:rPr>
        <w:t>, situando</w:t>
      </w:r>
      <w:r w:rsidRPr="002D2A45">
        <w:rPr>
          <w:sz w:val="22"/>
          <w:szCs w:val="22"/>
        </w:rPr>
        <w:t xml:space="preserve"> la</w:t>
      </w:r>
      <w:r w:rsidRPr="002D2A45">
        <w:rPr>
          <w:b/>
          <w:bCs/>
          <w:sz w:val="22"/>
          <w:szCs w:val="22"/>
        </w:rPr>
        <w:t xml:space="preserve"> variación media nacional en un 16,5%</w:t>
      </w:r>
      <w:r>
        <w:rPr>
          <w:sz w:val="22"/>
          <w:szCs w:val="22"/>
        </w:rPr>
        <w:t xml:space="preserve">. Este salto cuantitativo refleja que el mercado no solo mantiene su tendencia alcista, sino que </w:t>
      </w:r>
      <w:r w:rsidRPr="002D2A45">
        <w:rPr>
          <w:b/>
          <w:bCs/>
          <w:sz w:val="22"/>
          <w:szCs w:val="22"/>
        </w:rPr>
        <w:t>el ritmo de crecimiento de los impagos se ha cuadruplicado en el último año</w:t>
      </w:r>
      <w:r>
        <w:rPr>
          <w:sz w:val="22"/>
          <w:szCs w:val="22"/>
        </w:rPr>
        <w:t xml:space="preserve">, impulsado por un precio medio de alquiler que </w:t>
      </w:r>
      <w:r w:rsidR="00203FDC">
        <w:rPr>
          <w:sz w:val="22"/>
          <w:szCs w:val="22"/>
        </w:rPr>
        <w:t xml:space="preserve">alcanza niveles históricos. </w:t>
      </w:r>
    </w:p>
    <w:p w14:paraId="12BE4EFF" w14:textId="6A4C8A93" w:rsidR="00203FDC" w:rsidRDefault="00203FDC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la </w:t>
      </w:r>
      <w:r w:rsidRPr="002D2A45">
        <w:rPr>
          <w:b/>
          <w:bCs/>
          <w:sz w:val="22"/>
          <w:szCs w:val="22"/>
        </w:rPr>
        <w:t>comparativa por territorios</w:t>
      </w:r>
      <w:r>
        <w:rPr>
          <w:sz w:val="22"/>
          <w:szCs w:val="22"/>
        </w:rPr>
        <w:t xml:space="preserve">, se observa que la presión se ha vuelto especialmente </w:t>
      </w:r>
      <w:r w:rsidR="00244994">
        <w:rPr>
          <w:sz w:val="22"/>
          <w:szCs w:val="22"/>
        </w:rPr>
        <w:t>destacada</w:t>
      </w:r>
      <w:r>
        <w:rPr>
          <w:sz w:val="22"/>
          <w:szCs w:val="22"/>
        </w:rPr>
        <w:t xml:space="preserve"> en los grandes polos económicos y turísticos. </w:t>
      </w:r>
      <w:r w:rsidRPr="002D2A45">
        <w:rPr>
          <w:b/>
          <w:bCs/>
          <w:sz w:val="22"/>
          <w:szCs w:val="22"/>
        </w:rPr>
        <w:t>El mayor incremento de toda España se registra en Málaga</w:t>
      </w:r>
      <w:r>
        <w:rPr>
          <w:sz w:val="22"/>
          <w:szCs w:val="22"/>
        </w:rPr>
        <w:t xml:space="preserve">, donde la morosidad </w:t>
      </w:r>
      <w:r w:rsidR="000B7F5F">
        <w:rPr>
          <w:sz w:val="22"/>
          <w:szCs w:val="22"/>
        </w:rPr>
        <w:t>ha presentado una variación del</w:t>
      </w:r>
      <w:r>
        <w:rPr>
          <w:sz w:val="22"/>
          <w:szCs w:val="22"/>
        </w:rPr>
        <w:t xml:space="preserve"> 21,5%</w:t>
      </w:r>
      <w:r w:rsidR="00340380">
        <w:rPr>
          <w:sz w:val="22"/>
          <w:szCs w:val="22"/>
        </w:rPr>
        <w:t xml:space="preserve">, </w:t>
      </w:r>
      <w:r w:rsidR="005455F8">
        <w:rPr>
          <w:sz w:val="22"/>
          <w:szCs w:val="22"/>
        </w:rPr>
        <w:t xml:space="preserve">e </w:t>
      </w:r>
      <w:r w:rsidR="005455F8" w:rsidRPr="002D2A45">
        <w:rPr>
          <w:b/>
          <w:bCs/>
          <w:sz w:val="22"/>
          <w:szCs w:val="22"/>
        </w:rPr>
        <w:t>Islas Baleares</w:t>
      </w:r>
      <w:r w:rsidR="005455F8">
        <w:rPr>
          <w:sz w:val="22"/>
          <w:szCs w:val="22"/>
        </w:rPr>
        <w:t xml:space="preserve"> (+20,9%)</w:t>
      </w:r>
      <w:r w:rsidR="00355F29">
        <w:rPr>
          <w:sz w:val="22"/>
          <w:szCs w:val="22"/>
        </w:rPr>
        <w:t xml:space="preserve">, donde la escalada de rentas agota la solvencia. Sin embargo, resulta especialmente </w:t>
      </w:r>
      <w:r w:rsidR="00F23281">
        <w:rPr>
          <w:sz w:val="22"/>
          <w:szCs w:val="22"/>
        </w:rPr>
        <w:t>significativo</w:t>
      </w:r>
      <w:r w:rsidR="00F20699">
        <w:rPr>
          <w:sz w:val="22"/>
          <w:szCs w:val="22"/>
        </w:rPr>
        <w:t xml:space="preserve"> el repunte de </w:t>
      </w:r>
      <w:r w:rsidR="00F20699" w:rsidRPr="00F23281">
        <w:rPr>
          <w:b/>
          <w:bCs/>
          <w:sz w:val="22"/>
          <w:szCs w:val="22"/>
        </w:rPr>
        <w:t>Murcia</w:t>
      </w:r>
      <w:r w:rsidR="00F20699">
        <w:rPr>
          <w:sz w:val="22"/>
          <w:szCs w:val="22"/>
        </w:rPr>
        <w:t xml:space="preserve"> (+21%). A pesar de contar con precios medios inferiores a las grandes capitales, </w:t>
      </w:r>
      <w:r w:rsidR="00F20699" w:rsidRPr="00BA4AD3">
        <w:rPr>
          <w:b/>
          <w:bCs/>
          <w:sz w:val="22"/>
          <w:szCs w:val="22"/>
        </w:rPr>
        <w:t xml:space="preserve">la región sufre un impacto </w:t>
      </w:r>
      <w:r w:rsidR="00332863">
        <w:rPr>
          <w:b/>
          <w:bCs/>
          <w:sz w:val="22"/>
          <w:szCs w:val="22"/>
        </w:rPr>
        <w:t>significativo</w:t>
      </w:r>
      <w:r w:rsidR="00F20699" w:rsidRPr="00BA4AD3">
        <w:rPr>
          <w:b/>
          <w:bCs/>
          <w:sz w:val="22"/>
          <w:szCs w:val="22"/>
        </w:rPr>
        <w:t xml:space="preserve"> debido a la fragilidad salarial y la inestabilidad propia del sector </w:t>
      </w:r>
      <w:r w:rsidR="0075739C" w:rsidRPr="00BA4AD3">
        <w:rPr>
          <w:b/>
          <w:bCs/>
          <w:sz w:val="22"/>
          <w:szCs w:val="22"/>
        </w:rPr>
        <w:t>servicios en zonas costeras.</w:t>
      </w:r>
      <w:r w:rsidR="0075739C">
        <w:rPr>
          <w:sz w:val="22"/>
          <w:szCs w:val="22"/>
        </w:rPr>
        <w:t xml:space="preserve"> </w:t>
      </w:r>
      <w:r w:rsidR="005455F8">
        <w:rPr>
          <w:sz w:val="22"/>
          <w:szCs w:val="22"/>
        </w:rPr>
        <w:t xml:space="preserve">Estas cifras contrastan con el ejercicio anterior (2023-2024), donde los incrementos de estas mismas zonas eran menores (alrededor del 6-7%), </w:t>
      </w:r>
      <w:r w:rsidR="005455F8" w:rsidRPr="00F23281">
        <w:rPr>
          <w:sz w:val="22"/>
          <w:szCs w:val="22"/>
        </w:rPr>
        <w:t xml:space="preserve">lo que indica </w:t>
      </w:r>
      <w:r w:rsidR="00F23281" w:rsidRPr="00F23281">
        <w:rPr>
          <w:sz w:val="22"/>
          <w:szCs w:val="22"/>
        </w:rPr>
        <w:t>que</w:t>
      </w:r>
      <w:r w:rsidR="00F23281">
        <w:rPr>
          <w:sz w:val="22"/>
          <w:szCs w:val="22"/>
        </w:rPr>
        <w:t xml:space="preserve">, ya sea por el encarecimiento de la renta de alquiler o por la acumulación de </w:t>
      </w:r>
      <w:r w:rsidR="00333DAD">
        <w:rPr>
          <w:sz w:val="22"/>
          <w:szCs w:val="22"/>
        </w:rPr>
        <w:t xml:space="preserve">más de 9 meses </w:t>
      </w:r>
      <w:r w:rsidR="00F23281">
        <w:rPr>
          <w:sz w:val="22"/>
          <w:szCs w:val="22"/>
        </w:rPr>
        <w:t xml:space="preserve">adeudados, la capacidad de pago de los arrendatarios en estas regiones ha llegado a su </w:t>
      </w:r>
      <w:r w:rsidR="004A1367">
        <w:rPr>
          <w:sz w:val="22"/>
          <w:szCs w:val="22"/>
        </w:rPr>
        <w:t>límite</w:t>
      </w:r>
      <w:r w:rsidR="00F23281">
        <w:rPr>
          <w:sz w:val="22"/>
          <w:szCs w:val="22"/>
        </w:rPr>
        <w:t xml:space="preserve">. </w:t>
      </w:r>
      <w:r w:rsidR="005455F8">
        <w:rPr>
          <w:sz w:val="22"/>
          <w:szCs w:val="22"/>
        </w:rPr>
        <w:t xml:space="preserve"> </w:t>
      </w:r>
    </w:p>
    <w:p w14:paraId="4E7277DD" w14:textId="76D85439" w:rsidR="00262959" w:rsidRDefault="003C1E0A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estas provincias le siguen otras con repuntes </w:t>
      </w:r>
      <w:r w:rsidR="00332863">
        <w:rPr>
          <w:sz w:val="22"/>
          <w:szCs w:val="22"/>
        </w:rPr>
        <w:t>destacados</w:t>
      </w:r>
      <w:r>
        <w:rPr>
          <w:sz w:val="22"/>
          <w:szCs w:val="22"/>
        </w:rPr>
        <w:t xml:space="preserve">, </w:t>
      </w:r>
      <w:r w:rsidRPr="00AA7244">
        <w:rPr>
          <w:b/>
          <w:bCs/>
          <w:sz w:val="22"/>
          <w:szCs w:val="22"/>
        </w:rPr>
        <w:t>situándose por encima del 18%</w:t>
      </w:r>
      <w:r>
        <w:rPr>
          <w:sz w:val="22"/>
          <w:szCs w:val="22"/>
        </w:rPr>
        <w:t xml:space="preserve">. Destaca </w:t>
      </w:r>
      <w:r w:rsidRPr="00AA7244">
        <w:rPr>
          <w:b/>
          <w:bCs/>
          <w:sz w:val="22"/>
          <w:szCs w:val="22"/>
        </w:rPr>
        <w:t>Córdoba</w:t>
      </w:r>
      <w:r>
        <w:rPr>
          <w:sz w:val="22"/>
          <w:szCs w:val="22"/>
        </w:rPr>
        <w:t xml:space="preserve">, que presenta una variación del 19,9%, seguida de </w:t>
      </w:r>
      <w:r w:rsidRPr="00AA7244">
        <w:rPr>
          <w:b/>
          <w:bCs/>
          <w:sz w:val="22"/>
          <w:szCs w:val="22"/>
        </w:rPr>
        <w:t>Barcelona</w:t>
      </w:r>
      <w:r>
        <w:rPr>
          <w:sz w:val="22"/>
          <w:szCs w:val="22"/>
        </w:rPr>
        <w:t xml:space="preserve"> (+19</w:t>
      </w:r>
      <w:r w:rsidR="00307201">
        <w:rPr>
          <w:sz w:val="22"/>
          <w:szCs w:val="22"/>
        </w:rPr>
        <w:t xml:space="preserve">,5%), </w:t>
      </w:r>
      <w:r w:rsidR="00307201" w:rsidRPr="00AA7244">
        <w:rPr>
          <w:b/>
          <w:bCs/>
          <w:sz w:val="22"/>
          <w:szCs w:val="22"/>
        </w:rPr>
        <w:t>Pontevedra</w:t>
      </w:r>
      <w:r w:rsidR="00307201">
        <w:rPr>
          <w:sz w:val="22"/>
          <w:szCs w:val="22"/>
        </w:rPr>
        <w:t xml:space="preserve"> (19,2%), </w:t>
      </w:r>
      <w:r w:rsidR="00307201" w:rsidRPr="00AA7244">
        <w:rPr>
          <w:b/>
          <w:bCs/>
          <w:sz w:val="22"/>
          <w:szCs w:val="22"/>
        </w:rPr>
        <w:t>Alicante</w:t>
      </w:r>
      <w:r w:rsidR="00307201">
        <w:rPr>
          <w:sz w:val="22"/>
          <w:szCs w:val="22"/>
        </w:rPr>
        <w:t xml:space="preserve"> (+18,3%), </w:t>
      </w:r>
      <w:r w:rsidR="00307201" w:rsidRPr="00AA7244">
        <w:rPr>
          <w:b/>
          <w:bCs/>
          <w:sz w:val="22"/>
          <w:szCs w:val="22"/>
        </w:rPr>
        <w:t>Guipúzcoa</w:t>
      </w:r>
      <w:r w:rsidR="00307201">
        <w:rPr>
          <w:sz w:val="22"/>
          <w:szCs w:val="22"/>
        </w:rPr>
        <w:t xml:space="preserve"> </w:t>
      </w:r>
      <w:r w:rsidR="00AA7244">
        <w:rPr>
          <w:sz w:val="22"/>
          <w:szCs w:val="22"/>
        </w:rPr>
        <w:t>(</w:t>
      </w:r>
      <w:r w:rsidR="00307201">
        <w:rPr>
          <w:sz w:val="22"/>
          <w:szCs w:val="22"/>
        </w:rPr>
        <w:t xml:space="preserve">+18,1%) y </w:t>
      </w:r>
      <w:r w:rsidR="00307201" w:rsidRPr="00AA7244">
        <w:rPr>
          <w:b/>
          <w:bCs/>
          <w:sz w:val="22"/>
          <w:szCs w:val="22"/>
        </w:rPr>
        <w:t>Madrid</w:t>
      </w:r>
      <w:r w:rsidR="00307201">
        <w:rPr>
          <w:sz w:val="22"/>
          <w:szCs w:val="22"/>
        </w:rPr>
        <w:t xml:space="preserve"> (+18%). </w:t>
      </w:r>
    </w:p>
    <w:p w14:paraId="2D7BD3D3" w14:textId="4C266566" w:rsidR="003C1E0A" w:rsidRDefault="00307201" w:rsidP="00A725F3">
      <w:pPr>
        <w:jc w:val="both"/>
        <w:rPr>
          <w:sz w:val="22"/>
          <w:szCs w:val="22"/>
        </w:rPr>
      </w:pPr>
      <w:r w:rsidRPr="00262959">
        <w:rPr>
          <w:b/>
          <w:bCs/>
          <w:sz w:val="22"/>
          <w:szCs w:val="22"/>
        </w:rPr>
        <w:t>El caso de Madrid es especialmente relevante</w:t>
      </w:r>
      <w:r>
        <w:rPr>
          <w:sz w:val="22"/>
          <w:szCs w:val="22"/>
        </w:rPr>
        <w:t>: tras un incremento contenido del 3,2% en el periodo 202</w:t>
      </w:r>
      <w:r w:rsidR="00053291">
        <w:rPr>
          <w:sz w:val="22"/>
          <w:szCs w:val="22"/>
        </w:rPr>
        <w:t xml:space="preserve">3-2024, la aceleración hasta el </w:t>
      </w:r>
      <w:r w:rsidR="006F53E4">
        <w:rPr>
          <w:sz w:val="22"/>
          <w:szCs w:val="22"/>
        </w:rPr>
        <w:t xml:space="preserve">18% en el último año evidencia que la escalada de precios está teniendo un impacto directo en la acumulación de deuda. </w:t>
      </w:r>
    </w:p>
    <w:p w14:paraId="63E50EE9" w14:textId="77777777" w:rsidR="002A1BEE" w:rsidRDefault="002A1BEE" w:rsidP="00A725F3">
      <w:pPr>
        <w:jc w:val="both"/>
        <w:rPr>
          <w:sz w:val="22"/>
          <w:szCs w:val="22"/>
        </w:rPr>
      </w:pPr>
    </w:p>
    <w:p w14:paraId="122C5147" w14:textId="77777777" w:rsidR="002A1BEE" w:rsidRDefault="002A1BEE" w:rsidP="00A725F3">
      <w:pPr>
        <w:jc w:val="both"/>
        <w:rPr>
          <w:sz w:val="22"/>
          <w:szCs w:val="22"/>
        </w:rPr>
      </w:pPr>
    </w:p>
    <w:p w14:paraId="565EEDDD" w14:textId="77777777" w:rsidR="002A1BEE" w:rsidRDefault="002A1BEE" w:rsidP="00A725F3">
      <w:pPr>
        <w:jc w:val="both"/>
        <w:rPr>
          <w:sz w:val="22"/>
          <w:szCs w:val="22"/>
        </w:rPr>
      </w:pPr>
    </w:p>
    <w:p w14:paraId="09BC0045" w14:textId="77777777" w:rsidR="002A1BEE" w:rsidRDefault="002A1BEE" w:rsidP="00A725F3">
      <w:pPr>
        <w:jc w:val="both"/>
        <w:rPr>
          <w:sz w:val="22"/>
          <w:szCs w:val="22"/>
        </w:rPr>
      </w:pPr>
    </w:p>
    <w:p w14:paraId="4F086320" w14:textId="77777777" w:rsidR="002A1BEE" w:rsidRDefault="002A1BEE" w:rsidP="00A725F3">
      <w:pPr>
        <w:jc w:val="both"/>
        <w:rPr>
          <w:sz w:val="22"/>
          <w:szCs w:val="22"/>
        </w:rPr>
      </w:pPr>
    </w:p>
    <w:p w14:paraId="298A4039" w14:textId="77777777" w:rsidR="002A1BEE" w:rsidRDefault="002A1BEE" w:rsidP="00A725F3">
      <w:pPr>
        <w:jc w:val="both"/>
        <w:rPr>
          <w:sz w:val="22"/>
          <w:szCs w:val="22"/>
        </w:rPr>
      </w:pPr>
    </w:p>
    <w:p w14:paraId="0DD8FD0B" w14:textId="77777777" w:rsidR="002A1BEE" w:rsidRDefault="002A1BEE" w:rsidP="00A725F3">
      <w:pPr>
        <w:jc w:val="both"/>
        <w:rPr>
          <w:sz w:val="22"/>
          <w:szCs w:val="22"/>
        </w:rPr>
      </w:pPr>
    </w:p>
    <w:p w14:paraId="663447CF" w14:textId="5D210CA2" w:rsidR="002A1BEE" w:rsidRPr="002A1BEE" w:rsidRDefault="002A1BEE" w:rsidP="002A1BEE">
      <w:pPr>
        <w:jc w:val="center"/>
        <w:rPr>
          <w:b/>
          <w:bCs/>
          <w:sz w:val="22"/>
          <w:szCs w:val="22"/>
        </w:rPr>
      </w:pPr>
      <w:r w:rsidRPr="002A1BEE">
        <w:rPr>
          <w:b/>
          <w:bCs/>
          <w:sz w:val="22"/>
          <w:szCs w:val="22"/>
        </w:rPr>
        <w:lastRenderedPageBreak/>
        <w:t>Provincias con mayor variación porcentual de la morosidad en 2025</w:t>
      </w:r>
    </w:p>
    <w:p w14:paraId="36587528" w14:textId="32A58383" w:rsidR="006F53E4" w:rsidRDefault="002A1BEE" w:rsidP="00A725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B30C10" wp14:editId="657F08C3">
            <wp:extent cx="5400040" cy="2946400"/>
            <wp:effectExtent l="0" t="0" r="0" b="6350"/>
            <wp:docPr id="1677082932" name="Imagen 1" descr="Patrón de fo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82932" name="Imagen 1" descr="Patrón de fond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3E4">
        <w:rPr>
          <w:sz w:val="22"/>
          <w:szCs w:val="22"/>
        </w:rPr>
        <w:t xml:space="preserve">Continuando con el análisis, un bloque numeroso de provincias presenta </w:t>
      </w:r>
      <w:r w:rsidR="006F53E4" w:rsidRPr="00B97996">
        <w:rPr>
          <w:b/>
          <w:bCs/>
          <w:sz w:val="22"/>
          <w:szCs w:val="22"/>
        </w:rPr>
        <w:t>variaciones situadas entre el 14% y el 18%</w:t>
      </w:r>
      <w:r w:rsidR="006F53E4">
        <w:rPr>
          <w:sz w:val="22"/>
          <w:szCs w:val="22"/>
        </w:rPr>
        <w:t>. E</w:t>
      </w:r>
      <w:r w:rsidR="00332863">
        <w:rPr>
          <w:sz w:val="22"/>
          <w:szCs w:val="22"/>
        </w:rPr>
        <w:t>n</w:t>
      </w:r>
      <w:r w:rsidR="006F53E4">
        <w:rPr>
          <w:sz w:val="22"/>
          <w:szCs w:val="22"/>
        </w:rPr>
        <w:t xml:space="preserve"> este grupo encontramos a </w:t>
      </w:r>
      <w:r w:rsidR="006F53E4" w:rsidRPr="00B97996">
        <w:rPr>
          <w:b/>
          <w:bCs/>
          <w:sz w:val="22"/>
          <w:szCs w:val="22"/>
        </w:rPr>
        <w:t>Cádiz</w:t>
      </w:r>
      <w:r w:rsidR="006F53E4">
        <w:rPr>
          <w:sz w:val="22"/>
          <w:szCs w:val="22"/>
        </w:rPr>
        <w:t xml:space="preserve"> </w:t>
      </w:r>
      <w:r w:rsidR="008B4113">
        <w:rPr>
          <w:sz w:val="22"/>
          <w:szCs w:val="22"/>
        </w:rPr>
        <w:t xml:space="preserve">(+17,8%), </w:t>
      </w:r>
      <w:r w:rsidR="008B4113" w:rsidRPr="00B97996">
        <w:rPr>
          <w:b/>
          <w:bCs/>
          <w:sz w:val="22"/>
          <w:szCs w:val="22"/>
        </w:rPr>
        <w:t>La Coruña</w:t>
      </w:r>
      <w:r w:rsidR="008B4113">
        <w:rPr>
          <w:sz w:val="22"/>
          <w:szCs w:val="22"/>
        </w:rPr>
        <w:t xml:space="preserve"> (+16,8%)</w:t>
      </w:r>
      <w:r w:rsidR="005F284F">
        <w:rPr>
          <w:sz w:val="22"/>
          <w:szCs w:val="22"/>
        </w:rPr>
        <w:t xml:space="preserve">, </w:t>
      </w:r>
      <w:r w:rsidR="005F284F" w:rsidRPr="00B97996">
        <w:rPr>
          <w:b/>
          <w:bCs/>
          <w:sz w:val="22"/>
          <w:szCs w:val="22"/>
        </w:rPr>
        <w:t>Ávila</w:t>
      </w:r>
      <w:r w:rsidR="005F284F">
        <w:rPr>
          <w:sz w:val="22"/>
          <w:szCs w:val="22"/>
        </w:rPr>
        <w:t xml:space="preserve"> (+16,4%)</w:t>
      </w:r>
      <w:r w:rsidR="00DA6FD4">
        <w:rPr>
          <w:sz w:val="22"/>
          <w:szCs w:val="22"/>
        </w:rPr>
        <w:t xml:space="preserve"> y </w:t>
      </w:r>
      <w:r w:rsidR="005F284F" w:rsidRPr="00B97996">
        <w:rPr>
          <w:b/>
          <w:bCs/>
          <w:sz w:val="22"/>
          <w:szCs w:val="22"/>
        </w:rPr>
        <w:t>Huelva</w:t>
      </w:r>
      <w:r w:rsidR="005F284F">
        <w:rPr>
          <w:sz w:val="22"/>
          <w:szCs w:val="22"/>
        </w:rPr>
        <w:t xml:space="preserve"> (+16,3%)</w:t>
      </w:r>
      <w:r w:rsidR="00DA6FD4">
        <w:rPr>
          <w:sz w:val="22"/>
          <w:szCs w:val="22"/>
        </w:rPr>
        <w:t xml:space="preserve">. </w:t>
      </w:r>
      <w:r w:rsidR="005F284F">
        <w:rPr>
          <w:sz w:val="22"/>
          <w:szCs w:val="22"/>
        </w:rPr>
        <w:t xml:space="preserve">Con crecimientos también muy superiores a la media del año anterior, pero algo más contenidos respecto al máximo de 2025, se encuentran </w:t>
      </w:r>
      <w:r w:rsidR="005F284F" w:rsidRPr="00B97996">
        <w:rPr>
          <w:b/>
          <w:bCs/>
          <w:sz w:val="22"/>
          <w:szCs w:val="22"/>
        </w:rPr>
        <w:t>Valencia</w:t>
      </w:r>
      <w:r w:rsidR="005F284F">
        <w:rPr>
          <w:sz w:val="22"/>
          <w:szCs w:val="22"/>
        </w:rPr>
        <w:t xml:space="preserve"> (</w:t>
      </w:r>
      <w:r w:rsidR="00D827CA">
        <w:rPr>
          <w:sz w:val="22"/>
          <w:szCs w:val="22"/>
        </w:rPr>
        <w:t xml:space="preserve">+15,6%), </w:t>
      </w:r>
      <w:r w:rsidR="00D827CA" w:rsidRPr="00B97996">
        <w:rPr>
          <w:b/>
          <w:bCs/>
          <w:sz w:val="22"/>
          <w:szCs w:val="22"/>
        </w:rPr>
        <w:t>Castellón</w:t>
      </w:r>
      <w:r w:rsidR="00D827CA">
        <w:rPr>
          <w:sz w:val="22"/>
          <w:szCs w:val="22"/>
        </w:rPr>
        <w:t xml:space="preserve"> (+15,6%), </w:t>
      </w:r>
      <w:r w:rsidR="00D827CA" w:rsidRPr="00B97996">
        <w:rPr>
          <w:b/>
          <w:bCs/>
          <w:sz w:val="22"/>
          <w:szCs w:val="22"/>
        </w:rPr>
        <w:t>Vizcaya</w:t>
      </w:r>
      <w:r w:rsidR="00D827CA">
        <w:rPr>
          <w:sz w:val="22"/>
          <w:szCs w:val="22"/>
        </w:rPr>
        <w:t xml:space="preserve"> (</w:t>
      </w:r>
      <w:r w:rsidR="002938EB">
        <w:rPr>
          <w:sz w:val="22"/>
          <w:szCs w:val="22"/>
        </w:rPr>
        <w:t xml:space="preserve">+15,4%), </w:t>
      </w:r>
      <w:r w:rsidR="002938EB" w:rsidRPr="00B97996">
        <w:rPr>
          <w:b/>
          <w:bCs/>
          <w:sz w:val="22"/>
          <w:szCs w:val="22"/>
        </w:rPr>
        <w:t>Santa Cruz de Tenerife</w:t>
      </w:r>
      <w:r w:rsidR="002938EB">
        <w:rPr>
          <w:sz w:val="22"/>
          <w:szCs w:val="22"/>
        </w:rPr>
        <w:t xml:space="preserve"> (+15,3%), </w:t>
      </w:r>
      <w:r w:rsidR="002938EB" w:rsidRPr="00B97996">
        <w:rPr>
          <w:b/>
          <w:bCs/>
          <w:sz w:val="22"/>
          <w:szCs w:val="22"/>
        </w:rPr>
        <w:t>Cantabria</w:t>
      </w:r>
      <w:r w:rsidR="002938EB">
        <w:rPr>
          <w:sz w:val="22"/>
          <w:szCs w:val="22"/>
        </w:rPr>
        <w:t xml:space="preserve"> (+15,3%) y </w:t>
      </w:r>
      <w:r w:rsidR="002938EB" w:rsidRPr="00B97996">
        <w:rPr>
          <w:b/>
          <w:bCs/>
          <w:sz w:val="22"/>
          <w:szCs w:val="22"/>
        </w:rPr>
        <w:t>Girona</w:t>
      </w:r>
      <w:r w:rsidR="002938EB">
        <w:rPr>
          <w:sz w:val="22"/>
          <w:szCs w:val="22"/>
        </w:rPr>
        <w:t xml:space="preserve"> (+15,2%). </w:t>
      </w:r>
    </w:p>
    <w:p w14:paraId="7B6F66FA" w14:textId="20AE17F3" w:rsidR="005766B8" w:rsidRPr="00523C01" w:rsidRDefault="005766B8" w:rsidP="00A725F3">
      <w:pPr>
        <w:jc w:val="both"/>
        <w:rPr>
          <w:b/>
          <w:bCs/>
          <w:sz w:val="22"/>
          <w:szCs w:val="22"/>
        </w:rPr>
      </w:pPr>
      <w:r w:rsidRPr="00DD74F3">
        <w:rPr>
          <w:b/>
          <w:bCs/>
          <w:sz w:val="22"/>
          <w:szCs w:val="22"/>
        </w:rPr>
        <w:t xml:space="preserve">Por debajo de la media </w:t>
      </w:r>
      <w:r w:rsidR="003B1CB5" w:rsidRPr="00DD74F3">
        <w:rPr>
          <w:b/>
          <w:bCs/>
          <w:sz w:val="22"/>
          <w:szCs w:val="22"/>
        </w:rPr>
        <w:t>nacional</w:t>
      </w:r>
      <w:r w:rsidR="003B1CB5">
        <w:rPr>
          <w:sz w:val="22"/>
          <w:szCs w:val="22"/>
        </w:rPr>
        <w:t>,</w:t>
      </w:r>
      <w:r>
        <w:rPr>
          <w:sz w:val="22"/>
          <w:szCs w:val="22"/>
        </w:rPr>
        <w:t xml:space="preserve"> pero manteniendo cifras de dos dígitos, aparecen provincias como </w:t>
      </w:r>
      <w:r w:rsidRPr="00DD74F3">
        <w:rPr>
          <w:b/>
          <w:bCs/>
          <w:sz w:val="22"/>
          <w:szCs w:val="22"/>
        </w:rPr>
        <w:t>Guadalajara</w:t>
      </w:r>
      <w:r>
        <w:rPr>
          <w:sz w:val="22"/>
          <w:szCs w:val="22"/>
        </w:rPr>
        <w:t xml:space="preserve"> (14,4%), </w:t>
      </w:r>
      <w:r w:rsidRPr="00DD74F3">
        <w:rPr>
          <w:b/>
          <w:bCs/>
          <w:sz w:val="22"/>
          <w:szCs w:val="22"/>
        </w:rPr>
        <w:t>Zaragoza</w:t>
      </w:r>
      <w:r>
        <w:rPr>
          <w:sz w:val="22"/>
          <w:szCs w:val="22"/>
        </w:rPr>
        <w:t xml:space="preserve"> (+14,3%), </w:t>
      </w:r>
      <w:r w:rsidRPr="00DD74F3">
        <w:rPr>
          <w:b/>
          <w:bCs/>
          <w:sz w:val="22"/>
          <w:szCs w:val="22"/>
        </w:rPr>
        <w:t>Asturias</w:t>
      </w:r>
      <w:r>
        <w:rPr>
          <w:sz w:val="22"/>
          <w:szCs w:val="22"/>
        </w:rPr>
        <w:t xml:space="preserve"> (+14,3%), </w:t>
      </w:r>
      <w:r w:rsidRPr="00DD74F3">
        <w:rPr>
          <w:b/>
          <w:bCs/>
          <w:sz w:val="22"/>
          <w:szCs w:val="22"/>
        </w:rPr>
        <w:t>Las Palmas</w:t>
      </w:r>
      <w:r>
        <w:rPr>
          <w:sz w:val="22"/>
          <w:szCs w:val="22"/>
        </w:rPr>
        <w:t xml:space="preserve"> (+13,8%), </w:t>
      </w:r>
      <w:r w:rsidRPr="00DD74F3">
        <w:rPr>
          <w:b/>
          <w:bCs/>
          <w:sz w:val="22"/>
          <w:szCs w:val="22"/>
        </w:rPr>
        <w:t>Almería</w:t>
      </w:r>
      <w:r>
        <w:rPr>
          <w:sz w:val="22"/>
          <w:szCs w:val="22"/>
        </w:rPr>
        <w:t xml:space="preserve"> (</w:t>
      </w:r>
      <w:r w:rsidR="00AE3BC6">
        <w:rPr>
          <w:sz w:val="22"/>
          <w:szCs w:val="22"/>
        </w:rPr>
        <w:t xml:space="preserve">+13,6%), </w:t>
      </w:r>
      <w:r w:rsidR="00AE3BC6" w:rsidRPr="00DD74F3">
        <w:rPr>
          <w:b/>
          <w:bCs/>
          <w:sz w:val="22"/>
          <w:szCs w:val="22"/>
        </w:rPr>
        <w:t>Segovia</w:t>
      </w:r>
      <w:r w:rsidR="00AE3BC6">
        <w:rPr>
          <w:sz w:val="22"/>
          <w:szCs w:val="22"/>
        </w:rPr>
        <w:t xml:space="preserve"> (+13,2%), </w:t>
      </w:r>
      <w:r w:rsidR="00AE3BC6" w:rsidRPr="00DD74F3">
        <w:rPr>
          <w:b/>
          <w:bCs/>
          <w:sz w:val="22"/>
          <w:szCs w:val="22"/>
        </w:rPr>
        <w:t>Toledo</w:t>
      </w:r>
      <w:r w:rsidR="00AE3BC6">
        <w:rPr>
          <w:sz w:val="22"/>
          <w:szCs w:val="22"/>
        </w:rPr>
        <w:t xml:space="preserve"> (+12,5%), </w:t>
      </w:r>
      <w:r w:rsidR="007503A0" w:rsidRPr="00DD74F3">
        <w:rPr>
          <w:b/>
          <w:bCs/>
          <w:sz w:val="22"/>
          <w:szCs w:val="22"/>
        </w:rPr>
        <w:t>Navarra</w:t>
      </w:r>
      <w:r w:rsidR="007503A0">
        <w:rPr>
          <w:sz w:val="22"/>
          <w:szCs w:val="22"/>
        </w:rPr>
        <w:t xml:space="preserve"> (</w:t>
      </w:r>
      <w:r w:rsidR="0022090D">
        <w:rPr>
          <w:sz w:val="22"/>
          <w:szCs w:val="22"/>
        </w:rPr>
        <w:t xml:space="preserve">+12,3%), </w:t>
      </w:r>
      <w:r w:rsidR="0022090D" w:rsidRPr="00DD74F3">
        <w:rPr>
          <w:b/>
          <w:bCs/>
          <w:sz w:val="22"/>
          <w:szCs w:val="22"/>
        </w:rPr>
        <w:t>Granada</w:t>
      </w:r>
      <w:r w:rsidR="0022090D">
        <w:rPr>
          <w:sz w:val="22"/>
          <w:szCs w:val="22"/>
        </w:rPr>
        <w:t xml:space="preserve"> (+12,2%), </w:t>
      </w:r>
      <w:r w:rsidR="00B53828" w:rsidRPr="00DD74F3">
        <w:rPr>
          <w:b/>
          <w:bCs/>
          <w:sz w:val="22"/>
          <w:szCs w:val="22"/>
        </w:rPr>
        <w:t>Ciudad Real</w:t>
      </w:r>
      <w:r w:rsidR="00B53828">
        <w:rPr>
          <w:sz w:val="22"/>
          <w:szCs w:val="22"/>
        </w:rPr>
        <w:t xml:space="preserve"> (+11,4%), </w:t>
      </w:r>
      <w:r w:rsidR="00B53828" w:rsidRPr="00DD74F3">
        <w:rPr>
          <w:b/>
          <w:bCs/>
          <w:sz w:val="22"/>
          <w:szCs w:val="22"/>
        </w:rPr>
        <w:t>Soria</w:t>
      </w:r>
      <w:r w:rsidR="00B53828">
        <w:rPr>
          <w:sz w:val="22"/>
          <w:szCs w:val="22"/>
        </w:rPr>
        <w:t xml:space="preserve"> (+11,3%), </w:t>
      </w:r>
      <w:r w:rsidR="00B53828" w:rsidRPr="00DD74F3">
        <w:rPr>
          <w:b/>
          <w:bCs/>
          <w:sz w:val="22"/>
          <w:szCs w:val="22"/>
        </w:rPr>
        <w:t>Burgos</w:t>
      </w:r>
      <w:r w:rsidR="00B53828">
        <w:rPr>
          <w:sz w:val="22"/>
          <w:szCs w:val="22"/>
        </w:rPr>
        <w:t xml:space="preserve"> (+11,1%), </w:t>
      </w:r>
      <w:r w:rsidR="00B53828" w:rsidRPr="00DD74F3">
        <w:rPr>
          <w:b/>
          <w:bCs/>
          <w:sz w:val="22"/>
          <w:szCs w:val="22"/>
        </w:rPr>
        <w:t>León</w:t>
      </w:r>
      <w:r w:rsidR="00B53828">
        <w:rPr>
          <w:sz w:val="22"/>
          <w:szCs w:val="22"/>
        </w:rPr>
        <w:t xml:space="preserve"> (</w:t>
      </w:r>
      <w:r w:rsidR="00F85CFE">
        <w:rPr>
          <w:sz w:val="22"/>
          <w:szCs w:val="22"/>
        </w:rPr>
        <w:t xml:space="preserve">+10,9%), </w:t>
      </w:r>
      <w:r w:rsidR="00F85CFE" w:rsidRPr="00DD74F3">
        <w:rPr>
          <w:b/>
          <w:bCs/>
          <w:sz w:val="22"/>
          <w:szCs w:val="22"/>
        </w:rPr>
        <w:t>Orense</w:t>
      </w:r>
      <w:r w:rsidR="00F85CFE">
        <w:rPr>
          <w:sz w:val="22"/>
          <w:szCs w:val="22"/>
        </w:rPr>
        <w:t xml:space="preserve"> (+10,7%), </w:t>
      </w:r>
      <w:r w:rsidR="00F85CFE" w:rsidRPr="00DD74F3">
        <w:rPr>
          <w:b/>
          <w:bCs/>
          <w:sz w:val="22"/>
          <w:szCs w:val="22"/>
        </w:rPr>
        <w:t>Tarragona</w:t>
      </w:r>
      <w:r w:rsidR="00F85CFE">
        <w:rPr>
          <w:sz w:val="22"/>
          <w:szCs w:val="22"/>
        </w:rPr>
        <w:t xml:space="preserve"> (+10,5%), </w:t>
      </w:r>
      <w:r w:rsidR="00F85CFE" w:rsidRPr="00DD74F3">
        <w:rPr>
          <w:b/>
          <w:bCs/>
          <w:sz w:val="22"/>
          <w:szCs w:val="22"/>
        </w:rPr>
        <w:t>Albacete</w:t>
      </w:r>
      <w:r w:rsidR="00F85CFE">
        <w:rPr>
          <w:sz w:val="22"/>
          <w:szCs w:val="22"/>
        </w:rPr>
        <w:t xml:space="preserve"> (+10,5%)</w:t>
      </w:r>
      <w:r w:rsidR="009303EA">
        <w:rPr>
          <w:sz w:val="22"/>
          <w:szCs w:val="22"/>
        </w:rPr>
        <w:t xml:space="preserve"> y </w:t>
      </w:r>
      <w:r w:rsidR="009303EA" w:rsidRPr="00DD74F3">
        <w:rPr>
          <w:b/>
          <w:bCs/>
          <w:sz w:val="22"/>
          <w:szCs w:val="22"/>
        </w:rPr>
        <w:t>Valladolid</w:t>
      </w:r>
      <w:r w:rsidR="009303EA">
        <w:rPr>
          <w:sz w:val="22"/>
          <w:szCs w:val="22"/>
        </w:rPr>
        <w:t xml:space="preserve"> (+10,3%). Es notable que, a diferencia del año anterior, donde muchas de estas provincias crecían apenas un 1% o 2%, </w:t>
      </w:r>
      <w:r w:rsidR="009303EA" w:rsidRPr="00523C01">
        <w:rPr>
          <w:b/>
          <w:bCs/>
          <w:sz w:val="22"/>
          <w:szCs w:val="22"/>
        </w:rPr>
        <w:t xml:space="preserve">en 2025 la práctica totalidad del territorio nacional ha superado el 10% de variación. </w:t>
      </w:r>
    </w:p>
    <w:p w14:paraId="23924C81" w14:textId="0783CB91" w:rsidR="002E2232" w:rsidRDefault="002E2232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debajo de este 10% se encuentran provincias como </w:t>
      </w:r>
      <w:r w:rsidRPr="00523C01">
        <w:rPr>
          <w:b/>
          <w:bCs/>
          <w:sz w:val="22"/>
          <w:szCs w:val="22"/>
        </w:rPr>
        <w:t>Álava</w:t>
      </w:r>
      <w:r>
        <w:rPr>
          <w:sz w:val="22"/>
          <w:szCs w:val="22"/>
        </w:rPr>
        <w:t xml:space="preserve"> (</w:t>
      </w:r>
      <w:r w:rsidR="002B7AAD">
        <w:rPr>
          <w:sz w:val="22"/>
          <w:szCs w:val="22"/>
        </w:rPr>
        <w:t>+</w:t>
      </w:r>
      <w:r>
        <w:rPr>
          <w:sz w:val="22"/>
          <w:szCs w:val="22"/>
        </w:rPr>
        <w:t xml:space="preserve">9,8%), </w:t>
      </w:r>
      <w:r w:rsidRPr="00523C01">
        <w:rPr>
          <w:b/>
          <w:bCs/>
          <w:sz w:val="22"/>
          <w:szCs w:val="22"/>
        </w:rPr>
        <w:t>Melilla</w:t>
      </w:r>
      <w:r>
        <w:rPr>
          <w:sz w:val="22"/>
          <w:szCs w:val="22"/>
        </w:rPr>
        <w:t xml:space="preserve"> (</w:t>
      </w:r>
      <w:r w:rsidR="002B7AAD">
        <w:rPr>
          <w:sz w:val="22"/>
          <w:szCs w:val="22"/>
        </w:rPr>
        <w:t>+</w:t>
      </w:r>
      <w:r>
        <w:rPr>
          <w:sz w:val="22"/>
          <w:szCs w:val="22"/>
        </w:rPr>
        <w:t xml:space="preserve">9,4%), </w:t>
      </w:r>
      <w:r w:rsidR="003216D6">
        <w:rPr>
          <w:b/>
          <w:bCs/>
          <w:sz w:val="22"/>
          <w:szCs w:val="22"/>
        </w:rPr>
        <w:t>Lérida</w:t>
      </w:r>
      <w:r>
        <w:rPr>
          <w:sz w:val="22"/>
          <w:szCs w:val="22"/>
        </w:rPr>
        <w:t xml:space="preserve"> (</w:t>
      </w:r>
      <w:r w:rsidR="002B7AAD">
        <w:rPr>
          <w:sz w:val="22"/>
          <w:szCs w:val="22"/>
        </w:rPr>
        <w:t>+</w:t>
      </w:r>
      <w:r>
        <w:rPr>
          <w:sz w:val="22"/>
          <w:szCs w:val="22"/>
        </w:rPr>
        <w:t>8,</w:t>
      </w:r>
      <w:r w:rsidR="00FB2B28">
        <w:rPr>
          <w:sz w:val="22"/>
          <w:szCs w:val="22"/>
        </w:rPr>
        <w:t>8</w:t>
      </w:r>
      <w:r>
        <w:rPr>
          <w:sz w:val="22"/>
          <w:szCs w:val="22"/>
        </w:rPr>
        <w:t>%)</w:t>
      </w:r>
      <w:r w:rsidR="00EE5345">
        <w:rPr>
          <w:sz w:val="22"/>
          <w:szCs w:val="22"/>
        </w:rPr>
        <w:t xml:space="preserve">, </w:t>
      </w:r>
      <w:r w:rsidR="003216D6">
        <w:rPr>
          <w:b/>
          <w:bCs/>
          <w:sz w:val="22"/>
          <w:szCs w:val="22"/>
        </w:rPr>
        <w:t>Zamora</w:t>
      </w:r>
      <w:r w:rsidR="00EE5345">
        <w:rPr>
          <w:sz w:val="22"/>
          <w:szCs w:val="22"/>
        </w:rPr>
        <w:t xml:space="preserve"> (8,</w:t>
      </w:r>
      <w:r w:rsidR="00FB2B28">
        <w:rPr>
          <w:sz w:val="22"/>
          <w:szCs w:val="22"/>
        </w:rPr>
        <w:t>4</w:t>
      </w:r>
      <w:r w:rsidR="00EE5345">
        <w:rPr>
          <w:sz w:val="22"/>
          <w:szCs w:val="22"/>
        </w:rPr>
        <w:t xml:space="preserve">%), </w:t>
      </w:r>
      <w:r w:rsidR="00EE5345" w:rsidRPr="00523C01">
        <w:rPr>
          <w:b/>
          <w:bCs/>
          <w:sz w:val="22"/>
          <w:szCs w:val="22"/>
        </w:rPr>
        <w:t>Lugo</w:t>
      </w:r>
      <w:r w:rsidR="00EE5345">
        <w:rPr>
          <w:sz w:val="22"/>
          <w:szCs w:val="22"/>
        </w:rPr>
        <w:t xml:space="preserve"> (+8,2%), </w:t>
      </w:r>
      <w:r w:rsidR="00EE5345" w:rsidRPr="00523C01">
        <w:rPr>
          <w:b/>
          <w:bCs/>
          <w:sz w:val="22"/>
          <w:szCs w:val="22"/>
        </w:rPr>
        <w:t>Cáceres</w:t>
      </w:r>
      <w:r w:rsidR="00EE5345">
        <w:rPr>
          <w:sz w:val="22"/>
          <w:szCs w:val="22"/>
        </w:rPr>
        <w:t xml:space="preserve"> (+6,7%), </w:t>
      </w:r>
      <w:r w:rsidR="00EE5345" w:rsidRPr="00523C01">
        <w:rPr>
          <w:b/>
          <w:bCs/>
          <w:sz w:val="22"/>
          <w:szCs w:val="22"/>
        </w:rPr>
        <w:t>Jaén</w:t>
      </w:r>
      <w:r w:rsidR="00EE5345">
        <w:rPr>
          <w:sz w:val="22"/>
          <w:szCs w:val="22"/>
        </w:rPr>
        <w:t xml:space="preserve"> (+6,</w:t>
      </w:r>
      <w:r w:rsidR="008136B3">
        <w:rPr>
          <w:sz w:val="22"/>
          <w:szCs w:val="22"/>
        </w:rPr>
        <w:t>6</w:t>
      </w:r>
      <w:r w:rsidR="00EE5345">
        <w:rPr>
          <w:sz w:val="22"/>
          <w:szCs w:val="22"/>
        </w:rPr>
        <w:t>%)</w:t>
      </w:r>
      <w:r w:rsidR="008136B3">
        <w:rPr>
          <w:sz w:val="22"/>
          <w:szCs w:val="22"/>
        </w:rPr>
        <w:t xml:space="preserve"> </w:t>
      </w:r>
      <w:r w:rsidR="002B7AAD">
        <w:rPr>
          <w:sz w:val="22"/>
          <w:szCs w:val="22"/>
        </w:rPr>
        <w:t xml:space="preserve">y </w:t>
      </w:r>
      <w:r w:rsidR="002B7AAD" w:rsidRPr="00523C01">
        <w:rPr>
          <w:b/>
          <w:bCs/>
          <w:sz w:val="22"/>
          <w:szCs w:val="22"/>
        </w:rPr>
        <w:t>Teruel</w:t>
      </w:r>
      <w:r w:rsidR="002B7AAD">
        <w:rPr>
          <w:sz w:val="22"/>
          <w:szCs w:val="22"/>
        </w:rPr>
        <w:t xml:space="preserve"> (+5,2%). </w:t>
      </w:r>
    </w:p>
    <w:p w14:paraId="75406C4E" w14:textId="77777777" w:rsidR="002A1BEE" w:rsidRDefault="002A1BEE" w:rsidP="00A725F3">
      <w:pPr>
        <w:jc w:val="both"/>
        <w:rPr>
          <w:sz w:val="22"/>
          <w:szCs w:val="22"/>
        </w:rPr>
      </w:pPr>
    </w:p>
    <w:p w14:paraId="4CB0482A" w14:textId="77777777" w:rsidR="002A1BEE" w:rsidRDefault="002A1BEE" w:rsidP="00A725F3">
      <w:pPr>
        <w:jc w:val="both"/>
        <w:rPr>
          <w:sz w:val="22"/>
          <w:szCs w:val="22"/>
        </w:rPr>
      </w:pPr>
    </w:p>
    <w:p w14:paraId="5B1F34BF" w14:textId="77777777" w:rsidR="002A1BEE" w:rsidRDefault="002A1BEE" w:rsidP="00A725F3">
      <w:pPr>
        <w:jc w:val="both"/>
        <w:rPr>
          <w:sz w:val="22"/>
          <w:szCs w:val="22"/>
        </w:rPr>
      </w:pPr>
    </w:p>
    <w:p w14:paraId="02AFA3DB" w14:textId="77777777" w:rsidR="002A1BEE" w:rsidRDefault="002A1BEE" w:rsidP="00A725F3">
      <w:pPr>
        <w:jc w:val="both"/>
        <w:rPr>
          <w:sz w:val="22"/>
          <w:szCs w:val="22"/>
        </w:rPr>
      </w:pPr>
    </w:p>
    <w:p w14:paraId="23147A1B" w14:textId="77777777" w:rsidR="002A1BEE" w:rsidRDefault="002A1BEE" w:rsidP="00A725F3">
      <w:pPr>
        <w:jc w:val="both"/>
        <w:rPr>
          <w:sz w:val="22"/>
          <w:szCs w:val="22"/>
        </w:rPr>
      </w:pPr>
    </w:p>
    <w:p w14:paraId="1F50454B" w14:textId="77777777" w:rsidR="002A1BEE" w:rsidRDefault="002A1BEE" w:rsidP="00A725F3">
      <w:pPr>
        <w:jc w:val="both"/>
        <w:rPr>
          <w:sz w:val="22"/>
          <w:szCs w:val="22"/>
        </w:rPr>
      </w:pPr>
    </w:p>
    <w:p w14:paraId="0515F23F" w14:textId="17741C8A" w:rsidR="00452D3C" w:rsidRPr="00452D3C" w:rsidRDefault="00452D3C" w:rsidP="00452D3C">
      <w:pPr>
        <w:jc w:val="center"/>
        <w:rPr>
          <w:b/>
          <w:bCs/>
          <w:sz w:val="22"/>
          <w:szCs w:val="22"/>
        </w:rPr>
      </w:pPr>
      <w:r w:rsidRPr="00452D3C">
        <w:rPr>
          <w:b/>
          <w:bCs/>
          <w:sz w:val="22"/>
          <w:szCs w:val="22"/>
        </w:rPr>
        <w:lastRenderedPageBreak/>
        <w:t xml:space="preserve">Provincias con menor </w:t>
      </w:r>
      <w:r w:rsidRPr="00E301DF">
        <w:rPr>
          <w:b/>
          <w:bCs/>
          <w:sz w:val="22"/>
          <w:szCs w:val="22"/>
        </w:rPr>
        <w:t xml:space="preserve">variación </w:t>
      </w:r>
      <w:r w:rsidR="00932C70" w:rsidRPr="00E301DF">
        <w:rPr>
          <w:b/>
          <w:bCs/>
          <w:sz w:val="22"/>
          <w:szCs w:val="22"/>
        </w:rPr>
        <w:t xml:space="preserve">porcentual </w:t>
      </w:r>
      <w:r w:rsidRPr="00E301DF">
        <w:rPr>
          <w:b/>
          <w:bCs/>
          <w:sz w:val="22"/>
          <w:szCs w:val="22"/>
        </w:rPr>
        <w:t>de</w:t>
      </w:r>
      <w:r w:rsidRPr="00452D3C">
        <w:rPr>
          <w:b/>
          <w:bCs/>
          <w:sz w:val="22"/>
          <w:szCs w:val="22"/>
        </w:rPr>
        <w:t xml:space="preserve"> la morosidad en 2025</w:t>
      </w:r>
    </w:p>
    <w:p w14:paraId="57DE4550" w14:textId="6517F3DF" w:rsidR="00452D3C" w:rsidRDefault="008B651A" w:rsidP="00A725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2F39D88" wp14:editId="0E9FF4FD">
            <wp:extent cx="5400040" cy="2965450"/>
            <wp:effectExtent l="0" t="0" r="0" b="6350"/>
            <wp:docPr id="961792981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92981" name="Imagen 6" descr="Gráfic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BB40" w14:textId="13722B02" w:rsidR="003B1CB5" w:rsidRDefault="004C1F4F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Finalmente, </w:t>
      </w:r>
      <w:r w:rsidR="0083586C">
        <w:rPr>
          <w:sz w:val="22"/>
          <w:szCs w:val="22"/>
        </w:rPr>
        <w:t xml:space="preserve">es necesario detenerse en las provincias con los crecimientos más contenidos, donde destaca </w:t>
      </w:r>
      <w:r w:rsidR="0083586C" w:rsidRPr="00BA0060">
        <w:rPr>
          <w:b/>
          <w:bCs/>
          <w:sz w:val="22"/>
          <w:szCs w:val="22"/>
        </w:rPr>
        <w:t>el caso singular de Salamanca</w:t>
      </w:r>
      <w:r w:rsidR="0083586C">
        <w:rPr>
          <w:sz w:val="22"/>
          <w:szCs w:val="22"/>
        </w:rPr>
        <w:t xml:space="preserve"> </w:t>
      </w:r>
      <w:r w:rsidR="0083586C" w:rsidRPr="00BA0060">
        <w:rPr>
          <w:b/>
          <w:bCs/>
          <w:sz w:val="22"/>
          <w:szCs w:val="22"/>
        </w:rPr>
        <w:t>con una variación de apenas el 3,2%.</w:t>
      </w:r>
      <w:r w:rsidR="0083586C">
        <w:rPr>
          <w:sz w:val="22"/>
          <w:szCs w:val="22"/>
        </w:rPr>
        <w:t xml:space="preserve"> A diferencia de otras zonas de baja variación que responden a un menor dinamismo </w:t>
      </w:r>
      <w:r w:rsidR="00C65BDC">
        <w:rPr>
          <w:sz w:val="22"/>
          <w:szCs w:val="22"/>
        </w:rPr>
        <w:t xml:space="preserve">del mercado o precios reducidos, el comportamiento de Salamanca se explica por su naturaleza de ciudad universitaria. En este mercado, </w:t>
      </w:r>
      <w:r w:rsidR="00C65BDC" w:rsidRPr="00BA0060">
        <w:rPr>
          <w:b/>
          <w:bCs/>
          <w:sz w:val="22"/>
          <w:szCs w:val="22"/>
        </w:rPr>
        <w:t>el perfil predominante del arrendatario es el estudiante</w:t>
      </w:r>
      <w:r w:rsidR="00C65BDC">
        <w:rPr>
          <w:sz w:val="22"/>
          <w:szCs w:val="22"/>
        </w:rPr>
        <w:t xml:space="preserve">, cuyas </w:t>
      </w:r>
      <w:r w:rsidR="00346876">
        <w:rPr>
          <w:sz w:val="22"/>
          <w:szCs w:val="22"/>
        </w:rPr>
        <w:t xml:space="preserve">rentas suelen estar garantizadas por los progenitores. Esta particularidad traslada la responsabilidad del pago a familias con salarios más altos y estables, lo que actúa como una red de seguridad financiera </w:t>
      </w:r>
      <w:r w:rsidR="00225297">
        <w:rPr>
          <w:sz w:val="22"/>
          <w:szCs w:val="22"/>
        </w:rPr>
        <w:t xml:space="preserve">frente a los impagos. Así, la solvencia externa de los pagadores reales permite que, pese al desequilibrio general del mercado, la morosidad en la </w:t>
      </w:r>
      <w:r w:rsidR="00500DBB">
        <w:rPr>
          <w:sz w:val="22"/>
          <w:szCs w:val="22"/>
        </w:rPr>
        <w:t xml:space="preserve">capital charra se mantenga mucho más controlada que en el resto del territorio. </w:t>
      </w:r>
    </w:p>
    <w:p w14:paraId="2430F49A" w14:textId="35123E66" w:rsidR="009E7293" w:rsidRPr="005B564A" w:rsidRDefault="00500DBB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Tras Salamanca, cierran el estudio con las variaciones más bajas </w:t>
      </w:r>
      <w:r w:rsidR="00752073" w:rsidRPr="00BA0060">
        <w:rPr>
          <w:b/>
          <w:bCs/>
          <w:sz w:val="22"/>
          <w:szCs w:val="22"/>
        </w:rPr>
        <w:t>Badajoz</w:t>
      </w:r>
      <w:r w:rsidR="00752073">
        <w:rPr>
          <w:sz w:val="22"/>
          <w:szCs w:val="22"/>
        </w:rPr>
        <w:t xml:space="preserve"> (+4,2%), </w:t>
      </w:r>
      <w:r w:rsidR="00752073" w:rsidRPr="00BA0060">
        <w:rPr>
          <w:b/>
          <w:bCs/>
          <w:sz w:val="22"/>
          <w:szCs w:val="22"/>
        </w:rPr>
        <w:t>Cuenca</w:t>
      </w:r>
      <w:r w:rsidR="00752073">
        <w:rPr>
          <w:sz w:val="22"/>
          <w:szCs w:val="22"/>
        </w:rPr>
        <w:t xml:space="preserve"> (+3,6%) y </w:t>
      </w:r>
      <w:r w:rsidR="00752073" w:rsidRPr="00BA0060">
        <w:rPr>
          <w:b/>
          <w:bCs/>
          <w:sz w:val="22"/>
          <w:szCs w:val="22"/>
        </w:rPr>
        <w:t>Huesca</w:t>
      </w:r>
      <w:r w:rsidR="00752073">
        <w:rPr>
          <w:sz w:val="22"/>
          <w:szCs w:val="22"/>
        </w:rPr>
        <w:t xml:space="preserve"> (+2,3%).</w:t>
      </w:r>
      <w:r w:rsidR="004103F7">
        <w:rPr>
          <w:sz w:val="22"/>
          <w:szCs w:val="22"/>
        </w:rPr>
        <w:t xml:space="preserve"> </w:t>
      </w:r>
      <w:r w:rsidR="003B1CB5">
        <w:rPr>
          <w:sz w:val="22"/>
          <w:szCs w:val="22"/>
        </w:rPr>
        <w:t xml:space="preserve">A pesar de ser los datos más bajos del estudio, </w:t>
      </w:r>
      <w:r w:rsidR="003B1CB5" w:rsidRPr="00BA0060">
        <w:rPr>
          <w:b/>
          <w:bCs/>
          <w:sz w:val="22"/>
          <w:szCs w:val="22"/>
        </w:rPr>
        <w:t>ninguna provincia española presenta una variación negativa</w:t>
      </w:r>
      <w:r w:rsidR="004103F7">
        <w:rPr>
          <w:sz w:val="22"/>
          <w:szCs w:val="22"/>
        </w:rPr>
        <w:t>.</w:t>
      </w:r>
      <w:r w:rsidR="003B1CB5">
        <w:rPr>
          <w:sz w:val="22"/>
          <w:szCs w:val="22"/>
        </w:rPr>
        <w:t xml:space="preserve"> </w:t>
      </w:r>
    </w:p>
    <w:p w14:paraId="2951290C" w14:textId="113C7B48" w:rsidR="009E7F8C" w:rsidRDefault="00FE208F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Finalmente, </w:t>
      </w:r>
      <w:r w:rsidRPr="00BB234A">
        <w:rPr>
          <w:b/>
          <w:bCs/>
          <w:sz w:val="22"/>
          <w:szCs w:val="22"/>
        </w:rPr>
        <w:t xml:space="preserve">es necesario destacar el cambio de ritmo en la velocidad de </w:t>
      </w:r>
      <w:r w:rsidR="00091C91">
        <w:rPr>
          <w:b/>
          <w:bCs/>
          <w:sz w:val="22"/>
          <w:szCs w:val="22"/>
        </w:rPr>
        <w:t>impago</w:t>
      </w:r>
      <w:r>
        <w:rPr>
          <w:sz w:val="22"/>
          <w:szCs w:val="22"/>
        </w:rPr>
        <w:t xml:space="preserve">. Si bien el periodo comprendido entre 2023 y 2024 mostró una subida nacional moderada del 4,23%, los datos de 2025 revelan una variación del 16,5%, evidenciando que el desajuste entre los salarios y el precio del alquiler ha llegado a un punto </w:t>
      </w:r>
      <w:r w:rsidR="00B72821">
        <w:rPr>
          <w:sz w:val="22"/>
          <w:szCs w:val="22"/>
        </w:rPr>
        <w:t xml:space="preserve">límite. </w:t>
      </w:r>
    </w:p>
    <w:p w14:paraId="5CBF9290" w14:textId="173DFDA0" w:rsidR="00A160CE" w:rsidRPr="00A160CE" w:rsidRDefault="00A42BFA" w:rsidP="00A725F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CONCLUSIONES</w:t>
      </w:r>
    </w:p>
    <w:p w14:paraId="42430FE0" w14:textId="13BC1247" w:rsidR="0028571E" w:rsidRDefault="0028571E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r w:rsidRPr="00B46741">
        <w:rPr>
          <w:b/>
          <w:bCs/>
          <w:sz w:val="22"/>
          <w:szCs w:val="22"/>
        </w:rPr>
        <w:t>resultados del estudio realizado por el Observatorio del Alquiler en 2025</w:t>
      </w:r>
      <w:r>
        <w:rPr>
          <w:sz w:val="22"/>
          <w:szCs w:val="22"/>
        </w:rPr>
        <w:t xml:space="preserve"> confirman un cambio en la morosidad en el alquiler residencial en España. </w:t>
      </w:r>
      <w:r w:rsidR="006738C7">
        <w:rPr>
          <w:sz w:val="22"/>
          <w:szCs w:val="22"/>
        </w:rPr>
        <w:t xml:space="preserve">El aumento en los niveles de </w:t>
      </w:r>
      <w:r w:rsidR="00091C91">
        <w:rPr>
          <w:sz w:val="22"/>
          <w:szCs w:val="22"/>
        </w:rPr>
        <w:t>impago</w:t>
      </w:r>
      <w:r w:rsidR="006738C7">
        <w:rPr>
          <w:sz w:val="22"/>
          <w:szCs w:val="22"/>
        </w:rPr>
        <w:t xml:space="preserve">, provocado por la </w:t>
      </w:r>
      <w:r w:rsidR="006738C7" w:rsidRPr="00B46741">
        <w:rPr>
          <w:b/>
          <w:bCs/>
          <w:sz w:val="22"/>
          <w:szCs w:val="22"/>
        </w:rPr>
        <w:t>subida de los precios</w:t>
      </w:r>
      <w:r w:rsidR="006738C7">
        <w:rPr>
          <w:sz w:val="22"/>
          <w:szCs w:val="22"/>
        </w:rPr>
        <w:t xml:space="preserve"> del alquiler mientras </w:t>
      </w:r>
      <w:r w:rsidR="006738C7" w:rsidRPr="00B46741">
        <w:rPr>
          <w:b/>
          <w:bCs/>
          <w:sz w:val="22"/>
          <w:szCs w:val="22"/>
        </w:rPr>
        <w:t>los</w:t>
      </w:r>
      <w:r w:rsidR="006738C7">
        <w:rPr>
          <w:sz w:val="22"/>
          <w:szCs w:val="22"/>
        </w:rPr>
        <w:t xml:space="preserve"> </w:t>
      </w:r>
      <w:r w:rsidR="006738C7" w:rsidRPr="00B46741">
        <w:rPr>
          <w:b/>
          <w:bCs/>
          <w:sz w:val="22"/>
          <w:szCs w:val="22"/>
        </w:rPr>
        <w:t>salarios no crecen al mismo ritmo</w:t>
      </w:r>
      <w:r w:rsidR="006738C7">
        <w:rPr>
          <w:sz w:val="22"/>
          <w:szCs w:val="22"/>
        </w:rPr>
        <w:t>, ha elevado</w:t>
      </w:r>
      <w:r w:rsidR="00CB13CB">
        <w:rPr>
          <w:sz w:val="22"/>
          <w:szCs w:val="22"/>
        </w:rPr>
        <w:t xml:space="preserve"> el riesgo de que más personas dejen de pagar la renta. Esta situación de impagos </w:t>
      </w:r>
      <w:r w:rsidR="00CB13CB" w:rsidRPr="00B46741">
        <w:rPr>
          <w:b/>
          <w:bCs/>
          <w:sz w:val="22"/>
          <w:szCs w:val="22"/>
        </w:rPr>
        <w:t xml:space="preserve">se está extendiendo a más familias debido a que </w:t>
      </w:r>
      <w:proofErr w:type="gramStart"/>
      <w:r w:rsidR="00CB13CB" w:rsidRPr="00B46741">
        <w:rPr>
          <w:b/>
          <w:bCs/>
          <w:sz w:val="22"/>
          <w:szCs w:val="22"/>
        </w:rPr>
        <w:t>el</w:t>
      </w:r>
      <w:r w:rsidR="00B46741">
        <w:rPr>
          <w:b/>
          <w:bCs/>
          <w:sz w:val="22"/>
          <w:szCs w:val="22"/>
        </w:rPr>
        <w:t xml:space="preserve"> </w:t>
      </w:r>
      <w:r w:rsidR="00CB13CB" w:rsidRPr="00B46741">
        <w:rPr>
          <w:b/>
          <w:bCs/>
          <w:sz w:val="22"/>
          <w:szCs w:val="22"/>
        </w:rPr>
        <w:t>ratio</w:t>
      </w:r>
      <w:proofErr w:type="gramEnd"/>
      <w:r w:rsidR="00CB13CB" w:rsidRPr="00B46741">
        <w:rPr>
          <w:b/>
          <w:bCs/>
          <w:sz w:val="22"/>
          <w:szCs w:val="22"/>
        </w:rPr>
        <w:t xml:space="preserve"> de </w:t>
      </w:r>
      <w:r w:rsidR="00CB13CB" w:rsidRPr="00B46741">
        <w:rPr>
          <w:b/>
          <w:bCs/>
          <w:sz w:val="22"/>
          <w:szCs w:val="22"/>
        </w:rPr>
        <w:lastRenderedPageBreak/>
        <w:t>esfuerzo</w:t>
      </w:r>
      <w:r w:rsidR="009C5CFD" w:rsidRPr="00B46741">
        <w:rPr>
          <w:b/>
          <w:bCs/>
          <w:sz w:val="22"/>
          <w:szCs w:val="22"/>
        </w:rPr>
        <w:t xml:space="preserve"> financiero es cada vez mayor</w:t>
      </w:r>
      <w:r w:rsidR="009C5CFD">
        <w:rPr>
          <w:sz w:val="22"/>
          <w:szCs w:val="22"/>
        </w:rPr>
        <w:t xml:space="preserve">, acumulando incrementos porcentuales muy significativos en </w:t>
      </w:r>
      <w:r w:rsidR="00E405FE">
        <w:rPr>
          <w:sz w:val="22"/>
          <w:szCs w:val="22"/>
        </w:rPr>
        <w:t xml:space="preserve">el último año. </w:t>
      </w:r>
      <w:r w:rsidR="009C5CFD">
        <w:rPr>
          <w:sz w:val="22"/>
          <w:szCs w:val="22"/>
        </w:rPr>
        <w:t xml:space="preserve"> </w:t>
      </w:r>
    </w:p>
    <w:p w14:paraId="3D16E97C" w14:textId="4A3BA205" w:rsidR="009C5CFD" w:rsidRDefault="009C5CFD" w:rsidP="00A725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otro lado, se ha detectado que </w:t>
      </w:r>
      <w:r w:rsidRPr="00E405FE">
        <w:rPr>
          <w:b/>
          <w:bCs/>
          <w:sz w:val="22"/>
          <w:szCs w:val="22"/>
        </w:rPr>
        <w:t>situaciones que anteriormente se producían de manera puntual se han convertido en impagos de larga duración</w:t>
      </w:r>
      <w:r w:rsidR="00FF1331">
        <w:rPr>
          <w:sz w:val="22"/>
          <w:szCs w:val="22"/>
        </w:rPr>
        <w:t xml:space="preserve">. Lo que en otros ejercicios podían ser retrasos aislados por circunstancias concretas del inquilino – </w:t>
      </w:r>
      <w:r w:rsidR="00FF1331" w:rsidRPr="00E405FE">
        <w:rPr>
          <w:b/>
          <w:bCs/>
          <w:sz w:val="22"/>
          <w:szCs w:val="22"/>
        </w:rPr>
        <w:t>morosidad sobrevenida</w:t>
      </w:r>
      <w:r w:rsidR="00FF1331">
        <w:rPr>
          <w:sz w:val="22"/>
          <w:szCs w:val="22"/>
        </w:rPr>
        <w:t xml:space="preserve"> </w:t>
      </w:r>
      <w:r w:rsidR="00416F03">
        <w:rPr>
          <w:sz w:val="22"/>
          <w:szCs w:val="22"/>
        </w:rPr>
        <w:t>–</w:t>
      </w:r>
      <w:r w:rsidR="00FF1331">
        <w:rPr>
          <w:sz w:val="22"/>
          <w:szCs w:val="22"/>
        </w:rPr>
        <w:t xml:space="preserve"> </w:t>
      </w:r>
      <w:r w:rsidR="00416F03">
        <w:rPr>
          <w:sz w:val="22"/>
          <w:szCs w:val="22"/>
        </w:rPr>
        <w:t>se ha transformado en 2025</w:t>
      </w:r>
      <w:r w:rsidR="007D40B4">
        <w:rPr>
          <w:sz w:val="22"/>
          <w:szCs w:val="22"/>
        </w:rPr>
        <w:t>, en algunos casos,</w:t>
      </w:r>
      <w:r w:rsidR="00416F03">
        <w:rPr>
          <w:sz w:val="22"/>
          <w:szCs w:val="22"/>
        </w:rPr>
        <w:t xml:space="preserve"> en una falta de pago sostenida en el tiempo. Esto provoca que la deuda no se logre liquidar y se mantenga </w:t>
      </w:r>
      <w:proofErr w:type="gramStart"/>
      <w:r w:rsidR="00416F03">
        <w:rPr>
          <w:sz w:val="22"/>
          <w:szCs w:val="22"/>
        </w:rPr>
        <w:t>activa mes</w:t>
      </w:r>
      <w:proofErr w:type="gramEnd"/>
      <w:r w:rsidR="00416F03">
        <w:rPr>
          <w:sz w:val="22"/>
          <w:szCs w:val="22"/>
        </w:rPr>
        <w:t xml:space="preserve"> a mes, dificultando su resolución. </w:t>
      </w:r>
    </w:p>
    <w:p w14:paraId="60FA9425" w14:textId="77037A44" w:rsidR="00A42BFA" w:rsidRPr="004A58C6" w:rsidRDefault="009B7959" w:rsidP="000C51CB">
      <w:pPr>
        <w:jc w:val="both"/>
        <w:rPr>
          <w:b/>
          <w:bCs/>
          <w:sz w:val="22"/>
          <w:szCs w:val="22"/>
        </w:rPr>
      </w:pPr>
      <w:r w:rsidRPr="004A58C6">
        <w:rPr>
          <w:b/>
          <w:bCs/>
          <w:sz w:val="22"/>
          <w:szCs w:val="22"/>
        </w:rPr>
        <w:t>Se produce un salto cuantitativo</w:t>
      </w:r>
    </w:p>
    <w:p w14:paraId="67A937B0" w14:textId="1B6D9780" w:rsidR="004E0361" w:rsidRPr="00E301DF" w:rsidRDefault="00AC22D9" w:rsidP="000C51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aceleración de la </w:t>
      </w:r>
      <w:r w:rsidRPr="004A58C6">
        <w:rPr>
          <w:b/>
          <w:bCs/>
          <w:sz w:val="22"/>
          <w:szCs w:val="22"/>
        </w:rPr>
        <w:t>morosidad media nacional</w:t>
      </w:r>
      <w:r>
        <w:rPr>
          <w:sz w:val="22"/>
          <w:szCs w:val="22"/>
        </w:rPr>
        <w:t xml:space="preserve">, que ha pasado del </w:t>
      </w:r>
      <w:r w:rsidRPr="004A58C6">
        <w:rPr>
          <w:b/>
          <w:bCs/>
          <w:sz w:val="22"/>
          <w:szCs w:val="22"/>
        </w:rPr>
        <w:t>4,2% en 2024 a</w:t>
      </w:r>
      <w:r w:rsidR="005C4D57" w:rsidRPr="004A58C6">
        <w:rPr>
          <w:b/>
          <w:bCs/>
          <w:sz w:val="22"/>
          <w:szCs w:val="22"/>
        </w:rPr>
        <w:t xml:space="preserve"> un 16,5% en 2025</w:t>
      </w:r>
      <w:r w:rsidR="005C4D57">
        <w:rPr>
          <w:sz w:val="22"/>
          <w:szCs w:val="22"/>
        </w:rPr>
        <w:t xml:space="preserve">, evidencia un agotamiento de los mecanismos de contención que existían en el mercado. Este incremento, que supone una </w:t>
      </w:r>
      <w:r w:rsidR="005C4D57" w:rsidRPr="0050742C">
        <w:rPr>
          <w:b/>
          <w:bCs/>
          <w:sz w:val="22"/>
          <w:szCs w:val="22"/>
        </w:rPr>
        <w:t>escalada de 12 punto</w:t>
      </w:r>
      <w:r w:rsidR="0050742C" w:rsidRPr="0050742C">
        <w:rPr>
          <w:b/>
          <w:bCs/>
          <w:sz w:val="22"/>
          <w:szCs w:val="22"/>
        </w:rPr>
        <w:t>s</w:t>
      </w:r>
      <w:r w:rsidR="005C4D57" w:rsidRPr="0050742C">
        <w:rPr>
          <w:b/>
          <w:bCs/>
          <w:sz w:val="22"/>
          <w:szCs w:val="22"/>
        </w:rPr>
        <w:t xml:space="preserve"> porcentuales en un solo año</w:t>
      </w:r>
      <w:r w:rsidR="005C4D57">
        <w:rPr>
          <w:sz w:val="22"/>
          <w:szCs w:val="22"/>
        </w:rPr>
        <w:t xml:space="preserve">, </w:t>
      </w:r>
      <w:r w:rsidR="00F075AF">
        <w:rPr>
          <w:sz w:val="22"/>
          <w:szCs w:val="22"/>
        </w:rPr>
        <w:t xml:space="preserve">no es solo un reflejo de la subida de precios, </w:t>
      </w:r>
      <w:r w:rsidR="00F075AF" w:rsidRPr="00A45145">
        <w:rPr>
          <w:sz w:val="22"/>
          <w:szCs w:val="22"/>
          <w:highlight w:val="green"/>
        </w:rPr>
        <w:t xml:space="preserve">sino una señal </w:t>
      </w:r>
      <w:r w:rsidR="00A45145" w:rsidRPr="00A45145">
        <w:rPr>
          <w:sz w:val="22"/>
          <w:szCs w:val="22"/>
          <w:highlight w:val="green"/>
        </w:rPr>
        <w:t xml:space="preserve">del gran </w:t>
      </w:r>
      <w:r w:rsidR="00A45145" w:rsidRPr="00E301DF">
        <w:rPr>
          <w:sz w:val="22"/>
          <w:szCs w:val="22"/>
        </w:rPr>
        <w:t>crecimiento que se ha experimentado en un solo año</w:t>
      </w:r>
      <w:r w:rsidR="00F075AF" w:rsidRPr="00E301DF">
        <w:rPr>
          <w:sz w:val="22"/>
          <w:szCs w:val="22"/>
        </w:rPr>
        <w:t xml:space="preserve">. </w:t>
      </w:r>
    </w:p>
    <w:p w14:paraId="38836A80" w14:textId="2FFEE9E4" w:rsidR="00AC22D9" w:rsidRPr="00E301DF" w:rsidRDefault="00265762" w:rsidP="000C51CB">
      <w:pPr>
        <w:jc w:val="both"/>
        <w:rPr>
          <w:sz w:val="22"/>
          <w:szCs w:val="22"/>
        </w:rPr>
      </w:pPr>
      <w:r w:rsidRPr="00E301DF">
        <w:rPr>
          <w:b/>
          <w:bCs/>
          <w:sz w:val="22"/>
          <w:szCs w:val="22"/>
        </w:rPr>
        <w:t>Este fenómeno es consecuencia de</w:t>
      </w:r>
      <w:r w:rsidR="00B149BB" w:rsidRPr="00E301DF">
        <w:rPr>
          <w:sz w:val="22"/>
          <w:szCs w:val="22"/>
        </w:rPr>
        <w:t xml:space="preserve"> unos </w:t>
      </w:r>
      <w:r w:rsidR="00B149BB" w:rsidRPr="00E301DF">
        <w:rPr>
          <w:b/>
          <w:bCs/>
          <w:sz w:val="22"/>
          <w:szCs w:val="22"/>
        </w:rPr>
        <w:t>precios</w:t>
      </w:r>
      <w:r w:rsidR="00B149BB" w:rsidRPr="00E301DF">
        <w:rPr>
          <w:sz w:val="22"/>
          <w:szCs w:val="22"/>
        </w:rPr>
        <w:t xml:space="preserve"> </w:t>
      </w:r>
      <w:r w:rsidR="003F32C3" w:rsidRPr="00E301DF">
        <w:rPr>
          <w:b/>
          <w:bCs/>
          <w:sz w:val="22"/>
          <w:szCs w:val="22"/>
        </w:rPr>
        <w:t>de alquiler</w:t>
      </w:r>
      <w:r w:rsidR="003F32C3" w:rsidRPr="00E301DF">
        <w:rPr>
          <w:sz w:val="22"/>
          <w:szCs w:val="22"/>
        </w:rPr>
        <w:t xml:space="preserve"> </w:t>
      </w:r>
      <w:r w:rsidR="00B149BB" w:rsidRPr="00E301DF">
        <w:rPr>
          <w:b/>
          <w:bCs/>
          <w:sz w:val="22"/>
          <w:szCs w:val="22"/>
        </w:rPr>
        <w:t>altos</w:t>
      </w:r>
      <w:r w:rsidR="00B149BB" w:rsidRPr="00E301DF">
        <w:rPr>
          <w:sz w:val="22"/>
          <w:szCs w:val="22"/>
        </w:rPr>
        <w:t xml:space="preserve"> que han </w:t>
      </w:r>
      <w:r w:rsidR="00B149BB" w:rsidRPr="00E301DF">
        <w:rPr>
          <w:b/>
          <w:bCs/>
          <w:sz w:val="22"/>
          <w:szCs w:val="22"/>
        </w:rPr>
        <w:t>sobrepasado la capacidad de pago</w:t>
      </w:r>
      <w:r w:rsidR="00B149BB" w:rsidRPr="00E301DF">
        <w:rPr>
          <w:sz w:val="22"/>
          <w:szCs w:val="22"/>
        </w:rPr>
        <w:t xml:space="preserve"> de los inquilinos, provocando </w:t>
      </w:r>
      <w:r w:rsidR="004A58C6" w:rsidRPr="00E301DF">
        <w:rPr>
          <w:sz w:val="22"/>
          <w:szCs w:val="22"/>
        </w:rPr>
        <w:t xml:space="preserve">que la deuda escale de manera notable. </w:t>
      </w:r>
    </w:p>
    <w:p w14:paraId="6C451BFF" w14:textId="2DBF77DD" w:rsidR="00711BC9" w:rsidRPr="00E301DF" w:rsidRDefault="00711BC9" w:rsidP="000C51CB">
      <w:pPr>
        <w:jc w:val="both"/>
        <w:rPr>
          <w:b/>
          <w:bCs/>
          <w:sz w:val="22"/>
          <w:szCs w:val="22"/>
        </w:rPr>
      </w:pPr>
      <w:r w:rsidRPr="00E301DF">
        <w:rPr>
          <w:b/>
          <w:bCs/>
          <w:sz w:val="22"/>
          <w:szCs w:val="22"/>
        </w:rPr>
        <w:t xml:space="preserve">La situación de la capacidad de pago y el esfuerzo </w:t>
      </w:r>
    </w:p>
    <w:p w14:paraId="71615C1A" w14:textId="5C844B96" w:rsidR="00F6385E" w:rsidRPr="00E301DF" w:rsidRDefault="00B232BC" w:rsidP="000C51CB">
      <w:pPr>
        <w:jc w:val="both"/>
        <w:rPr>
          <w:b/>
          <w:bCs/>
          <w:sz w:val="22"/>
          <w:szCs w:val="22"/>
        </w:rPr>
      </w:pPr>
      <w:r w:rsidRPr="00E301DF">
        <w:rPr>
          <w:sz w:val="22"/>
          <w:szCs w:val="22"/>
        </w:rPr>
        <w:t>E</w:t>
      </w:r>
      <w:r w:rsidR="006D1046" w:rsidRPr="00E301DF">
        <w:rPr>
          <w:sz w:val="22"/>
          <w:szCs w:val="22"/>
        </w:rPr>
        <w:t>l</w:t>
      </w:r>
      <w:r w:rsidRPr="00E301DF">
        <w:rPr>
          <w:sz w:val="22"/>
          <w:szCs w:val="22"/>
        </w:rPr>
        <w:t xml:space="preserve"> estudio revela que el mercado </w:t>
      </w:r>
      <w:r w:rsidR="000B4265" w:rsidRPr="00E301DF">
        <w:rPr>
          <w:sz w:val="22"/>
          <w:szCs w:val="22"/>
        </w:rPr>
        <w:t xml:space="preserve">podría estar alcanzando </w:t>
      </w:r>
      <w:r w:rsidRPr="00E301DF">
        <w:rPr>
          <w:sz w:val="22"/>
          <w:szCs w:val="22"/>
        </w:rPr>
        <w:t xml:space="preserve">su límite de resistencia financiera. Con un precio medio del alquiler de 1.184€ y un esfuerzo medio que se mantiene en el 34% de los ingresos mensuales, </w:t>
      </w:r>
      <w:r w:rsidRPr="00E301DF">
        <w:rPr>
          <w:b/>
          <w:bCs/>
          <w:sz w:val="22"/>
          <w:szCs w:val="22"/>
        </w:rPr>
        <w:t xml:space="preserve">gran parte de la población arrendataria se encuentra en una situación </w:t>
      </w:r>
      <w:r w:rsidR="00A62960" w:rsidRPr="00E301DF">
        <w:rPr>
          <w:b/>
          <w:bCs/>
          <w:sz w:val="22"/>
          <w:szCs w:val="22"/>
        </w:rPr>
        <w:t>límite</w:t>
      </w:r>
      <w:r w:rsidR="00A62960" w:rsidRPr="00E301DF">
        <w:rPr>
          <w:sz w:val="22"/>
          <w:szCs w:val="22"/>
        </w:rPr>
        <w:t xml:space="preserve">. En zonas como </w:t>
      </w:r>
      <w:r w:rsidR="00B76C7E" w:rsidRPr="00E301DF">
        <w:rPr>
          <w:b/>
          <w:bCs/>
          <w:sz w:val="22"/>
          <w:szCs w:val="22"/>
        </w:rPr>
        <w:t>Madrid</w:t>
      </w:r>
      <w:r w:rsidR="00B76C7E" w:rsidRPr="00E301DF">
        <w:rPr>
          <w:sz w:val="22"/>
          <w:szCs w:val="22"/>
        </w:rPr>
        <w:t xml:space="preserve">, </w:t>
      </w:r>
      <w:r w:rsidR="00B76C7E" w:rsidRPr="00E301DF">
        <w:rPr>
          <w:b/>
          <w:bCs/>
          <w:sz w:val="22"/>
          <w:szCs w:val="22"/>
        </w:rPr>
        <w:t>Barcelona</w:t>
      </w:r>
      <w:r w:rsidR="00B76C7E" w:rsidRPr="00E301DF">
        <w:rPr>
          <w:sz w:val="22"/>
          <w:szCs w:val="22"/>
        </w:rPr>
        <w:t xml:space="preserve"> o</w:t>
      </w:r>
      <w:r w:rsidR="00923BFC" w:rsidRPr="00E301DF">
        <w:rPr>
          <w:sz w:val="22"/>
          <w:szCs w:val="22"/>
        </w:rPr>
        <w:t xml:space="preserve"> </w:t>
      </w:r>
      <w:r w:rsidR="00A62960" w:rsidRPr="00E301DF">
        <w:rPr>
          <w:b/>
          <w:bCs/>
          <w:sz w:val="22"/>
          <w:szCs w:val="22"/>
        </w:rPr>
        <w:t>Baleares</w:t>
      </w:r>
      <w:r w:rsidR="00A62960" w:rsidRPr="00E301DF">
        <w:rPr>
          <w:sz w:val="22"/>
          <w:szCs w:val="22"/>
        </w:rPr>
        <w:t xml:space="preserve">, </w:t>
      </w:r>
      <w:r w:rsidR="00923BFC" w:rsidRPr="00E301DF">
        <w:rPr>
          <w:sz w:val="22"/>
          <w:szCs w:val="22"/>
        </w:rPr>
        <w:t>la tasa de esfuerzo en los últimos años se ha situado en torno al 40%, algo insostenible a medio o largo plazo</w:t>
      </w:r>
      <w:r w:rsidR="00CF70A2" w:rsidRPr="00E301DF">
        <w:rPr>
          <w:sz w:val="22"/>
          <w:szCs w:val="22"/>
        </w:rPr>
        <w:t xml:space="preserve">, por lo que, </w:t>
      </w:r>
      <w:r w:rsidR="00A62960" w:rsidRPr="00E301DF">
        <w:rPr>
          <w:sz w:val="22"/>
          <w:szCs w:val="22"/>
        </w:rPr>
        <w:t xml:space="preserve">cualquier imprevisto económico, por pequeño que sea, se </w:t>
      </w:r>
      <w:r w:rsidR="002A2062" w:rsidRPr="00E301DF">
        <w:rPr>
          <w:sz w:val="22"/>
          <w:szCs w:val="22"/>
        </w:rPr>
        <w:t xml:space="preserve">puede traducir en una situación de impago. </w:t>
      </w:r>
      <w:r w:rsidR="00A62960" w:rsidRPr="00E301DF">
        <w:rPr>
          <w:sz w:val="22"/>
          <w:szCs w:val="22"/>
        </w:rPr>
        <w:t xml:space="preserve">  </w:t>
      </w:r>
    </w:p>
    <w:p w14:paraId="6F17175C" w14:textId="0F42E8E0" w:rsidR="0032717D" w:rsidRPr="00E301DF" w:rsidRDefault="00AF0866" w:rsidP="000C51CB">
      <w:pPr>
        <w:jc w:val="both"/>
        <w:rPr>
          <w:b/>
          <w:bCs/>
          <w:sz w:val="22"/>
          <w:szCs w:val="22"/>
        </w:rPr>
      </w:pPr>
      <w:r w:rsidRPr="00E301DF">
        <w:rPr>
          <w:b/>
          <w:bCs/>
          <w:sz w:val="22"/>
          <w:szCs w:val="22"/>
        </w:rPr>
        <w:t>El fin de zonas “refugio”</w:t>
      </w:r>
    </w:p>
    <w:p w14:paraId="5334A9BC" w14:textId="4BE75F50" w:rsidR="00AF0866" w:rsidRDefault="00AF0866" w:rsidP="000C51CB">
      <w:pPr>
        <w:jc w:val="both"/>
        <w:rPr>
          <w:sz w:val="22"/>
          <w:szCs w:val="22"/>
        </w:rPr>
      </w:pPr>
      <w:r w:rsidRPr="00E301DF">
        <w:rPr>
          <w:sz w:val="22"/>
          <w:szCs w:val="22"/>
        </w:rPr>
        <w:t xml:space="preserve">A diferencia de años anteriores, donde existían provincias que presentaban variaciones negativas o estabilidad absoluta, </w:t>
      </w:r>
      <w:r w:rsidRPr="00E301DF">
        <w:rPr>
          <w:b/>
          <w:bCs/>
          <w:sz w:val="22"/>
          <w:szCs w:val="22"/>
        </w:rPr>
        <w:t>en 2025 la crisis de morosidad ha permeado en todo el mapa nacional</w:t>
      </w:r>
      <w:r w:rsidR="006D1046" w:rsidRPr="00E301DF">
        <w:rPr>
          <w:b/>
          <w:bCs/>
          <w:sz w:val="22"/>
          <w:szCs w:val="22"/>
        </w:rPr>
        <w:t xml:space="preserve">, </w:t>
      </w:r>
      <w:r w:rsidR="004103F7" w:rsidRPr="00E301DF">
        <w:rPr>
          <w:b/>
          <w:bCs/>
          <w:sz w:val="22"/>
          <w:szCs w:val="22"/>
        </w:rPr>
        <w:t xml:space="preserve">en el que </w:t>
      </w:r>
      <w:r w:rsidRPr="00E301DF">
        <w:rPr>
          <w:b/>
          <w:bCs/>
          <w:sz w:val="22"/>
          <w:szCs w:val="22"/>
        </w:rPr>
        <w:t>ninguna provincia española registr</w:t>
      </w:r>
      <w:r w:rsidR="004103F7" w:rsidRPr="00E301DF">
        <w:rPr>
          <w:b/>
          <w:bCs/>
          <w:sz w:val="22"/>
          <w:szCs w:val="22"/>
        </w:rPr>
        <w:t>a</w:t>
      </w:r>
      <w:r w:rsidRPr="00E301DF">
        <w:rPr>
          <w:b/>
          <w:bCs/>
          <w:sz w:val="22"/>
          <w:szCs w:val="22"/>
        </w:rPr>
        <w:t xml:space="preserve"> un descenso </w:t>
      </w:r>
      <w:r w:rsidR="00B53FFC" w:rsidRPr="00E301DF">
        <w:rPr>
          <w:b/>
          <w:bCs/>
          <w:sz w:val="22"/>
          <w:szCs w:val="22"/>
        </w:rPr>
        <w:t xml:space="preserve">de </w:t>
      </w:r>
      <w:r w:rsidR="00616568" w:rsidRPr="00E301DF">
        <w:rPr>
          <w:b/>
          <w:bCs/>
          <w:sz w:val="22"/>
          <w:szCs w:val="22"/>
        </w:rPr>
        <w:t>morosidad</w:t>
      </w:r>
      <w:r w:rsidR="004103F7" w:rsidRPr="00E301DF">
        <w:rPr>
          <w:sz w:val="22"/>
          <w:szCs w:val="22"/>
        </w:rPr>
        <w:t xml:space="preserve">. </w:t>
      </w:r>
      <w:r w:rsidR="007040C2" w:rsidRPr="00E301DF">
        <w:rPr>
          <w:sz w:val="22"/>
          <w:szCs w:val="22"/>
        </w:rPr>
        <w:t>Incluso en mercados tradicionalmente más asequibles, la tendencia es alcista</w:t>
      </w:r>
      <w:r w:rsidR="004103F7" w:rsidRPr="00E301DF">
        <w:rPr>
          <w:sz w:val="22"/>
          <w:szCs w:val="22"/>
        </w:rPr>
        <w:t>.</w:t>
      </w:r>
    </w:p>
    <w:p w14:paraId="5576773E" w14:textId="77777777" w:rsidR="004E4843" w:rsidRDefault="004E4843" w:rsidP="000C51CB">
      <w:pPr>
        <w:jc w:val="both"/>
        <w:rPr>
          <w:b/>
          <w:bCs/>
          <w:color w:val="FF5A00"/>
          <w:sz w:val="22"/>
          <w:szCs w:val="22"/>
        </w:rPr>
      </w:pPr>
    </w:p>
    <w:p w14:paraId="3BF12DE2" w14:textId="77777777" w:rsidR="00E301DF" w:rsidRDefault="00E301DF" w:rsidP="000C51CB">
      <w:pPr>
        <w:jc w:val="both"/>
        <w:rPr>
          <w:b/>
          <w:bCs/>
          <w:color w:val="FF5A00"/>
          <w:sz w:val="22"/>
          <w:szCs w:val="22"/>
        </w:rPr>
      </w:pPr>
    </w:p>
    <w:p w14:paraId="1D86AC9A" w14:textId="77777777" w:rsidR="00E301DF" w:rsidRDefault="00E301DF" w:rsidP="000C51CB">
      <w:pPr>
        <w:jc w:val="both"/>
        <w:rPr>
          <w:b/>
          <w:bCs/>
          <w:color w:val="FF5A00"/>
          <w:sz w:val="22"/>
          <w:szCs w:val="22"/>
        </w:rPr>
      </w:pPr>
    </w:p>
    <w:p w14:paraId="395BF582" w14:textId="77777777" w:rsidR="00E301DF" w:rsidRDefault="00E301DF" w:rsidP="000C51CB">
      <w:pPr>
        <w:jc w:val="both"/>
        <w:rPr>
          <w:b/>
          <w:bCs/>
          <w:color w:val="FF5A00"/>
          <w:sz w:val="22"/>
          <w:szCs w:val="22"/>
        </w:rPr>
      </w:pPr>
    </w:p>
    <w:p w14:paraId="772242A4" w14:textId="77777777" w:rsidR="00E301DF" w:rsidRDefault="00E301DF" w:rsidP="000C51CB">
      <w:pPr>
        <w:jc w:val="both"/>
        <w:rPr>
          <w:b/>
          <w:bCs/>
          <w:color w:val="FF5A00"/>
          <w:sz w:val="22"/>
          <w:szCs w:val="22"/>
        </w:rPr>
      </w:pPr>
    </w:p>
    <w:p w14:paraId="1F7F352E" w14:textId="77777777" w:rsidR="00E301DF" w:rsidRDefault="00E301DF" w:rsidP="000C51CB">
      <w:pPr>
        <w:jc w:val="both"/>
        <w:rPr>
          <w:b/>
          <w:bCs/>
          <w:color w:val="FF5A00"/>
          <w:sz w:val="22"/>
          <w:szCs w:val="22"/>
        </w:rPr>
      </w:pPr>
    </w:p>
    <w:p w14:paraId="6EA1622E" w14:textId="4AB323EF" w:rsidR="008120DC" w:rsidRPr="008120DC" w:rsidRDefault="008120DC" w:rsidP="000C51CB">
      <w:pPr>
        <w:jc w:val="both"/>
        <w:rPr>
          <w:b/>
          <w:bCs/>
          <w:color w:val="FF5A00"/>
          <w:sz w:val="22"/>
          <w:szCs w:val="22"/>
        </w:rPr>
      </w:pPr>
      <w:r w:rsidRPr="008120DC">
        <w:rPr>
          <w:b/>
          <w:bCs/>
          <w:color w:val="FF5A00"/>
          <w:sz w:val="22"/>
          <w:szCs w:val="22"/>
        </w:rPr>
        <w:lastRenderedPageBreak/>
        <w:t>Ficha técnica</w:t>
      </w:r>
    </w:p>
    <w:p w14:paraId="15BDCB52" w14:textId="77777777" w:rsidR="008120DC" w:rsidRPr="008120DC" w:rsidRDefault="008120DC" w:rsidP="008120DC">
      <w:pPr>
        <w:jc w:val="both"/>
        <w:rPr>
          <w:b/>
          <w:bCs/>
          <w:sz w:val="22"/>
          <w:szCs w:val="22"/>
        </w:rPr>
      </w:pPr>
      <w:r w:rsidRPr="008120DC">
        <w:rPr>
          <w:b/>
          <w:bCs/>
          <w:sz w:val="22"/>
          <w:szCs w:val="22"/>
        </w:rPr>
        <w:t>I.- Objetivo</w:t>
      </w:r>
    </w:p>
    <w:p w14:paraId="12578F93" w14:textId="34C3AA55" w:rsidR="008120DC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El fin del Estudio sobre Morosidad en Arrendamientos Urbanos es determinar la evolución de la morosidad en las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relaciones contractuales de arrendamiento en España y sus Comunidades Autónomas, mostrando tendencias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desde el año 2007.</w:t>
      </w:r>
    </w:p>
    <w:p w14:paraId="5A83C4DE" w14:textId="786962FD" w:rsidR="008120DC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En el estudio se contemplan incidencias en el pago de las rentas en contratos de arrendamientos para uso de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vivienda.</w:t>
      </w:r>
    </w:p>
    <w:p w14:paraId="32E66DCC" w14:textId="2F3F9EB2" w:rsidR="00781F39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Los conceptos básicos sobre los que atiende este estudio son: la morosidad, el arrendamiento, el registro y la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inscripción.</w:t>
      </w:r>
    </w:p>
    <w:p w14:paraId="21A2CE61" w14:textId="77777777" w:rsidR="008120DC" w:rsidRPr="008120DC" w:rsidRDefault="008120DC" w:rsidP="008120DC">
      <w:pPr>
        <w:jc w:val="both"/>
        <w:rPr>
          <w:b/>
          <w:bCs/>
          <w:sz w:val="22"/>
          <w:szCs w:val="22"/>
        </w:rPr>
      </w:pPr>
      <w:r w:rsidRPr="008120DC">
        <w:rPr>
          <w:b/>
          <w:bCs/>
          <w:sz w:val="22"/>
          <w:szCs w:val="22"/>
        </w:rPr>
        <w:t>II.- Ámbito del Estudio</w:t>
      </w:r>
    </w:p>
    <w:p w14:paraId="50B89048" w14:textId="6E90926D" w:rsidR="008120DC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El ámbito geográfico comprende todo el territorio nacional español incluyendo sus 17 Comunidades Autónomas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más las Ciudades Autónomas de Ceuta y Melilla.</w:t>
      </w:r>
    </w:p>
    <w:p w14:paraId="53840A79" w14:textId="77777777" w:rsidR="008120DC" w:rsidRPr="008120DC" w:rsidRDefault="008120DC" w:rsidP="008120DC">
      <w:pPr>
        <w:jc w:val="both"/>
        <w:rPr>
          <w:b/>
          <w:bCs/>
          <w:sz w:val="22"/>
          <w:szCs w:val="22"/>
        </w:rPr>
      </w:pPr>
      <w:r w:rsidRPr="008120DC">
        <w:rPr>
          <w:b/>
          <w:bCs/>
          <w:sz w:val="22"/>
          <w:szCs w:val="22"/>
        </w:rPr>
        <w:t>III.- Metodología</w:t>
      </w:r>
    </w:p>
    <w:p w14:paraId="14577A4A" w14:textId="6D4F3FEC" w:rsidR="008120DC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Sobre las fuentes obtenidas se procede a una elaboración en series estadísticas para determinar el número</w:t>
      </w:r>
      <w:r w:rsidR="00781F39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índice de morosidad.</w:t>
      </w:r>
    </w:p>
    <w:p w14:paraId="7AFB3468" w14:textId="77777777" w:rsidR="008120DC" w:rsidRPr="00781F39" w:rsidRDefault="008120DC" w:rsidP="00D63A3D">
      <w:pPr>
        <w:pStyle w:val="Prrafodelista"/>
        <w:jc w:val="both"/>
        <w:rPr>
          <w:b/>
          <w:bCs/>
          <w:sz w:val="22"/>
          <w:szCs w:val="22"/>
        </w:rPr>
      </w:pPr>
      <w:r w:rsidRPr="00781F39">
        <w:rPr>
          <w:b/>
          <w:bCs/>
          <w:sz w:val="22"/>
          <w:szCs w:val="22"/>
        </w:rPr>
        <w:t>1.- Elaboración de números Índices.</w:t>
      </w:r>
    </w:p>
    <w:p w14:paraId="03DC8417" w14:textId="74809536" w:rsidR="008120DC" w:rsidRPr="004E4843" w:rsidRDefault="008120DC" w:rsidP="004E4843">
      <w:pPr>
        <w:pStyle w:val="Prrafodelista"/>
        <w:jc w:val="both"/>
        <w:rPr>
          <w:sz w:val="22"/>
          <w:szCs w:val="22"/>
        </w:rPr>
      </w:pPr>
      <w:r w:rsidRPr="00781F39">
        <w:rPr>
          <w:sz w:val="22"/>
          <w:szCs w:val="22"/>
        </w:rPr>
        <w:t>Los números índices son un instrumento estadístico que permite la comparación de datos en dos</w:t>
      </w:r>
      <w:r w:rsidR="004E4843">
        <w:rPr>
          <w:sz w:val="22"/>
          <w:szCs w:val="22"/>
        </w:rPr>
        <w:t xml:space="preserve"> </w:t>
      </w:r>
      <w:r w:rsidRPr="004E4843">
        <w:rPr>
          <w:sz w:val="22"/>
          <w:szCs w:val="22"/>
        </w:rPr>
        <w:t>momentos concretos de tiempo.</w:t>
      </w:r>
    </w:p>
    <w:p w14:paraId="3DC41A5B" w14:textId="77777777" w:rsidR="008120DC" w:rsidRPr="00781F39" w:rsidRDefault="008120DC" w:rsidP="00D63A3D">
      <w:pPr>
        <w:pStyle w:val="Prrafodelista"/>
        <w:jc w:val="both"/>
        <w:rPr>
          <w:sz w:val="22"/>
          <w:szCs w:val="22"/>
        </w:rPr>
      </w:pPr>
      <w:r w:rsidRPr="00781F39">
        <w:rPr>
          <w:b/>
          <w:bCs/>
          <w:sz w:val="22"/>
          <w:szCs w:val="22"/>
        </w:rPr>
        <w:t>2.- Periodo Base</w:t>
      </w:r>
      <w:r w:rsidRPr="00781F39">
        <w:rPr>
          <w:sz w:val="22"/>
          <w:szCs w:val="22"/>
        </w:rPr>
        <w:t>.</w:t>
      </w:r>
    </w:p>
    <w:p w14:paraId="0EB6FB5A" w14:textId="6D3BDA0C" w:rsidR="008120DC" w:rsidRPr="004E4843" w:rsidRDefault="008120DC" w:rsidP="004E4843">
      <w:pPr>
        <w:pStyle w:val="Prrafodelista"/>
        <w:jc w:val="both"/>
        <w:rPr>
          <w:sz w:val="22"/>
          <w:szCs w:val="22"/>
        </w:rPr>
      </w:pPr>
      <w:r w:rsidRPr="00781F39">
        <w:rPr>
          <w:sz w:val="22"/>
          <w:szCs w:val="22"/>
        </w:rPr>
        <w:t>El periodo base de referencia para este estudio es el año 2005, por lo tanto, el número índice para este</w:t>
      </w:r>
      <w:r w:rsidR="004E4843">
        <w:rPr>
          <w:sz w:val="22"/>
          <w:szCs w:val="22"/>
        </w:rPr>
        <w:t xml:space="preserve"> </w:t>
      </w:r>
      <w:r w:rsidRPr="004E4843">
        <w:rPr>
          <w:sz w:val="22"/>
          <w:szCs w:val="22"/>
        </w:rPr>
        <w:t>periodo es 100.</w:t>
      </w:r>
    </w:p>
    <w:p w14:paraId="1CD5562F" w14:textId="77777777" w:rsidR="008120DC" w:rsidRPr="00781F39" w:rsidRDefault="008120DC" w:rsidP="00D63A3D">
      <w:pPr>
        <w:pStyle w:val="Prrafodelista"/>
        <w:jc w:val="both"/>
        <w:rPr>
          <w:b/>
          <w:bCs/>
          <w:sz w:val="22"/>
          <w:szCs w:val="22"/>
        </w:rPr>
      </w:pPr>
      <w:r w:rsidRPr="00781F39">
        <w:rPr>
          <w:b/>
          <w:bCs/>
          <w:sz w:val="22"/>
          <w:szCs w:val="22"/>
        </w:rPr>
        <w:t>3.- Número índice de morosidad.</w:t>
      </w:r>
    </w:p>
    <w:p w14:paraId="2D721F8B" w14:textId="03FFBA7C" w:rsidR="008120DC" w:rsidRPr="004E4843" w:rsidRDefault="008120DC" w:rsidP="004E4843">
      <w:pPr>
        <w:pStyle w:val="Prrafodelista"/>
        <w:jc w:val="both"/>
        <w:rPr>
          <w:sz w:val="22"/>
          <w:szCs w:val="22"/>
        </w:rPr>
      </w:pPr>
      <w:r w:rsidRPr="00781F39">
        <w:rPr>
          <w:sz w:val="22"/>
          <w:szCs w:val="22"/>
        </w:rPr>
        <w:t>Tomado el número de inscripciones en el FIM para cada provincia p en el periodo t,</w:t>
      </w:r>
      <w:r w:rsidR="004E4843">
        <w:rPr>
          <w:sz w:val="22"/>
          <w:szCs w:val="22"/>
        </w:rPr>
        <w:t xml:space="preserve"> </w:t>
      </w:r>
      <w:r w:rsidRPr="00781F39">
        <w:rPr>
          <w:sz w:val="22"/>
          <w:szCs w:val="22"/>
        </w:rPr>
        <w:t>se calcula el número</w:t>
      </w:r>
      <w:r w:rsidR="004E4843">
        <w:rPr>
          <w:sz w:val="22"/>
          <w:szCs w:val="22"/>
        </w:rPr>
        <w:t xml:space="preserve"> </w:t>
      </w:r>
      <w:r w:rsidRPr="004E4843">
        <w:rPr>
          <w:sz w:val="22"/>
          <w:szCs w:val="22"/>
        </w:rPr>
        <w:t>índice del periodo t respecto al periodo de referencia t0.</w:t>
      </w:r>
    </w:p>
    <w:p w14:paraId="0E30DF22" w14:textId="77777777" w:rsidR="008120DC" w:rsidRPr="00781F39" w:rsidRDefault="008120DC" w:rsidP="004E4843">
      <w:pPr>
        <w:pStyle w:val="Prrafodelista"/>
        <w:jc w:val="both"/>
        <w:rPr>
          <w:sz w:val="22"/>
          <w:szCs w:val="22"/>
        </w:rPr>
      </w:pPr>
      <w:r w:rsidRPr="00781F39">
        <w:rPr>
          <w:sz w:val="22"/>
          <w:szCs w:val="22"/>
        </w:rPr>
        <w:t>Por lo tanto, el número índice para una provincia en el período t se expresa: It0(p)= pt / p0</w:t>
      </w:r>
    </w:p>
    <w:p w14:paraId="03ECC158" w14:textId="77777777" w:rsidR="008120DC" w:rsidRPr="008120DC" w:rsidRDefault="008120DC" w:rsidP="008120DC">
      <w:pPr>
        <w:jc w:val="both"/>
        <w:rPr>
          <w:b/>
          <w:bCs/>
          <w:sz w:val="22"/>
          <w:szCs w:val="22"/>
        </w:rPr>
      </w:pPr>
      <w:r w:rsidRPr="008120DC">
        <w:rPr>
          <w:b/>
          <w:bCs/>
          <w:sz w:val="22"/>
          <w:szCs w:val="22"/>
        </w:rPr>
        <w:t>IV.- Fuentes</w:t>
      </w:r>
    </w:p>
    <w:p w14:paraId="0276813F" w14:textId="38EF25A0" w:rsidR="008120DC" w:rsidRPr="008120DC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 xml:space="preserve">Las fuentes de información son las propias del </w:t>
      </w:r>
      <w:r w:rsidRPr="008120DC">
        <w:rPr>
          <w:b/>
          <w:bCs/>
          <w:sz w:val="22"/>
          <w:szCs w:val="22"/>
        </w:rPr>
        <w:t>Fichero de Inquilinos Morosos</w:t>
      </w:r>
      <w:r w:rsidRPr="008120DC">
        <w:rPr>
          <w:sz w:val="22"/>
          <w:szCs w:val="22"/>
        </w:rPr>
        <w:t>, fichero inscrito en la Agencia</w:t>
      </w:r>
      <w:r w:rsidR="004E4843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Española de Protección de Datos bajo el número de registro 2091551065. Dicho fichero se nutre de la información</w:t>
      </w:r>
      <w:r w:rsidR="004E4843">
        <w:rPr>
          <w:sz w:val="22"/>
          <w:szCs w:val="22"/>
        </w:rPr>
        <w:t xml:space="preserve"> </w:t>
      </w:r>
      <w:r w:rsidRPr="008120DC">
        <w:rPr>
          <w:sz w:val="22"/>
          <w:szCs w:val="22"/>
        </w:rPr>
        <w:t>aportada por profesionales inmobiliarios, propietarios e información recopilada en fuentes de acceso público.</w:t>
      </w:r>
    </w:p>
    <w:p w14:paraId="1749075C" w14:textId="77777777" w:rsidR="008120DC" w:rsidRPr="008120DC" w:rsidRDefault="008120DC" w:rsidP="008120DC">
      <w:pPr>
        <w:jc w:val="both"/>
        <w:rPr>
          <w:b/>
          <w:bCs/>
          <w:sz w:val="22"/>
          <w:szCs w:val="22"/>
        </w:rPr>
      </w:pPr>
      <w:r w:rsidRPr="008120DC">
        <w:rPr>
          <w:b/>
          <w:bCs/>
          <w:sz w:val="22"/>
          <w:szCs w:val="22"/>
        </w:rPr>
        <w:t>V.- Periodicidad</w:t>
      </w:r>
    </w:p>
    <w:p w14:paraId="4B8AAE2D" w14:textId="67AC141C" w:rsidR="001F5F01" w:rsidRPr="000C51CB" w:rsidRDefault="008120DC" w:rsidP="008120DC">
      <w:pPr>
        <w:jc w:val="both"/>
        <w:rPr>
          <w:sz w:val="22"/>
          <w:szCs w:val="22"/>
        </w:rPr>
      </w:pPr>
      <w:r w:rsidRPr="008120DC">
        <w:rPr>
          <w:sz w:val="22"/>
          <w:szCs w:val="22"/>
        </w:rPr>
        <w:t>El estudio tiene una periodicidad interanual.</w:t>
      </w:r>
    </w:p>
    <w:sectPr w:rsidR="001F5F01" w:rsidRPr="000C5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9E2"/>
    <w:multiLevelType w:val="hybridMultilevel"/>
    <w:tmpl w:val="267CCE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C1BC3"/>
    <w:multiLevelType w:val="hybridMultilevel"/>
    <w:tmpl w:val="7C82E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9579">
    <w:abstractNumId w:val="0"/>
  </w:num>
  <w:num w:numId="2" w16cid:durableId="106052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7B"/>
    <w:rsid w:val="00002A4F"/>
    <w:rsid w:val="0002419E"/>
    <w:rsid w:val="000273F0"/>
    <w:rsid w:val="0003449F"/>
    <w:rsid w:val="000354B5"/>
    <w:rsid w:val="0003602B"/>
    <w:rsid w:val="00053291"/>
    <w:rsid w:val="00067351"/>
    <w:rsid w:val="00067946"/>
    <w:rsid w:val="000731BC"/>
    <w:rsid w:val="00077558"/>
    <w:rsid w:val="000808EA"/>
    <w:rsid w:val="00091C91"/>
    <w:rsid w:val="000B4265"/>
    <w:rsid w:val="000B735F"/>
    <w:rsid w:val="000B7F5F"/>
    <w:rsid w:val="000C3EBB"/>
    <w:rsid w:val="000C51CB"/>
    <w:rsid w:val="000C590D"/>
    <w:rsid w:val="000F7250"/>
    <w:rsid w:val="00100FC4"/>
    <w:rsid w:val="0010543D"/>
    <w:rsid w:val="00105F8C"/>
    <w:rsid w:val="00115DCE"/>
    <w:rsid w:val="0013053D"/>
    <w:rsid w:val="00132796"/>
    <w:rsid w:val="001B4E3D"/>
    <w:rsid w:val="001C0367"/>
    <w:rsid w:val="001C59F4"/>
    <w:rsid w:val="001E10CD"/>
    <w:rsid w:val="001F5F01"/>
    <w:rsid w:val="00203FDC"/>
    <w:rsid w:val="00204C18"/>
    <w:rsid w:val="0022090D"/>
    <w:rsid w:val="00225297"/>
    <w:rsid w:val="00236FBE"/>
    <w:rsid w:val="00241C64"/>
    <w:rsid w:val="00244994"/>
    <w:rsid w:val="002515F7"/>
    <w:rsid w:val="00257AC8"/>
    <w:rsid w:val="00262959"/>
    <w:rsid w:val="00263B2A"/>
    <w:rsid w:val="00265762"/>
    <w:rsid w:val="00272D8A"/>
    <w:rsid w:val="0028571E"/>
    <w:rsid w:val="00287C76"/>
    <w:rsid w:val="002938EB"/>
    <w:rsid w:val="002A1BEE"/>
    <w:rsid w:val="002A2062"/>
    <w:rsid w:val="002B68E6"/>
    <w:rsid w:val="002B6E83"/>
    <w:rsid w:val="002B7AAD"/>
    <w:rsid w:val="002D0950"/>
    <w:rsid w:val="002D2A45"/>
    <w:rsid w:val="002E2232"/>
    <w:rsid w:val="002E73A3"/>
    <w:rsid w:val="002E7C87"/>
    <w:rsid w:val="002F76E0"/>
    <w:rsid w:val="003003FA"/>
    <w:rsid w:val="003043B4"/>
    <w:rsid w:val="0030487D"/>
    <w:rsid w:val="00307111"/>
    <w:rsid w:val="00307201"/>
    <w:rsid w:val="0032068E"/>
    <w:rsid w:val="003216D6"/>
    <w:rsid w:val="003217C9"/>
    <w:rsid w:val="00321EE2"/>
    <w:rsid w:val="0032717D"/>
    <w:rsid w:val="00332863"/>
    <w:rsid w:val="00333DAD"/>
    <w:rsid w:val="00336554"/>
    <w:rsid w:val="00340380"/>
    <w:rsid w:val="00345E70"/>
    <w:rsid w:val="00346876"/>
    <w:rsid w:val="00350474"/>
    <w:rsid w:val="00350DC9"/>
    <w:rsid w:val="00353C0C"/>
    <w:rsid w:val="00355F29"/>
    <w:rsid w:val="00396ED5"/>
    <w:rsid w:val="003A229E"/>
    <w:rsid w:val="003B1CB5"/>
    <w:rsid w:val="003C1E0A"/>
    <w:rsid w:val="003C249F"/>
    <w:rsid w:val="003C72E2"/>
    <w:rsid w:val="003D6C4A"/>
    <w:rsid w:val="003F21D9"/>
    <w:rsid w:val="003F32C3"/>
    <w:rsid w:val="003F4552"/>
    <w:rsid w:val="004103F7"/>
    <w:rsid w:val="004117C7"/>
    <w:rsid w:val="00416F03"/>
    <w:rsid w:val="00420AAD"/>
    <w:rsid w:val="004350C3"/>
    <w:rsid w:val="00440480"/>
    <w:rsid w:val="0044055A"/>
    <w:rsid w:val="004509FA"/>
    <w:rsid w:val="00452D3C"/>
    <w:rsid w:val="00464E53"/>
    <w:rsid w:val="00471116"/>
    <w:rsid w:val="0047747E"/>
    <w:rsid w:val="00485E7B"/>
    <w:rsid w:val="004878A5"/>
    <w:rsid w:val="00497E5A"/>
    <w:rsid w:val="004A1367"/>
    <w:rsid w:val="004A58C6"/>
    <w:rsid w:val="004B5F24"/>
    <w:rsid w:val="004C1F4F"/>
    <w:rsid w:val="004C69C0"/>
    <w:rsid w:val="004E0361"/>
    <w:rsid w:val="004E0B28"/>
    <w:rsid w:val="004E2662"/>
    <w:rsid w:val="004E4843"/>
    <w:rsid w:val="004E5D56"/>
    <w:rsid w:val="004F1B79"/>
    <w:rsid w:val="004F6D59"/>
    <w:rsid w:val="00500DBB"/>
    <w:rsid w:val="005072D0"/>
    <w:rsid w:val="0050742C"/>
    <w:rsid w:val="00523C01"/>
    <w:rsid w:val="00535992"/>
    <w:rsid w:val="00545325"/>
    <w:rsid w:val="005455F8"/>
    <w:rsid w:val="0056027D"/>
    <w:rsid w:val="005722F8"/>
    <w:rsid w:val="005758BB"/>
    <w:rsid w:val="005766B8"/>
    <w:rsid w:val="00581983"/>
    <w:rsid w:val="0058275E"/>
    <w:rsid w:val="00584CC6"/>
    <w:rsid w:val="005B0D92"/>
    <w:rsid w:val="005B1B0F"/>
    <w:rsid w:val="005B564A"/>
    <w:rsid w:val="005C17B2"/>
    <w:rsid w:val="005C4D57"/>
    <w:rsid w:val="005C590B"/>
    <w:rsid w:val="005E22C5"/>
    <w:rsid w:val="005F284F"/>
    <w:rsid w:val="00600B6D"/>
    <w:rsid w:val="00615AE2"/>
    <w:rsid w:val="00616568"/>
    <w:rsid w:val="00625D10"/>
    <w:rsid w:val="0064156E"/>
    <w:rsid w:val="006738C7"/>
    <w:rsid w:val="006A2B3B"/>
    <w:rsid w:val="006A3719"/>
    <w:rsid w:val="006B098F"/>
    <w:rsid w:val="006B473E"/>
    <w:rsid w:val="006C1A90"/>
    <w:rsid w:val="006C5604"/>
    <w:rsid w:val="006D1046"/>
    <w:rsid w:val="006E0295"/>
    <w:rsid w:val="006E21D4"/>
    <w:rsid w:val="006E378C"/>
    <w:rsid w:val="006F01AE"/>
    <w:rsid w:val="006F53E4"/>
    <w:rsid w:val="006F5DDF"/>
    <w:rsid w:val="007009C7"/>
    <w:rsid w:val="007040C2"/>
    <w:rsid w:val="00711BC9"/>
    <w:rsid w:val="007454B5"/>
    <w:rsid w:val="007503A0"/>
    <w:rsid w:val="00752073"/>
    <w:rsid w:val="0075739C"/>
    <w:rsid w:val="00781F39"/>
    <w:rsid w:val="007C0046"/>
    <w:rsid w:val="007D40B4"/>
    <w:rsid w:val="007F16D1"/>
    <w:rsid w:val="007F1F39"/>
    <w:rsid w:val="00802B96"/>
    <w:rsid w:val="008120DC"/>
    <w:rsid w:val="008136B3"/>
    <w:rsid w:val="008200D9"/>
    <w:rsid w:val="008237D9"/>
    <w:rsid w:val="008275B5"/>
    <w:rsid w:val="0083586C"/>
    <w:rsid w:val="00841C29"/>
    <w:rsid w:val="00860F09"/>
    <w:rsid w:val="008636F6"/>
    <w:rsid w:val="00882031"/>
    <w:rsid w:val="0088321B"/>
    <w:rsid w:val="00884E56"/>
    <w:rsid w:val="008A65C4"/>
    <w:rsid w:val="008B0FB0"/>
    <w:rsid w:val="008B1F89"/>
    <w:rsid w:val="008B4113"/>
    <w:rsid w:val="008B64D0"/>
    <w:rsid w:val="008B651A"/>
    <w:rsid w:val="008C2F5F"/>
    <w:rsid w:val="009217FA"/>
    <w:rsid w:val="00923BFC"/>
    <w:rsid w:val="009303EA"/>
    <w:rsid w:val="00932B47"/>
    <w:rsid w:val="00932C70"/>
    <w:rsid w:val="00954AA3"/>
    <w:rsid w:val="00962F10"/>
    <w:rsid w:val="00971EA9"/>
    <w:rsid w:val="009A5191"/>
    <w:rsid w:val="009B7959"/>
    <w:rsid w:val="009C5CFD"/>
    <w:rsid w:val="009C5FBB"/>
    <w:rsid w:val="009D6F5F"/>
    <w:rsid w:val="009E7293"/>
    <w:rsid w:val="009E7F8C"/>
    <w:rsid w:val="009F39A5"/>
    <w:rsid w:val="00A01B16"/>
    <w:rsid w:val="00A1310F"/>
    <w:rsid w:val="00A160CE"/>
    <w:rsid w:val="00A41CC3"/>
    <w:rsid w:val="00A41EEE"/>
    <w:rsid w:val="00A42BFA"/>
    <w:rsid w:val="00A45145"/>
    <w:rsid w:val="00A62960"/>
    <w:rsid w:val="00A725F3"/>
    <w:rsid w:val="00A87714"/>
    <w:rsid w:val="00A91A44"/>
    <w:rsid w:val="00A962AF"/>
    <w:rsid w:val="00AA7244"/>
    <w:rsid w:val="00AB0DF2"/>
    <w:rsid w:val="00AC22D9"/>
    <w:rsid w:val="00AC3CC1"/>
    <w:rsid w:val="00AD04FB"/>
    <w:rsid w:val="00AD58E4"/>
    <w:rsid w:val="00AE3BC6"/>
    <w:rsid w:val="00AE4139"/>
    <w:rsid w:val="00AE4653"/>
    <w:rsid w:val="00AF0866"/>
    <w:rsid w:val="00B11235"/>
    <w:rsid w:val="00B149BB"/>
    <w:rsid w:val="00B154D0"/>
    <w:rsid w:val="00B232BC"/>
    <w:rsid w:val="00B24C80"/>
    <w:rsid w:val="00B2573D"/>
    <w:rsid w:val="00B46741"/>
    <w:rsid w:val="00B53828"/>
    <w:rsid w:val="00B53FFC"/>
    <w:rsid w:val="00B5694E"/>
    <w:rsid w:val="00B658E6"/>
    <w:rsid w:val="00B66AB7"/>
    <w:rsid w:val="00B72821"/>
    <w:rsid w:val="00B76C7E"/>
    <w:rsid w:val="00B91E5B"/>
    <w:rsid w:val="00B97996"/>
    <w:rsid w:val="00BA0060"/>
    <w:rsid w:val="00BA3C5A"/>
    <w:rsid w:val="00BA4AD3"/>
    <w:rsid w:val="00BA5DA6"/>
    <w:rsid w:val="00BB095D"/>
    <w:rsid w:val="00BB234A"/>
    <w:rsid w:val="00BB2372"/>
    <w:rsid w:val="00BC56D2"/>
    <w:rsid w:val="00BC7AB0"/>
    <w:rsid w:val="00BC7FA4"/>
    <w:rsid w:val="00BD03F4"/>
    <w:rsid w:val="00BE6F00"/>
    <w:rsid w:val="00C046C6"/>
    <w:rsid w:val="00C06A38"/>
    <w:rsid w:val="00C1317C"/>
    <w:rsid w:val="00C27217"/>
    <w:rsid w:val="00C544DC"/>
    <w:rsid w:val="00C65BDC"/>
    <w:rsid w:val="00C96416"/>
    <w:rsid w:val="00CA3C87"/>
    <w:rsid w:val="00CA4F06"/>
    <w:rsid w:val="00CA5406"/>
    <w:rsid w:val="00CB13CB"/>
    <w:rsid w:val="00CD1773"/>
    <w:rsid w:val="00CD255E"/>
    <w:rsid w:val="00CE37A9"/>
    <w:rsid w:val="00CF70A2"/>
    <w:rsid w:val="00D01138"/>
    <w:rsid w:val="00D0271E"/>
    <w:rsid w:val="00D1473C"/>
    <w:rsid w:val="00D22350"/>
    <w:rsid w:val="00D2419F"/>
    <w:rsid w:val="00D2490A"/>
    <w:rsid w:val="00D434FB"/>
    <w:rsid w:val="00D63A3D"/>
    <w:rsid w:val="00D827CA"/>
    <w:rsid w:val="00DA5634"/>
    <w:rsid w:val="00DA6FD4"/>
    <w:rsid w:val="00DB1511"/>
    <w:rsid w:val="00DB3EAD"/>
    <w:rsid w:val="00DC1322"/>
    <w:rsid w:val="00DC525A"/>
    <w:rsid w:val="00DD74F3"/>
    <w:rsid w:val="00DE2FB7"/>
    <w:rsid w:val="00DE5C4F"/>
    <w:rsid w:val="00E03ADB"/>
    <w:rsid w:val="00E13DBD"/>
    <w:rsid w:val="00E301DF"/>
    <w:rsid w:val="00E405FE"/>
    <w:rsid w:val="00E45B7F"/>
    <w:rsid w:val="00E52A42"/>
    <w:rsid w:val="00E8338F"/>
    <w:rsid w:val="00E85431"/>
    <w:rsid w:val="00E86A79"/>
    <w:rsid w:val="00E906E1"/>
    <w:rsid w:val="00E93944"/>
    <w:rsid w:val="00EA1335"/>
    <w:rsid w:val="00EA5B62"/>
    <w:rsid w:val="00EC2C4E"/>
    <w:rsid w:val="00EC430E"/>
    <w:rsid w:val="00EC44C1"/>
    <w:rsid w:val="00EC6890"/>
    <w:rsid w:val="00ED3A71"/>
    <w:rsid w:val="00EE2E78"/>
    <w:rsid w:val="00EE5345"/>
    <w:rsid w:val="00EE6B04"/>
    <w:rsid w:val="00EE7FA5"/>
    <w:rsid w:val="00F0190F"/>
    <w:rsid w:val="00F03531"/>
    <w:rsid w:val="00F075AF"/>
    <w:rsid w:val="00F20699"/>
    <w:rsid w:val="00F23281"/>
    <w:rsid w:val="00F348CD"/>
    <w:rsid w:val="00F35E3E"/>
    <w:rsid w:val="00F53249"/>
    <w:rsid w:val="00F6385E"/>
    <w:rsid w:val="00F74377"/>
    <w:rsid w:val="00F74B7B"/>
    <w:rsid w:val="00F77D5C"/>
    <w:rsid w:val="00F85CFE"/>
    <w:rsid w:val="00F8678B"/>
    <w:rsid w:val="00F8780C"/>
    <w:rsid w:val="00F909A2"/>
    <w:rsid w:val="00F92D61"/>
    <w:rsid w:val="00F92DFC"/>
    <w:rsid w:val="00F948C9"/>
    <w:rsid w:val="00FA17C9"/>
    <w:rsid w:val="00FA5CB1"/>
    <w:rsid w:val="00FB21C0"/>
    <w:rsid w:val="00FB2B28"/>
    <w:rsid w:val="00FD6FD0"/>
    <w:rsid w:val="00FE208F"/>
    <w:rsid w:val="00FE4EBF"/>
    <w:rsid w:val="00FF1331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49A0"/>
  <w15:chartTrackingRefBased/>
  <w15:docId w15:val="{898152F5-8FB7-4558-88A2-064ECA89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5E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5E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5E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5E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5E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5E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0D4C2C3FA2C46A5823140B444E860" ma:contentTypeVersion="15" ma:contentTypeDescription="Crear nuevo documento." ma:contentTypeScope="" ma:versionID="cd2aa36ae150863b6c9c2475db53d65b">
  <xsd:schema xmlns:xsd="http://www.w3.org/2001/XMLSchema" xmlns:xs="http://www.w3.org/2001/XMLSchema" xmlns:p="http://schemas.microsoft.com/office/2006/metadata/properties" xmlns:ns2="99dfe94c-0cad-405c-9c1d-c4b8836841c9" xmlns:ns3="4bdc35ca-d498-4be8-8ca3-0de12fcdb3f1" targetNamespace="http://schemas.microsoft.com/office/2006/metadata/properties" ma:root="true" ma:fieldsID="f15fa9187d3d1d8d5459c4793b8a2128" ns2:_="" ns3:_="">
    <xsd:import namespace="99dfe94c-0cad-405c-9c1d-c4b8836841c9"/>
    <xsd:import namespace="4bdc35ca-d498-4be8-8ca3-0de12fcdb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e94c-0cad-405c-9c1d-c4b88368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a22f14-e6bf-42fb-8733-2126455c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35ca-d498-4be8-8ca3-0de12fcdb3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1dbcf6-b935-443d-8293-2932bcb94f36}" ma:internalName="TaxCatchAll" ma:showField="CatchAllData" ma:web="4bdc35ca-d498-4be8-8ca3-0de12fcdb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fe94c-0cad-405c-9c1d-c4b8836841c9">
      <Terms xmlns="http://schemas.microsoft.com/office/infopath/2007/PartnerControls"/>
    </lcf76f155ced4ddcb4097134ff3c332f>
    <TaxCatchAll xmlns="4bdc35ca-d498-4be8-8ca3-0de12fcdb3f1" xsi:nil="true"/>
  </documentManagement>
</p:properties>
</file>

<file path=customXml/itemProps1.xml><?xml version="1.0" encoding="utf-8"?>
<ds:datastoreItem xmlns:ds="http://schemas.openxmlformats.org/officeDocument/2006/customXml" ds:itemID="{851E8D49-4151-4B98-BB9E-B6944876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C1EF1-B92A-4047-B319-48DD841F7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e94c-0cad-405c-9c1d-c4b8836841c9"/>
    <ds:schemaRef ds:uri="4bdc35ca-d498-4be8-8ca3-0de12fcdb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66819-0BC5-463D-8083-F8C6FB531B9D}">
  <ds:schemaRefs>
    <ds:schemaRef ds:uri="http://schemas.microsoft.com/office/2006/metadata/properties"/>
    <ds:schemaRef ds:uri="http://schemas.microsoft.com/office/infopath/2007/PartnerControls"/>
    <ds:schemaRef ds:uri="99dfe94c-0cad-405c-9c1d-c4b8836841c9"/>
    <ds:schemaRef ds:uri="4bdc35ca-d498-4be8-8ca3-0de12fcdb3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8</Pages>
  <Words>2551</Words>
  <Characters>13729</Characters>
  <Application>Microsoft Office Word</Application>
  <DocSecurity>0</DocSecurity>
  <Lines>249</Lines>
  <Paragraphs>78</Paragraphs>
  <ScaleCrop>false</ScaleCrop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Carrasco |  Alquiler Seguro</dc:creator>
  <cp:keywords/>
  <dc:description/>
  <cp:lastModifiedBy>Virginia Carrasco |  Alquiler Seguro</cp:lastModifiedBy>
  <cp:revision>325</cp:revision>
  <dcterms:created xsi:type="dcterms:W3CDTF">2026-02-23T08:41:00Z</dcterms:created>
  <dcterms:modified xsi:type="dcterms:W3CDTF">2026-03-03T15:55:00Z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0x010100C630D4C2C3FA2C46A5823140B444E860</vt:lpwstr>
  </property>
  <property fmtid="{D5CDD505-2E9C-101B-9397-08002B2CF9AE}" pid="3" name="MediaServiceImageTags">
    <vt:lpwstr/>
  </property>
</Properties>
</file>