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Georgia" w:hAnsi="Georgia"/>
          <w:b/>
          <w:color w:val="5A5AF0"/>
          <w:sz w:val="28"/>
        </w:rPr>
        <w:t>Ecko Health</w:t>
      </w:r>
    </w:p>
    <w:p>
      <w:pPr>
        <w:pStyle w:val="Heading1"/>
      </w:pPr>
      <w:r>
        <w:t>Practice Switching Checklist</w:t>
      </w:r>
    </w:p>
    <w:p>
      <w:r>
        <w:rPr>
          <w:color w:val="5C5C74"/>
          <w:sz w:val="23"/>
        </w:rPr>
        <w:t>Changing the system your practice runs on, without losing a record, a booking or a client's trust. Work through it in order.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</w:tcPr>
          <w:p>
            <w:r>
              <w:rPr>
                <w:sz w:val="19"/>
              </w:rPr>
              <w:t>The principle. Your records are yours, and your obligation to hold them does not pause because a contract ended. Get a complete, readable export before you cancel anything, and keep the old system readable until you have proved the new one holds everything.</w:t>
            </w:r>
          </w:p>
        </w:tc>
      </w:tr>
    </w:tbl>
    <w:p>
      <w:pPr>
        <w:pStyle w:val="Heading2"/>
      </w:pPr>
      <w:r>
        <w:t>Four weeks out. Get your data out first</w:t>
      </w:r>
    </w:p>
    <w:p>
      <w:r>
        <w:t>☐  Ask your current provider, in writing, for a full export of client records, clinical notes, documents and attachments, in an open format such as PDF or CSV.</w:t>
      </w:r>
    </w:p>
    <w:p>
      <w:r>
        <w:t>☐  Confirm what is not included in the export. Attachments, letters and outcome measures are the usual omissions.</w:t>
      </w:r>
    </w:p>
    <w:p>
      <w:r>
        <w:t>☐  Ask how long they retain your data after you leave, and how it is destroyed. Keep the reply.</w:t>
      </w:r>
    </w:p>
    <w:p>
      <w:r>
        <w:t>☐  Export the appointment history and the financial and billing records separately.</w:t>
      </w:r>
    </w:p>
    <w:p>
      <w:r>
        <w:t>☐  Open a sample of exported files. An export you have not read is not a backup.</w:t>
      </w:r>
    </w:p>
    <w:p>
      <w:r>
        <w:t>☐  Store the export somewhere secure that is not a personal laptop.</w:t>
      </w:r>
    </w:p>
    <w:p>
      <w:pPr>
        <w:pStyle w:val="Heading2"/>
      </w:pPr>
      <w:r>
        <w:t>Three weeks out. Set the new system up properly</w:t>
      </w:r>
    </w:p>
    <w:p>
      <w:r>
        <w:t>☐  Decide what actually migrates. Active clients, always. Discharged files can often stay in the archive.</w:t>
      </w:r>
    </w:p>
    <w:p>
      <w:r>
        <w:t>☐  Load a handful of clients first and check the fields landed where you expect.</w:t>
      </w:r>
    </w:p>
    <w:p>
      <w:r>
        <w:t>☐  Rebuild your note templates and letter templates before go live, not after.</w:t>
      </w:r>
    </w:p>
    <w:p>
      <w:r>
        <w:t>☐  Set roles and access so clinicians see their own clients and administrative staff see what they need.</w:t>
      </w:r>
    </w:p>
    <w:p>
      <w:r>
        <w:t>☐  Reconnect billing, Medicare and any online booking links.</w:t>
      </w:r>
    </w:p>
    <w:p>
      <w:r>
        <w:t>☐  Check outcome measures carry across with their dates, so trend lines survive.</w:t>
      </w:r>
    </w:p>
    <w:p>
      <w:pPr>
        <w:pStyle w:val="Heading2"/>
      </w:pPr>
      <w:r>
        <w:t>Two weeks out. Tell people</w:t>
      </w:r>
    </w:p>
    <w:p>
      <w:r>
        <w:t>☐  Tell clients what is changing and what is not. Most care about two things only: is my information safe, and will my appointment still be there.</w:t>
      </w:r>
    </w:p>
    <w:p>
      <w:r>
        <w:t>☐  Update your privacy policy to name the new provider and describe how information is handled, including any AI involvement.</w:t>
      </w:r>
    </w:p>
    <w:p>
      <w:r>
        <w:t>☐  Refresh consent where the new arrangement is materially different from what clients agreed to.</w:t>
      </w:r>
    </w:p>
    <w:p>
      <w:r>
        <w:t>☐  Tell referrers and your GP network the practical details: new booking link, same fax and email if possible.</w:t>
      </w:r>
    </w:p>
    <w:p>
      <w:r>
        <w:t>☐  Brief the front desk on the questions they will be asked, with the answers written down.</w:t>
      </w:r>
    </w:p>
    <w:p>
      <w:pPr>
        <w:pStyle w:val="Heading2"/>
      </w:pPr>
      <w:r>
        <w:t>Go live week. Run both, briefly</w:t>
      </w:r>
    </w:p>
    <w:p>
      <w:r>
        <w:t>☐  Keep read access to the old system for at least a month. Do not cancel on day one.</w:t>
      </w:r>
    </w:p>
    <w:p>
      <w:r>
        <w:t>☐  Reconcile a sample: pick ten clients and check every note, document and measure is present in the new system.</w:t>
      </w:r>
    </w:p>
    <w:p>
      <w:r>
        <w:t>☐  Watch the first week of billing closely. Payments are where migrations break quietly.</w:t>
      </w:r>
    </w:p>
    <w:p>
      <w:r>
        <w:t>☐  Log issues in one place rather than in messages between staff.</w:t>
      </w:r>
    </w:p>
    <w:p>
      <w:r>
        <w:t>☐  Ask each clinician at the end of week one what is slower than before, and fix that first.</w:t>
      </w:r>
    </w:p>
    <w:p>
      <w:pPr>
        <w:pStyle w:val="Heading2"/>
      </w:pPr>
      <w:r>
        <w:t>Closing out</w:t>
      </w:r>
    </w:p>
    <w:p>
      <w:r>
        <w:t>☐  Only cancel the old subscription once the reconciliation passed and the export is stored.</w:t>
      </w:r>
    </w:p>
    <w:p>
      <w:r>
        <w:t>☐  Get written confirmation that the old provider has deleted or returned your data.</w:t>
      </w:r>
    </w:p>
    <w:p>
      <w:r>
        <w:t>☐  Remove departed staff and old integrations from both systems.</w:t>
      </w:r>
    </w:p>
    <w:p>
      <w:r>
        <w:t>☐  Record the date of the switch in your practice's own records, with who did what.</w:t>
      </w:r>
    </w:p>
    <w:p>
      <w:r>
        <w:t>☐  Diarise a review at ninety days.</w:t>
      </w:r>
    </w:p>
    <w:p>
      <w:pPr>
        <w:pStyle w:val="Heading3"/>
      </w:pPr>
      <w:r>
        <w:t>Ask any provider before you sign</w:t>
      </w:r>
    </w:p>
    <w:p>
      <w:pPr>
        <w:pStyle w:val="ListBullet"/>
      </w:pPr>
      <w:r>
        <w:t>Can I export everything, myself, without asking you?</w:t>
      </w:r>
    </w:p>
    <w:p>
      <w:pPr>
        <w:pStyle w:val="ListBullet"/>
      </w:pPr>
      <w:r>
        <w:t>In what format, and does it include attachments?</w:t>
      </w:r>
    </w:p>
    <w:p>
      <w:pPr>
        <w:pStyle w:val="ListBullet"/>
      </w:pPr>
      <w:r>
        <w:t>Where is the data held, and by whom?</w:t>
      </w:r>
    </w:p>
    <w:p>
      <w:pPr>
        <w:pStyle w:val="ListBullet"/>
      </w:pPr>
      <w:r>
        <w:t>What happens to it if I leave?</w:t>
      </w:r>
    </w:p>
    <w:p>
      <w:pPr>
        <w:pStyle w:val="ListBullet"/>
      </w:pPr>
      <w:r>
        <w:t>Who can see it inside your company?</w:t>
      </w:r>
    </w:p>
    <w:p>
      <w:pPr>
        <w:pStyle w:val="Heading3"/>
      </w:pPr>
      <w:r>
        <w:t>Red flags</w:t>
      </w:r>
    </w:p>
    <w:p>
      <w:pPr>
        <w:pStyle w:val="ListBullet"/>
      </w:pPr>
      <w:r>
        <w:t>Export available only on request, or for a fee.</w:t>
      </w:r>
    </w:p>
    <w:p>
      <w:pPr>
        <w:pStyle w:val="ListBullet"/>
      </w:pPr>
      <w:r>
        <w:t>No clear answer on data location.</w:t>
      </w:r>
    </w:p>
    <w:p>
      <w:pPr>
        <w:pStyle w:val="ListBullet"/>
      </w:pPr>
      <w:r>
        <w:t>Notes exportable only as a single unreadable file.</w:t>
      </w:r>
    </w:p>
    <w:p>
      <w:pPr>
        <w:pStyle w:val="ListBullet"/>
      </w:pPr>
      <w:r>
        <w:t>Deletion timeframes that are not written down.</w:t>
      </w:r>
    </w:p>
    <w:p>
      <w:pPr>
        <w:pStyle w:val="ListBullet"/>
      </w:pPr>
      <w:r>
        <w:t>A contract that auto renews before your review date.</w:t>
      </w:r>
    </w:p>
    <w:p>
      <w:pPr>
        <w:pStyle w:val="Heading3"/>
      </w:pPr>
      <w:r>
        <w:t>Do not forget</w:t>
      </w:r>
    </w:p>
    <w:p>
      <w:pPr>
        <w:pStyle w:val="ListBullet"/>
      </w:pPr>
      <w:r>
        <w:t>Records for clients seen as children, retained far longer.</w:t>
      </w:r>
    </w:p>
    <w:p>
      <w:pPr>
        <w:pStyle w:val="ListBullet"/>
      </w:pPr>
      <w:r>
        <w:t>Supervision records, which live outside client files.</w:t>
      </w:r>
    </w:p>
    <w:p>
      <w:pPr>
        <w:pStyle w:val="ListBullet"/>
      </w:pPr>
      <w:r>
        <w:t>Consent forms, which are part of the record.</w:t>
      </w:r>
    </w:p>
    <w:p>
      <w:pPr>
        <w:pStyle w:val="ListBullet"/>
      </w:pPr>
      <w:r>
        <w:t>Anything sitting only in a clinician's own drive.</w:t>
      </w:r>
    </w:p>
    <w:p>
      <w:r>
        <w:rPr>
          <w:color w:val="5C5C74"/>
          <w:sz w:val="17"/>
        </w:rPr>
        <w:t>General guidance, not legal advice. Your practice remains responsible for its record keeping obligations throughout a migration. Ecko Health, v1.0, August 2026.</w:t>
      </w:r>
    </w:p>
    <w:p>
      <w:pPr>
        <w:jc w:val="left"/>
      </w:pPr>
      <w:r>
        <w:rPr>
          <w:color w:val="5C5C74"/>
          <w:sz w:val="16"/>
        </w:rPr>
        <w:t>Ecko Health  ·  support@eckohealth.ai  ·  editable copy, v1.0, August 2026</w:t>
      </w:r>
    </w:p>
    <w:sectPr w:rsidR="00FC693F" w:rsidRPr="0006063C" w:rsidSect="00034616">
      <w:pgSz w:w="12240" w:h="15840"/>
      <w:pgMar w:top="1008" w:right="1080" w:bottom="100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1C1C2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Georgia" w:hAnsi="Georgia"/>
      <w:b/>
      <w:bCs/>
      <w:color w:val="1C1C2A"/>
      <w:sz w:val="4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Georgia" w:hAnsi="Georgia"/>
      <w:b/>
      <w:bCs/>
      <w:color w:val="5A5AF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Georgia" w:hAnsi="Georgia"/>
      <w:b/>
      <w:bCs/>
      <w:color w:val="1C1C2A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