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AA47" w14:textId="0207DFFE" w:rsidR="00E84753" w:rsidRPr="007E17CE" w:rsidRDefault="0085335E" w:rsidP="00056B7E">
      <w:pPr>
        <w:jc w:val="center"/>
        <w:rPr>
          <w:rFonts w:ascii="Garamond" w:hAnsi="Garamond"/>
          <w:b/>
          <w:bCs/>
        </w:rPr>
      </w:pPr>
      <w:bookmarkStart w:id="0" w:name="_Hlk119046192"/>
      <w:r w:rsidRPr="007E17CE">
        <w:rPr>
          <w:rFonts w:ascii="Garamond" w:hAnsi="Garamond"/>
          <w:b/>
          <w:bCs/>
        </w:rPr>
        <w:t>Sample Email to Lawyer on Plaintiff Recovery Trust</w:t>
      </w:r>
    </w:p>
    <w:p w14:paraId="555819C5" w14:textId="77777777" w:rsidR="007E17CE" w:rsidRDefault="007E17CE">
      <w:pPr>
        <w:rPr>
          <w:rFonts w:ascii="Garamond" w:hAnsi="Garamond"/>
        </w:rPr>
      </w:pPr>
    </w:p>
    <w:p w14:paraId="7BD34C58" w14:textId="3422B133" w:rsidR="0066701F" w:rsidRPr="007E17CE" w:rsidRDefault="0066701F">
      <w:pPr>
        <w:rPr>
          <w:rFonts w:ascii="Garamond" w:hAnsi="Garamond"/>
        </w:rPr>
      </w:pPr>
      <w:r w:rsidRPr="007E17CE">
        <w:rPr>
          <w:rFonts w:ascii="Garamond" w:hAnsi="Garamond"/>
        </w:rPr>
        <w:t>Subject: New Plaintiff Tax Solution for Taxable Cases</w:t>
      </w:r>
    </w:p>
    <w:p w14:paraId="6BC4AB20" w14:textId="77777777" w:rsidR="00061874" w:rsidRDefault="00061874">
      <w:pPr>
        <w:rPr>
          <w:rFonts w:ascii="Garamond" w:hAnsi="Garamond"/>
        </w:rPr>
      </w:pPr>
    </w:p>
    <w:p w14:paraId="41BF2D55" w14:textId="28DCA7EB" w:rsidR="0085335E" w:rsidRDefault="00061874">
      <w:pPr>
        <w:rPr>
          <w:rFonts w:ascii="Garamond" w:hAnsi="Garamond"/>
        </w:rPr>
      </w:pPr>
      <w:r>
        <w:rPr>
          <w:rFonts w:ascii="Garamond" w:hAnsi="Garamond"/>
        </w:rPr>
        <w:t>[</w:t>
      </w:r>
      <w:r w:rsidR="00421ED2">
        <w:rPr>
          <w:rFonts w:ascii="Garamond" w:hAnsi="Garamond"/>
        </w:rPr>
        <w:t>Lawyer</w:t>
      </w:r>
      <w:r>
        <w:rPr>
          <w:rFonts w:ascii="Garamond" w:hAnsi="Garamond"/>
        </w:rPr>
        <w:t>]</w:t>
      </w:r>
      <w:r w:rsidR="0085335E">
        <w:rPr>
          <w:rFonts w:ascii="Garamond" w:hAnsi="Garamond"/>
        </w:rPr>
        <w:t>,</w:t>
      </w:r>
    </w:p>
    <w:p w14:paraId="10BE3396" w14:textId="6BCDAAC7" w:rsidR="0085335E" w:rsidRDefault="0085335E">
      <w:pPr>
        <w:rPr>
          <w:rFonts w:ascii="Garamond" w:hAnsi="Garamond"/>
        </w:rPr>
      </w:pPr>
    </w:p>
    <w:p w14:paraId="4E2CF155" w14:textId="1C6E06DC" w:rsidR="00842E5A" w:rsidRDefault="006C341D">
      <w:pPr>
        <w:rPr>
          <w:rFonts w:ascii="Garamond" w:hAnsi="Garamond"/>
        </w:rPr>
      </w:pPr>
      <w:r>
        <w:rPr>
          <w:rFonts w:ascii="Garamond" w:hAnsi="Garamond"/>
        </w:rPr>
        <w:t xml:space="preserve">You’re probably aware that </w:t>
      </w:r>
      <w:r w:rsidR="0066701F">
        <w:rPr>
          <w:rFonts w:ascii="Garamond" w:hAnsi="Garamond"/>
        </w:rPr>
        <w:t>plaintiff</w:t>
      </w:r>
      <w:r>
        <w:rPr>
          <w:rFonts w:ascii="Garamond" w:hAnsi="Garamond"/>
        </w:rPr>
        <w:t>s</w:t>
      </w:r>
      <w:r w:rsidR="0066701F">
        <w:rPr>
          <w:rFonts w:ascii="Garamond" w:hAnsi="Garamond"/>
        </w:rPr>
        <w:t xml:space="preserve"> regularly</w:t>
      </w:r>
      <w:r>
        <w:rPr>
          <w:rFonts w:ascii="Garamond" w:hAnsi="Garamond"/>
        </w:rPr>
        <w:t xml:space="preserve"> </w:t>
      </w:r>
      <w:r w:rsidR="0066701F">
        <w:rPr>
          <w:rFonts w:ascii="Garamond" w:hAnsi="Garamond"/>
        </w:rPr>
        <w:t>pay too much t</w:t>
      </w:r>
      <w:r>
        <w:rPr>
          <w:rFonts w:ascii="Garamond" w:hAnsi="Garamond"/>
        </w:rPr>
        <w:t xml:space="preserve">ax in cases involving </w:t>
      </w:r>
      <w:r w:rsidR="0066701F">
        <w:rPr>
          <w:rFonts w:ascii="Garamond" w:hAnsi="Garamond"/>
        </w:rPr>
        <w:t>punitives</w:t>
      </w:r>
      <w:r>
        <w:rPr>
          <w:rFonts w:ascii="Garamond" w:hAnsi="Garamond"/>
        </w:rPr>
        <w:t xml:space="preserve">, emotional distress, and </w:t>
      </w:r>
      <w:r w:rsidR="00842E5A">
        <w:rPr>
          <w:rFonts w:ascii="Garamond" w:hAnsi="Garamond"/>
        </w:rPr>
        <w:t>other taxable damages</w:t>
      </w:r>
      <w:r>
        <w:rPr>
          <w:rFonts w:ascii="Garamond" w:hAnsi="Garamond"/>
        </w:rPr>
        <w:t>.</w:t>
      </w:r>
      <w:r w:rsidR="00842E5A">
        <w:rPr>
          <w:rFonts w:ascii="Garamond" w:hAnsi="Garamond"/>
        </w:rPr>
        <w:t xml:space="preserve"> Since 201</w:t>
      </w:r>
      <w:r w:rsidR="00061874">
        <w:rPr>
          <w:rFonts w:ascii="Garamond" w:hAnsi="Garamond"/>
        </w:rPr>
        <w:t>8</w:t>
      </w:r>
      <w:r w:rsidR="00842E5A">
        <w:rPr>
          <w:rFonts w:ascii="Garamond" w:hAnsi="Garamond"/>
        </w:rPr>
        <w:t xml:space="preserve">, </w:t>
      </w:r>
      <w:r w:rsidR="007E17CE">
        <w:rPr>
          <w:rFonts w:ascii="Garamond" w:hAnsi="Garamond"/>
        </w:rPr>
        <w:t>those plaintiffs</w:t>
      </w:r>
      <w:r w:rsidR="00842E5A">
        <w:rPr>
          <w:rFonts w:ascii="Garamond" w:hAnsi="Garamond"/>
        </w:rPr>
        <w:t xml:space="preserve"> pay tax on the fee portion of their recovery, </w:t>
      </w:r>
      <w:r w:rsidR="00061874">
        <w:rPr>
          <w:rFonts w:ascii="Garamond" w:hAnsi="Garamond"/>
        </w:rPr>
        <w:t>and then you pay tax on it too</w:t>
      </w:r>
      <w:r w:rsidR="00842E5A">
        <w:rPr>
          <w:rFonts w:ascii="Garamond" w:hAnsi="Garamond"/>
        </w:rPr>
        <w:t xml:space="preserve">. Many call this </w:t>
      </w:r>
      <w:r w:rsidR="00056B7E">
        <w:rPr>
          <w:rFonts w:ascii="Garamond" w:hAnsi="Garamond"/>
        </w:rPr>
        <w:t>the</w:t>
      </w:r>
      <w:r w:rsidR="00842E5A">
        <w:rPr>
          <w:rFonts w:ascii="Garamond" w:hAnsi="Garamond"/>
        </w:rPr>
        <w:t xml:space="preserve"> “</w:t>
      </w:r>
      <w:r w:rsidR="00056B7E">
        <w:rPr>
          <w:rFonts w:ascii="Garamond" w:hAnsi="Garamond"/>
        </w:rPr>
        <w:t xml:space="preserve">plaintiff </w:t>
      </w:r>
      <w:r w:rsidR="00842E5A">
        <w:rPr>
          <w:rFonts w:ascii="Garamond" w:hAnsi="Garamond"/>
        </w:rPr>
        <w:t>double tax</w:t>
      </w:r>
      <w:r w:rsidR="00061874">
        <w:rPr>
          <w:rFonts w:ascii="Garamond" w:hAnsi="Garamond"/>
        </w:rPr>
        <w:t>.</w:t>
      </w:r>
      <w:r w:rsidR="00842E5A">
        <w:rPr>
          <w:rFonts w:ascii="Garamond" w:hAnsi="Garamond"/>
        </w:rPr>
        <w:t>”</w:t>
      </w:r>
    </w:p>
    <w:p w14:paraId="1D58A23E" w14:textId="4EEF5B24" w:rsidR="00842E5A" w:rsidRDefault="00842E5A">
      <w:pPr>
        <w:rPr>
          <w:rFonts w:ascii="Garamond" w:hAnsi="Garamond"/>
        </w:rPr>
      </w:pPr>
    </w:p>
    <w:p w14:paraId="4C1D885B" w14:textId="7F5E0881" w:rsidR="0085335E" w:rsidRDefault="00842E5A">
      <w:pPr>
        <w:rPr>
          <w:rFonts w:ascii="Garamond" w:hAnsi="Garamond"/>
        </w:rPr>
      </w:pPr>
      <w:r>
        <w:rPr>
          <w:rFonts w:ascii="Garamond" w:hAnsi="Garamond"/>
        </w:rPr>
        <w:t xml:space="preserve">When you’re next handling a taxable case, please let me know. A well-established trust company </w:t>
      </w:r>
      <w:r w:rsidR="00061874">
        <w:rPr>
          <w:rFonts w:ascii="Garamond" w:hAnsi="Garamond"/>
        </w:rPr>
        <w:t>has a new solution</w:t>
      </w:r>
      <w:r>
        <w:rPr>
          <w:rFonts w:ascii="Garamond" w:hAnsi="Garamond"/>
        </w:rPr>
        <w:t xml:space="preserve">. A major law firm approved </w:t>
      </w:r>
      <w:r w:rsidR="00061874">
        <w:rPr>
          <w:rFonts w:ascii="Garamond" w:hAnsi="Garamond"/>
        </w:rPr>
        <w:t>it</w:t>
      </w:r>
      <w:r>
        <w:rPr>
          <w:rFonts w:ascii="Garamond" w:hAnsi="Garamond"/>
        </w:rPr>
        <w:t xml:space="preserve"> at the </w:t>
      </w:r>
      <w:r w:rsidR="0066701F">
        <w:rPr>
          <w:rFonts w:ascii="Garamond" w:hAnsi="Garamond"/>
        </w:rPr>
        <w:t xml:space="preserve">unusually high </w:t>
      </w:r>
      <w:r>
        <w:rPr>
          <w:rFonts w:ascii="Garamond" w:hAnsi="Garamond"/>
        </w:rPr>
        <w:t xml:space="preserve">“should” </w:t>
      </w:r>
      <w:r w:rsidR="0066701F">
        <w:rPr>
          <w:rFonts w:ascii="Garamond" w:hAnsi="Garamond"/>
        </w:rPr>
        <w:t xml:space="preserve">confidence </w:t>
      </w:r>
      <w:r>
        <w:rPr>
          <w:rFonts w:ascii="Garamond" w:hAnsi="Garamond"/>
        </w:rPr>
        <w:t xml:space="preserve">level. </w:t>
      </w:r>
    </w:p>
    <w:p w14:paraId="5377C848" w14:textId="354B53B7" w:rsidR="00842E5A" w:rsidRDefault="00842E5A">
      <w:pPr>
        <w:rPr>
          <w:rFonts w:ascii="Garamond" w:hAnsi="Garamond"/>
        </w:rPr>
      </w:pPr>
    </w:p>
    <w:p w14:paraId="25D759FD" w14:textId="2AE8F8A1" w:rsidR="00842E5A" w:rsidRDefault="00842E5A">
      <w:pPr>
        <w:rPr>
          <w:rFonts w:ascii="Garamond" w:hAnsi="Garamond"/>
        </w:rPr>
      </w:pPr>
      <w:r>
        <w:rPr>
          <w:rFonts w:ascii="Garamond" w:hAnsi="Garamond"/>
        </w:rPr>
        <w:t>In short,</w:t>
      </w:r>
      <w:r w:rsidR="00061874">
        <w:rPr>
          <w:rFonts w:ascii="Garamond" w:hAnsi="Garamond"/>
        </w:rPr>
        <w:t xml:space="preserve"> the </w:t>
      </w:r>
      <w:r w:rsidR="0066701F">
        <w:rPr>
          <w:rFonts w:ascii="Garamond" w:hAnsi="Garamond"/>
        </w:rPr>
        <w:t xml:space="preserve">plaintiff </w:t>
      </w:r>
      <w:r>
        <w:rPr>
          <w:rFonts w:ascii="Garamond" w:hAnsi="Garamond"/>
        </w:rPr>
        <w:t>transfer</w:t>
      </w:r>
      <w:r w:rsidR="00061874">
        <w:rPr>
          <w:rFonts w:ascii="Garamond" w:hAnsi="Garamond"/>
        </w:rPr>
        <w:t>s</w:t>
      </w:r>
      <w:r>
        <w:rPr>
          <w:rFonts w:ascii="Garamond" w:hAnsi="Garamond"/>
        </w:rPr>
        <w:t xml:space="preserve"> their lawsuit claim into a “Plaintiff Recovery Trust</w:t>
      </w:r>
      <w:r w:rsidR="0066701F">
        <w:rPr>
          <w:rFonts w:ascii="Garamond" w:hAnsi="Garamond"/>
        </w:rPr>
        <w:t>.</w:t>
      </w:r>
      <w:r>
        <w:rPr>
          <w:rFonts w:ascii="Garamond" w:hAnsi="Garamond"/>
        </w:rPr>
        <w:t>”</w:t>
      </w:r>
      <w:r w:rsidR="0066701F">
        <w:rPr>
          <w:rFonts w:ascii="Garamond" w:hAnsi="Garamond"/>
        </w:rPr>
        <w:t xml:space="preserve"> The Trust</w:t>
      </w:r>
      <w:r>
        <w:rPr>
          <w:rFonts w:ascii="Garamond" w:hAnsi="Garamond"/>
        </w:rPr>
        <w:t xml:space="preserve"> receive</w:t>
      </w:r>
      <w:r w:rsidR="0066701F">
        <w:rPr>
          <w:rFonts w:ascii="Garamond" w:hAnsi="Garamond"/>
        </w:rPr>
        <w:t>s</w:t>
      </w:r>
      <w:r>
        <w:rPr>
          <w:rFonts w:ascii="Garamond" w:hAnsi="Garamond"/>
        </w:rPr>
        <w:t xml:space="preserve"> the recovery, pay</w:t>
      </w:r>
      <w:r w:rsidR="0066701F">
        <w:rPr>
          <w:rFonts w:ascii="Garamond" w:hAnsi="Garamond"/>
        </w:rPr>
        <w:t>s</w:t>
      </w:r>
      <w:r>
        <w:rPr>
          <w:rFonts w:ascii="Garamond" w:hAnsi="Garamond"/>
        </w:rPr>
        <w:t xml:space="preserve"> your legal fees/costs, and distribute</w:t>
      </w:r>
      <w:r w:rsidR="0066701F">
        <w:rPr>
          <w:rFonts w:ascii="Garamond" w:hAnsi="Garamond"/>
        </w:rPr>
        <w:t>s</w:t>
      </w:r>
      <w:r>
        <w:rPr>
          <w:rFonts w:ascii="Garamond" w:hAnsi="Garamond"/>
        </w:rPr>
        <w:t xml:space="preserve"> the remainder. </w:t>
      </w:r>
      <w:bookmarkStart w:id="1" w:name="_Hlk119046648"/>
      <w:r w:rsidR="00056B7E">
        <w:rPr>
          <w:rFonts w:ascii="Garamond" w:hAnsi="Garamond"/>
        </w:rPr>
        <w:t xml:space="preserve">You can </w:t>
      </w:r>
      <w:hyperlink r:id="rId5" w:history="1">
        <w:r w:rsidR="00056B7E" w:rsidRPr="00056B7E">
          <w:rPr>
            <w:rStyle w:val="Hyperlink"/>
            <w:rFonts w:ascii="Garamond" w:hAnsi="Garamond"/>
          </w:rPr>
          <w:t>read more about it here</w:t>
        </w:r>
      </w:hyperlink>
      <w:r w:rsidR="00056B7E">
        <w:rPr>
          <w:rFonts w:ascii="Garamond" w:hAnsi="Garamond"/>
        </w:rPr>
        <w:t xml:space="preserve">. </w:t>
      </w:r>
      <w:bookmarkEnd w:id="1"/>
      <w:r w:rsidR="0066701F">
        <w:rPr>
          <w:rFonts w:ascii="Garamond" w:hAnsi="Garamond"/>
        </w:rPr>
        <w:t xml:space="preserve">One very important point – </w:t>
      </w:r>
      <w:r w:rsidR="00061874">
        <w:rPr>
          <w:rFonts w:ascii="Garamond" w:hAnsi="Garamond"/>
        </w:rPr>
        <w:t>this must be done</w:t>
      </w:r>
      <w:r w:rsidR="0066701F">
        <w:rPr>
          <w:rFonts w:ascii="Garamond" w:hAnsi="Garamond"/>
        </w:rPr>
        <w:t xml:space="preserve"> </w:t>
      </w:r>
      <w:r w:rsidR="00056B7E" w:rsidRPr="00056B7E">
        <w:rPr>
          <w:rFonts w:ascii="Garamond" w:hAnsi="Garamond"/>
          <w:b/>
          <w:bCs/>
        </w:rPr>
        <w:t xml:space="preserve">at least 10 days </w:t>
      </w:r>
      <w:r w:rsidR="0066701F">
        <w:rPr>
          <w:rFonts w:ascii="Garamond" w:hAnsi="Garamond"/>
          <w:b/>
          <w:bCs/>
        </w:rPr>
        <w:t>before</w:t>
      </w:r>
      <w:r w:rsidR="0066701F" w:rsidRPr="00056B7E">
        <w:rPr>
          <w:rFonts w:ascii="Garamond" w:hAnsi="Garamond"/>
          <w:b/>
          <w:bCs/>
        </w:rPr>
        <w:t xml:space="preserve"> settlement</w:t>
      </w:r>
      <w:r w:rsidR="0066701F">
        <w:rPr>
          <w:rFonts w:ascii="Garamond" w:hAnsi="Garamond"/>
        </w:rPr>
        <w:t>.</w:t>
      </w:r>
    </w:p>
    <w:p w14:paraId="11C38B8E" w14:textId="15CD76D8" w:rsidR="0066701F" w:rsidRDefault="0066701F">
      <w:pPr>
        <w:rPr>
          <w:rFonts w:ascii="Garamond" w:hAnsi="Garamond"/>
        </w:rPr>
      </w:pPr>
    </w:p>
    <w:p w14:paraId="0654EF0D" w14:textId="114FF005" w:rsidR="0066701F" w:rsidRDefault="0066701F">
      <w:pPr>
        <w:rPr>
          <w:rFonts w:ascii="Garamond" w:hAnsi="Garamond"/>
        </w:rPr>
      </w:pPr>
      <w:r>
        <w:rPr>
          <w:rFonts w:ascii="Garamond" w:hAnsi="Garamond"/>
        </w:rPr>
        <w:t xml:space="preserve">Feel free to reach out. I’d be glad to </w:t>
      </w:r>
      <w:r w:rsidR="00061874">
        <w:rPr>
          <w:rFonts w:ascii="Garamond" w:hAnsi="Garamond"/>
        </w:rPr>
        <w:t>discuss</w:t>
      </w:r>
      <w:r>
        <w:rPr>
          <w:rFonts w:ascii="Garamond" w:hAnsi="Garamond"/>
        </w:rPr>
        <w:t xml:space="preserve"> </w:t>
      </w:r>
      <w:r w:rsidR="00DC1D23">
        <w:rPr>
          <w:rFonts w:ascii="Garamond" w:hAnsi="Garamond"/>
        </w:rPr>
        <w:t>whether any</w:t>
      </w:r>
      <w:r>
        <w:rPr>
          <w:rFonts w:ascii="Garamond" w:hAnsi="Garamond"/>
        </w:rPr>
        <w:t xml:space="preserve"> of your current cases are a good fit.</w:t>
      </w:r>
    </w:p>
    <w:p w14:paraId="572FE1D4" w14:textId="62F7576F" w:rsidR="00DC1D23" w:rsidRDefault="00DC1D23">
      <w:pPr>
        <w:rPr>
          <w:rFonts w:ascii="Garamond" w:hAnsi="Garamond"/>
        </w:rPr>
      </w:pPr>
    </w:p>
    <w:p w14:paraId="45E219DC" w14:textId="1EABE8EE" w:rsidR="00DC1D23" w:rsidRDefault="00DC1D23">
      <w:pPr>
        <w:rPr>
          <w:rFonts w:ascii="Garamond" w:hAnsi="Garamond"/>
        </w:rPr>
      </w:pPr>
      <w:r>
        <w:rPr>
          <w:rFonts w:ascii="Garamond" w:hAnsi="Garamond"/>
        </w:rPr>
        <w:t>Sincerely,</w:t>
      </w:r>
    </w:p>
    <w:p w14:paraId="4413B1ED" w14:textId="429DA52B" w:rsidR="00DC1D23" w:rsidRDefault="00DC1D23">
      <w:pPr>
        <w:rPr>
          <w:rFonts w:ascii="Garamond" w:hAnsi="Garamond"/>
        </w:rPr>
      </w:pPr>
    </w:p>
    <w:p w14:paraId="34D634D2" w14:textId="7B0022EA" w:rsidR="00DC1D23" w:rsidRDefault="00061874">
      <w:pPr>
        <w:rPr>
          <w:rFonts w:ascii="Garamond" w:hAnsi="Garamond"/>
        </w:rPr>
      </w:pPr>
      <w:r>
        <w:rPr>
          <w:rFonts w:ascii="Garamond" w:hAnsi="Garamond"/>
        </w:rPr>
        <w:t>[Settlement Consultant]</w:t>
      </w:r>
    </w:p>
    <w:p w14:paraId="17C3FB55" w14:textId="548DB59B" w:rsidR="00C87FAB" w:rsidRDefault="00C87FAB">
      <w:pPr>
        <w:rPr>
          <w:rFonts w:ascii="Garamond" w:hAnsi="Garamond"/>
        </w:rPr>
      </w:pPr>
    </w:p>
    <w:p w14:paraId="5B7CF152" w14:textId="2ECF9848" w:rsidR="00C87FAB" w:rsidRDefault="00C87FAB">
      <w:pPr>
        <w:rPr>
          <w:rFonts w:ascii="Garamond" w:hAnsi="Garamond"/>
        </w:rPr>
      </w:pPr>
      <w:r>
        <w:rPr>
          <w:rFonts w:ascii="Garamond" w:hAnsi="Garamond"/>
        </w:rPr>
        <w:t>P.S. I was particularly taken with some of the testimonials by lawyers</w:t>
      </w:r>
      <w:r w:rsidR="00061874">
        <w:rPr>
          <w:rFonts w:ascii="Garamond" w:hAnsi="Garamond"/>
        </w:rPr>
        <w:t xml:space="preserve"> and guardian ad litems</w:t>
      </w:r>
      <w:r>
        <w:rPr>
          <w:rFonts w:ascii="Garamond" w:hAnsi="Garamond"/>
        </w:rPr>
        <w:t xml:space="preserve"> who used the arrangement. Here are a </w:t>
      </w:r>
      <w:r w:rsidR="00061874">
        <w:rPr>
          <w:rFonts w:ascii="Garamond" w:hAnsi="Garamond"/>
        </w:rPr>
        <w:t>couple</w:t>
      </w:r>
      <w:r>
        <w:rPr>
          <w:rFonts w:ascii="Garamond" w:hAnsi="Garamond"/>
        </w:rPr>
        <w:t>:</w:t>
      </w:r>
    </w:p>
    <w:p w14:paraId="69027E7F" w14:textId="67BC97B0" w:rsidR="00C87FAB" w:rsidRDefault="00C87FAB" w:rsidP="00C87FAB">
      <w:pPr>
        <w:pStyle w:val="ListParagraph"/>
        <w:numPr>
          <w:ilvl w:val="0"/>
          <w:numId w:val="1"/>
        </w:numPr>
        <w:rPr>
          <w:rFonts w:ascii="Garamond" w:hAnsi="Garamond"/>
        </w:rPr>
      </w:pPr>
      <w:r>
        <w:rPr>
          <w:rFonts w:ascii="Garamond" w:hAnsi="Garamond"/>
        </w:rPr>
        <w:t>“</w:t>
      </w:r>
      <w:r w:rsidRPr="00C87FAB">
        <w:rPr>
          <w:rFonts w:ascii="Garamond" w:hAnsi="Garamond"/>
        </w:rPr>
        <w:t xml:space="preserve">Every trial lawyer should know about this. It dramatically reduces client taxes.” Paula Elliot, </w:t>
      </w:r>
      <w:r>
        <w:rPr>
          <w:rFonts w:ascii="Garamond" w:hAnsi="Garamond"/>
        </w:rPr>
        <w:t xml:space="preserve">Trial Lawyer, </w:t>
      </w:r>
      <w:r w:rsidRPr="00C87FAB">
        <w:rPr>
          <w:rFonts w:ascii="Garamond" w:hAnsi="Garamond"/>
        </w:rPr>
        <w:t>Multi-Million Dollar Advocates Forum</w:t>
      </w:r>
      <w:r>
        <w:rPr>
          <w:rFonts w:ascii="Garamond" w:hAnsi="Garamond"/>
        </w:rPr>
        <w:t>.</w:t>
      </w:r>
    </w:p>
    <w:p w14:paraId="5E6C9CCC" w14:textId="2F8A4D19" w:rsidR="00C87FAB" w:rsidRDefault="00C87FAB" w:rsidP="00C87FAB">
      <w:pPr>
        <w:pStyle w:val="ListParagraph"/>
        <w:numPr>
          <w:ilvl w:val="0"/>
          <w:numId w:val="1"/>
        </w:numPr>
        <w:rPr>
          <w:rFonts w:ascii="Garamond" w:hAnsi="Garamond"/>
        </w:rPr>
      </w:pPr>
      <w:r>
        <w:rPr>
          <w:rFonts w:ascii="Garamond" w:hAnsi="Garamond"/>
        </w:rPr>
        <w:t>“</w:t>
      </w:r>
      <w:r w:rsidRPr="00C87FAB">
        <w:rPr>
          <w:rFonts w:ascii="Garamond" w:hAnsi="Garamond"/>
        </w:rPr>
        <w:t>Using the Recovery Trust was a no-brainer. It doubled my ward’s recovery!” Jeff Kemp,</w:t>
      </w:r>
      <w:r>
        <w:rPr>
          <w:rFonts w:ascii="Garamond" w:hAnsi="Garamond"/>
        </w:rPr>
        <w:t xml:space="preserve"> P</w:t>
      </w:r>
      <w:r w:rsidRPr="00C87FAB">
        <w:rPr>
          <w:rFonts w:ascii="Garamond" w:hAnsi="Garamond"/>
        </w:rPr>
        <w:t>laintiff Guardian Ad Litem</w:t>
      </w:r>
      <w:r>
        <w:rPr>
          <w:rFonts w:ascii="Garamond" w:hAnsi="Garamond"/>
        </w:rPr>
        <w:t>.</w:t>
      </w:r>
    </w:p>
    <w:bookmarkEnd w:id="0"/>
    <w:p w14:paraId="4E8D31AD" w14:textId="79DEE297" w:rsidR="00CE6D7D" w:rsidRDefault="00CE6D7D" w:rsidP="00CE6D7D">
      <w:pPr>
        <w:rPr>
          <w:rFonts w:ascii="Garamond" w:hAnsi="Garamond"/>
        </w:rPr>
      </w:pPr>
    </w:p>
    <w:p w14:paraId="748C5CC6" w14:textId="6A891092" w:rsidR="00FA0826" w:rsidRDefault="00FA0826" w:rsidP="00CE6D7D">
      <w:pPr>
        <w:rPr>
          <w:rFonts w:ascii="Garamond" w:hAnsi="Garamond"/>
        </w:rPr>
      </w:pPr>
    </w:p>
    <w:p w14:paraId="274DA5C7" w14:textId="77777777" w:rsidR="00AF5126" w:rsidRDefault="00AF5126" w:rsidP="00CE6D7D">
      <w:pPr>
        <w:rPr>
          <w:rFonts w:ascii="Garamond" w:hAnsi="Garamond"/>
        </w:rPr>
      </w:pPr>
    </w:p>
    <w:p w14:paraId="4168B7B7" w14:textId="1A8E8968" w:rsidR="00FA0826" w:rsidRPr="00FA0826" w:rsidRDefault="00FA0826" w:rsidP="00FA0826">
      <w:pPr>
        <w:tabs>
          <w:tab w:val="left" w:pos="9180"/>
        </w:tabs>
        <w:rPr>
          <w:rFonts w:ascii="Garamond" w:hAnsi="Garamond"/>
          <w:u w:val="single"/>
        </w:rPr>
      </w:pPr>
      <w:r>
        <w:rPr>
          <w:rFonts w:ascii="Garamond" w:hAnsi="Garamond"/>
          <w:u w:val="single"/>
        </w:rPr>
        <w:tab/>
      </w:r>
    </w:p>
    <w:p w14:paraId="26713876" w14:textId="77777777" w:rsidR="00FA0826" w:rsidRDefault="00FA0826" w:rsidP="00CE6D7D">
      <w:pPr>
        <w:rPr>
          <w:rFonts w:ascii="Garamond" w:hAnsi="Garamond"/>
        </w:rPr>
      </w:pPr>
    </w:p>
    <w:p w14:paraId="722AA40A" w14:textId="0760D2A3" w:rsidR="00FA0826" w:rsidRPr="00E92EB6" w:rsidRDefault="00FA0826" w:rsidP="00FA0826">
      <w:pPr>
        <w:rPr>
          <w:rFonts w:ascii="Garamond" w:hAnsi="Garamond"/>
          <w:sz w:val="14"/>
          <w:szCs w:val="14"/>
        </w:rPr>
      </w:pPr>
      <w:bookmarkStart w:id="2" w:name="_Hlk119480977"/>
      <w:r w:rsidRPr="00E92EB6">
        <w:rPr>
          <w:rFonts w:ascii="Garamond" w:hAnsi="Garamond"/>
          <w:sz w:val="14"/>
          <w:szCs w:val="14"/>
        </w:rPr>
        <w:t>The content herein is provided and limited to (i) information and descriptions of the features and benefits of our services, (ii) trust products, and (i</w:t>
      </w:r>
      <w:r>
        <w:rPr>
          <w:rFonts w:ascii="Garamond" w:hAnsi="Garamond"/>
          <w:sz w:val="14"/>
          <w:szCs w:val="14"/>
        </w:rPr>
        <w:t>i</w:t>
      </w:r>
      <w:r w:rsidRPr="00E92EB6">
        <w:rPr>
          <w:rFonts w:ascii="Garamond" w:hAnsi="Garamond"/>
          <w:sz w:val="14"/>
          <w:szCs w:val="14"/>
        </w:rPr>
        <w:t xml:space="preserve">i) the trustee’s </w:t>
      </w:r>
      <w:r w:rsidR="009238EB">
        <w:rPr>
          <w:rFonts w:ascii="Garamond" w:hAnsi="Garamond"/>
          <w:sz w:val="14"/>
          <w:szCs w:val="14"/>
        </w:rPr>
        <w:t>req-</w:t>
      </w:r>
      <w:r w:rsidRPr="00E92EB6">
        <w:rPr>
          <w:rFonts w:ascii="Garamond" w:hAnsi="Garamond"/>
          <w:sz w:val="14"/>
          <w:szCs w:val="14"/>
        </w:rPr>
        <w:t xml:space="preserve">uirements when applicable, and is not intended as, or to be construed as, investment, tax, or legal </w:t>
      </w:r>
      <w:r w:rsidR="002F4239">
        <w:rPr>
          <w:rFonts w:ascii="Garamond" w:hAnsi="Garamond"/>
          <w:sz w:val="14"/>
          <w:szCs w:val="14"/>
        </w:rPr>
        <w:t xml:space="preserve">or accounting </w:t>
      </w:r>
      <w:r w:rsidRPr="00E92EB6">
        <w:rPr>
          <w:rFonts w:ascii="Garamond" w:hAnsi="Garamond"/>
          <w:sz w:val="14"/>
          <w:szCs w:val="14"/>
        </w:rPr>
        <w:t>advice. We are not a law firm or investment advisor and do not act as your lawyer</w:t>
      </w:r>
      <w:r w:rsidR="002F4239">
        <w:rPr>
          <w:rFonts w:ascii="Garamond" w:hAnsi="Garamond"/>
          <w:sz w:val="14"/>
          <w:szCs w:val="14"/>
        </w:rPr>
        <w:t>, accountant,</w:t>
      </w:r>
      <w:r w:rsidRPr="00E92EB6">
        <w:rPr>
          <w:rFonts w:ascii="Garamond" w:hAnsi="Garamond"/>
          <w:sz w:val="14"/>
          <w:szCs w:val="14"/>
        </w:rPr>
        <w:t xml:space="preserve"> or investment advisor. Always seek the advice of an attorney, C.P.A., or registered investment advisor as applicable if you have questions. </w:t>
      </w:r>
    </w:p>
    <w:p w14:paraId="68E3F556" w14:textId="77777777" w:rsidR="00FA0826" w:rsidRPr="00E92EB6" w:rsidRDefault="00FA0826" w:rsidP="00FA0826">
      <w:pPr>
        <w:rPr>
          <w:rFonts w:ascii="Garamond" w:hAnsi="Garamond"/>
          <w:sz w:val="14"/>
          <w:szCs w:val="14"/>
        </w:rPr>
      </w:pPr>
    </w:p>
    <w:p w14:paraId="0C47DF0E" w14:textId="7FE5A9A5" w:rsidR="00FA0826" w:rsidRPr="00087BE4" w:rsidRDefault="00FA0826" w:rsidP="00FA0826">
      <w:pPr>
        <w:rPr>
          <w:rFonts w:ascii="Garamond" w:hAnsi="Garamond"/>
          <w:sz w:val="14"/>
          <w:szCs w:val="14"/>
        </w:rPr>
      </w:pPr>
      <w:bookmarkStart w:id="3" w:name="OLE_LINK1"/>
      <w:r w:rsidRPr="00E92EB6">
        <w:rPr>
          <w:rFonts w:ascii="Garamond" w:hAnsi="Garamond"/>
          <w:sz w:val="14"/>
          <w:szCs w:val="14"/>
        </w:rPr>
        <w:t xml:space="preserve">Fiduciary services are only offered in the jurisdictions where valid to offer such services. Nothing herein, nor via the Trust’s operation, shall be regarded as an offer to sell or as a solicitation of an offer to buy any </w:t>
      </w:r>
      <w:r w:rsidR="002F4239">
        <w:rPr>
          <w:rFonts w:ascii="Garamond" w:hAnsi="Garamond"/>
          <w:sz w:val="14"/>
          <w:szCs w:val="14"/>
        </w:rPr>
        <w:t xml:space="preserve">financial product or </w:t>
      </w:r>
      <w:r w:rsidRPr="00E92EB6">
        <w:rPr>
          <w:rFonts w:ascii="Garamond" w:hAnsi="Garamond"/>
          <w:sz w:val="14"/>
          <w:szCs w:val="14"/>
        </w:rPr>
        <w:t xml:space="preserve">legal service or </w:t>
      </w:r>
      <w:r w:rsidR="002F4239">
        <w:rPr>
          <w:rFonts w:ascii="Garamond" w:hAnsi="Garamond"/>
          <w:sz w:val="14"/>
          <w:szCs w:val="14"/>
        </w:rPr>
        <w:t xml:space="preserve">other professional </w:t>
      </w:r>
      <w:r w:rsidRPr="00E92EB6">
        <w:rPr>
          <w:rFonts w:ascii="Garamond" w:hAnsi="Garamond"/>
          <w:sz w:val="14"/>
          <w:szCs w:val="14"/>
        </w:rPr>
        <w:t>product; and shall not be considered a solicitation or offer to buy or sell any security, future, option or other financial instrument or an offer to provide any legal</w:t>
      </w:r>
      <w:r>
        <w:rPr>
          <w:rFonts w:ascii="Garamond" w:hAnsi="Garamond"/>
          <w:sz w:val="14"/>
          <w:szCs w:val="14"/>
        </w:rPr>
        <w:t xml:space="preserve"> or</w:t>
      </w:r>
      <w:r w:rsidRPr="00E92EB6">
        <w:rPr>
          <w:rFonts w:ascii="Garamond" w:hAnsi="Garamond"/>
          <w:sz w:val="14"/>
          <w:szCs w:val="14"/>
        </w:rPr>
        <w:t xml:space="preserve"> investment advice or </w:t>
      </w:r>
      <w:r w:rsidR="002F4239">
        <w:rPr>
          <w:rFonts w:ascii="Garamond" w:hAnsi="Garamond"/>
          <w:sz w:val="14"/>
          <w:szCs w:val="14"/>
        </w:rPr>
        <w:t xml:space="preserve">legal or other professional </w:t>
      </w:r>
      <w:r w:rsidRPr="00E92EB6">
        <w:rPr>
          <w:rFonts w:ascii="Garamond" w:hAnsi="Garamond"/>
          <w:sz w:val="14"/>
          <w:szCs w:val="14"/>
        </w:rPr>
        <w:t>service to any person in any jurisdiction.</w:t>
      </w:r>
      <w:r>
        <w:rPr>
          <w:rFonts w:ascii="Garamond" w:hAnsi="Garamond"/>
          <w:sz w:val="14"/>
          <w:szCs w:val="14"/>
        </w:rPr>
        <w:t xml:space="preserve"> See </w:t>
      </w:r>
      <w:hyperlink r:id="rId6" w:history="1">
        <w:r w:rsidRPr="00B96F65">
          <w:rPr>
            <w:rStyle w:val="Hyperlink"/>
            <w:rFonts w:ascii="Garamond" w:hAnsi="Garamond"/>
            <w:sz w:val="14"/>
            <w:szCs w:val="14"/>
          </w:rPr>
          <w:t>www.easternpointtrust.com</w:t>
        </w:r>
      </w:hyperlink>
      <w:r>
        <w:rPr>
          <w:rFonts w:ascii="Garamond" w:hAnsi="Garamond"/>
          <w:sz w:val="14"/>
          <w:szCs w:val="14"/>
        </w:rPr>
        <w:t xml:space="preserve"> and its terms and conditions for additional information.</w:t>
      </w:r>
      <w:bookmarkEnd w:id="2"/>
      <w:bookmarkEnd w:id="3"/>
    </w:p>
    <w:p w14:paraId="6393D16A" w14:textId="38D5CE23" w:rsidR="00CE6D7D" w:rsidRDefault="00CE6D7D" w:rsidP="00CE6D7D">
      <w:pPr>
        <w:rPr>
          <w:rFonts w:ascii="Garamond" w:hAnsi="Garamond"/>
        </w:rPr>
      </w:pPr>
    </w:p>
    <w:p w14:paraId="7D51ED80" w14:textId="4781629C" w:rsidR="00CE6D7D" w:rsidRDefault="00CE6D7D" w:rsidP="00CE6D7D">
      <w:pPr>
        <w:rPr>
          <w:rFonts w:ascii="Garamond" w:hAnsi="Garamond"/>
        </w:rPr>
      </w:pPr>
    </w:p>
    <w:p w14:paraId="49B0D8C8" w14:textId="20794FE4" w:rsidR="002252A7" w:rsidRDefault="002252A7" w:rsidP="00CE6D7D">
      <w:pPr>
        <w:rPr>
          <w:rFonts w:ascii="Garamond" w:hAnsi="Garamond"/>
        </w:rPr>
      </w:pPr>
    </w:p>
    <w:p w14:paraId="68FAB27F" w14:textId="749E95B7" w:rsidR="002252A7" w:rsidRDefault="002252A7" w:rsidP="00CE6D7D">
      <w:pPr>
        <w:rPr>
          <w:rFonts w:ascii="Garamond" w:hAnsi="Garamond"/>
        </w:rPr>
      </w:pPr>
    </w:p>
    <w:p w14:paraId="522D2745" w14:textId="77777777" w:rsidR="002252A7" w:rsidRPr="00CE6D7D" w:rsidRDefault="002252A7" w:rsidP="00CE6D7D">
      <w:pPr>
        <w:rPr>
          <w:rFonts w:ascii="Garamond" w:hAnsi="Garamond"/>
        </w:rPr>
      </w:pPr>
    </w:p>
    <w:sectPr w:rsidR="002252A7" w:rsidRPr="00CE6D7D" w:rsidSect="00AB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7FDE"/>
    <w:multiLevelType w:val="hybridMultilevel"/>
    <w:tmpl w:val="7E88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42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5E"/>
    <w:rsid w:val="00056B7E"/>
    <w:rsid w:val="00061874"/>
    <w:rsid w:val="000A65EB"/>
    <w:rsid w:val="002252A7"/>
    <w:rsid w:val="00282481"/>
    <w:rsid w:val="002F4239"/>
    <w:rsid w:val="00421ED2"/>
    <w:rsid w:val="0066701F"/>
    <w:rsid w:val="006C341D"/>
    <w:rsid w:val="00722223"/>
    <w:rsid w:val="007E17CE"/>
    <w:rsid w:val="00842E5A"/>
    <w:rsid w:val="0085335E"/>
    <w:rsid w:val="00884128"/>
    <w:rsid w:val="009238EB"/>
    <w:rsid w:val="00AB4479"/>
    <w:rsid w:val="00AF5126"/>
    <w:rsid w:val="00C87FAB"/>
    <w:rsid w:val="00CE6D7D"/>
    <w:rsid w:val="00DC1D23"/>
    <w:rsid w:val="00DE7B39"/>
    <w:rsid w:val="00E84753"/>
    <w:rsid w:val="00FA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C2A32"/>
  <w15:chartTrackingRefBased/>
  <w15:docId w15:val="{0D3D3706-DD85-3B46-8BD2-C2721F4B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FAB"/>
    <w:pPr>
      <w:ind w:left="720"/>
      <w:contextualSpacing/>
    </w:pPr>
  </w:style>
  <w:style w:type="character" w:styleId="Hyperlink">
    <w:name w:val="Hyperlink"/>
    <w:basedOn w:val="DefaultParagraphFont"/>
    <w:uiPriority w:val="99"/>
    <w:unhideWhenUsed/>
    <w:rsid w:val="00056B7E"/>
    <w:rPr>
      <w:color w:val="0563C1" w:themeColor="hyperlink"/>
      <w:u w:val="single"/>
    </w:rPr>
  </w:style>
  <w:style w:type="character" w:styleId="UnresolvedMention">
    <w:name w:val="Unresolved Mention"/>
    <w:basedOn w:val="DefaultParagraphFont"/>
    <w:uiPriority w:val="99"/>
    <w:semiHidden/>
    <w:unhideWhenUsed/>
    <w:rsid w:val="00056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711">
      <w:bodyDiv w:val="1"/>
      <w:marLeft w:val="0"/>
      <w:marRight w:val="0"/>
      <w:marTop w:val="0"/>
      <w:marBottom w:val="0"/>
      <w:divBdr>
        <w:top w:val="none" w:sz="0" w:space="0" w:color="auto"/>
        <w:left w:val="none" w:sz="0" w:space="0" w:color="auto"/>
        <w:bottom w:val="none" w:sz="0" w:space="0" w:color="auto"/>
        <w:right w:val="none" w:sz="0" w:space="0" w:color="auto"/>
      </w:divBdr>
      <w:divsChild>
        <w:div w:id="1225095957">
          <w:marLeft w:val="0"/>
          <w:marRight w:val="0"/>
          <w:marTop w:val="0"/>
          <w:marBottom w:val="0"/>
          <w:divBdr>
            <w:top w:val="none" w:sz="0" w:space="0" w:color="auto"/>
            <w:left w:val="none" w:sz="0" w:space="0" w:color="auto"/>
            <w:bottom w:val="none" w:sz="0" w:space="0" w:color="auto"/>
            <w:right w:val="none" w:sz="0" w:space="0" w:color="auto"/>
          </w:divBdr>
        </w:div>
      </w:divsChild>
    </w:div>
    <w:div w:id="240723120">
      <w:bodyDiv w:val="1"/>
      <w:marLeft w:val="0"/>
      <w:marRight w:val="0"/>
      <w:marTop w:val="0"/>
      <w:marBottom w:val="0"/>
      <w:divBdr>
        <w:top w:val="none" w:sz="0" w:space="0" w:color="auto"/>
        <w:left w:val="none" w:sz="0" w:space="0" w:color="auto"/>
        <w:bottom w:val="none" w:sz="0" w:space="0" w:color="auto"/>
        <w:right w:val="none" w:sz="0" w:space="0" w:color="auto"/>
      </w:divBdr>
      <w:divsChild>
        <w:div w:id="971208536">
          <w:marLeft w:val="0"/>
          <w:marRight w:val="0"/>
          <w:marTop w:val="0"/>
          <w:marBottom w:val="0"/>
          <w:divBdr>
            <w:top w:val="none" w:sz="0" w:space="0" w:color="auto"/>
            <w:left w:val="none" w:sz="0" w:space="0" w:color="auto"/>
            <w:bottom w:val="none" w:sz="0" w:space="0" w:color="auto"/>
            <w:right w:val="none" w:sz="0" w:space="0" w:color="auto"/>
          </w:divBdr>
        </w:div>
      </w:divsChild>
    </w:div>
    <w:div w:id="1925413062">
      <w:bodyDiv w:val="1"/>
      <w:marLeft w:val="0"/>
      <w:marRight w:val="0"/>
      <w:marTop w:val="0"/>
      <w:marBottom w:val="0"/>
      <w:divBdr>
        <w:top w:val="none" w:sz="0" w:space="0" w:color="auto"/>
        <w:left w:val="none" w:sz="0" w:space="0" w:color="auto"/>
        <w:bottom w:val="none" w:sz="0" w:space="0" w:color="auto"/>
        <w:right w:val="none" w:sz="0" w:space="0" w:color="auto"/>
      </w:divBdr>
      <w:divsChild>
        <w:div w:id="78790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ternpointtrust.com" TargetMode="External"/><Relationship Id="rId5" Type="http://schemas.openxmlformats.org/officeDocument/2006/relationships/hyperlink" Target="https://www.easternpointtrust.com/plaintiff-recovery-tru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Babener</dc:creator>
  <cp:keywords/>
  <dc:description/>
  <cp:lastModifiedBy>Jason Moungey</cp:lastModifiedBy>
  <cp:revision>15</cp:revision>
  <dcterms:created xsi:type="dcterms:W3CDTF">2021-05-17T01:21:00Z</dcterms:created>
  <dcterms:modified xsi:type="dcterms:W3CDTF">2022-11-16T18:06:00Z</dcterms:modified>
</cp:coreProperties>
</file>