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A3B6A" w14:paraId="1046EF18" w14:textId="77777777">
        <w:tc>
          <w:tcPr>
            <w:tcW w:w="10080" w:type="dxa"/>
            <w:tcBorders>
              <w:top w:val="single" w:sz="22" w:space="0" w:color="A9854F"/>
              <w:left w:val="none" w:sz="0" w:space="0" w:color="FFFFFF"/>
              <w:bottom w:val="none" w:sz="0" w:space="0" w:color="FFFFFF"/>
              <w:right w:val="none" w:sz="0" w:space="0" w:color="FFFFFF"/>
            </w:tcBorders>
            <w:shd w:val="clear" w:color="auto" w:fill="16263D"/>
            <w:tcMar>
              <w:top w:w="300" w:type="dxa"/>
              <w:left w:w="420" w:type="dxa"/>
              <w:bottom w:w="300" w:type="dxa"/>
              <w:right w:w="420" w:type="dxa"/>
            </w:tcMar>
          </w:tcPr>
          <w:p w14:paraId="7A981AD9" w14:textId="77777777" w:rsidR="007A3B6A" w:rsidRDefault="00E8649B">
            <w:pPr>
              <w:spacing w:after="110"/>
            </w:pPr>
            <w:r>
              <w:rPr>
                <w:rFonts w:ascii="IBM Plex Mono" w:eastAsia="IBM Plex Mono" w:hAnsi="IBM Plex Mono" w:cs="IBM Plex Mono"/>
                <w:caps/>
                <w:color w:val="9FB6C9"/>
                <w:spacing w:val="30"/>
                <w:sz w:val="20"/>
                <w:szCs w:val="20"/>
              </w:rPr>
              <w:t>Plaintiff Recovery Trust™</w:t>
            </w:r>
          </w:p>
          <w:p w14:paraId="384AFA1B" w14:textId="77777777" w:rsidR="007A3B6A" w:rsidRDefault="00E8649B">
            <w:r>
              <w:rPr>
                <w:rFonts w:ascii="Spectral" w:eastAsia="Spectral" w:hAnsi="Spectral" w:cs="Spectral"/>
                <w:color w:val="FFFFFF"/>
                <w:sz w:val="38"/>
                <w:szCs w:val="38"/>
              </w:rPr>
              <w:t>Sample Emails for Settlement Planners</w:t>
            </w:r>
          </w:p>
          <w:p w14:paraId="2F69C0A4" w14:textId="77777777" w:rsidR="007A3B6A" w:rsidRDefault="00E8649B">
            <w:pPr>
              <w:spacing w:before="25"/>
            </w:pPr>
            <w:r>
              <w:rPr>
                <w:rFonts w:ascii="Spectral" w:eastAsia="Spectral" w:hAnsi="Spectral" w:cs="Spectral"/>
                <w:color w:val="FFFFFF"/>
                <w:sz w:val="38"/>
                <w:szCs w:val="38"/>
              </w:rPr>
              <w:t>To Attorneys and Plaintiffs</w:t>
            </w:r>
          </w:p>
          <w:p w14:paraId="07101D76" w14:textId="77777777" w:rsidR="007A3B6A" w:rsidRDefault="00E8649B">
            <w:pPr>
              <w:spacing w:before="100" w:line="260" w:lineRule="auto"/>
            </w:pPr>
            <w:r>
              <w:rPr>
                <w:rFonts w:ascii="Spectral" w:eastAsia="Spectral" w:hAnsi="Spectral" w:cs="Spectral"/>
                <w:i/>
                <w:iCs/>
                <w:color w:val="C7D3DD"/>
                <w:sz w:val="23"/>
                <w:szCs w:val="23"/>
              </w:rPr>
              <w:t>Help clients address the attorney fee double tax before the case resolves.</w:t>
            </w:r>
          </w:p>
        </w:tc>
      </w:tr>
    </w:tbl>
    <w:p w14:paraId="0C4F1A2E" w14:textId="77777777" w:rsidR="007A3B6A" w:rsidRDefault="00E8649B">
      <w:pPr>
        <w:spacing w:before="120" w:line="250" w:lineRule="auto"/>
      </w:pPr>
      <w:r>
        <w:t xml:space="preserve">Settlement planners can use or adapt the sample emails below to introduce the Plaintiff Recovery Trust™ (PRT) to attorneys and plaintiffs in taxable cases. Replace the bracketed fields before </w:t>
      </w:r>
      <w:proofErr w:type="gramStart"/>
      <w:r>
        <w:t>sending</w:t>
      </w:r>
      <w:proofErr w:type="gramEnd"/>
      <w:r>
        <w:t>.</w:t>
      </w:r>
    </w:p>
    <w:p w14:paraId="02D097FE" w14:textId="77777777" w:rsidR="00DA13A6" w:rsidRDefault="00DA13A6">
      <w:pPr>
        <w:spacing w:before="105" w:after="40"/>
        <w:rPr>
          <w:rFonts w:ascii="IBM Plex Mono" w:eastAsia="IBM Plex Mono" w:hAnsi="IBM Plex Mono" w:cs="IBM Plex Mono"/>
          <w:color w:val="2F6E62"/>
          <w:sz w:val="24"/>
          <w:szCs w:val="24"/>
        </w:rPr>
      </w:pPr>
    </w:p>
    <w:p w14:paraId="51ABFB80" w14:textId="7B54E48B" w:rsidR="007A3B6A" w:rsidRDefault="00E8649B">
      <w:pPr>
        <w:spacing w:before="105" w:after="40"/>
      </w:pPr>
      <w:r>
        <w:rPr>
          <w:rFonts w:ascii="IBM Plex Mono" w:eastAsia="IBM Plex Mono" w:hAnsi="IBM Plex Mono" w:cs="IBM Plex Mono"/>
          <w:color w:val="2F6E62"/>
          <w:sz w:val="24"/>
          <w:szCs w:val="24"/>
        </w:rPr>
        <w:t>01</w:t>
      </w:r>
      <w:r>
        <w:rPr>
          <w:rFonts w:ascii="IBM Plex Mono" w:eastAsia="IBM Plex Mono" w:hAnsi="IBM Plex Mono" w:cs="IBM Plex Mono"/>
          <w:sz w:val="24"/>
          <w:szCs w:val="24"/>
        </w:rPr>
        <w:t xml:space="preserve">   </w:t>
      </w:r>
      <w:r>
        <w:rPr>
          <w:rFonts w:ascii="Spectral" w:eastAsia="Spectral" w:hAnsi="Spectral" w:cs="Spectral"/>
          <w:b/>
          <w:bCs/>
          <w:sz w:val="23"/>
          <w:szCs w:val="23"/>
        </w:rPr>
        <w:t>Sample Email to an Attorney</w:t>
      </w:r>
    </w:p>
    <w:p w14:paraId="4DDC3E75" w14:textId="77777777" w:rsidR="00223CB3" w:rsidRDefault="001A7A26">
      <w:pPr>
        <w:spacing w:before="120" w:after="20" w:line="248" w:lineRule="auto"/>
      </w:pPr>
      <w:r>
        <w:rPr>
          <w:rFonts w:ascii="IBM Plex Mono" w:eastAsia="IBM Plex Mono" w:hAnsi="IBM Plex Mono" w:cs="IBM Plex Mono"/>
          <w:color w:val="2F6E62"/>
          <w:spacing w:val="20"/>
          <w:sz w:val="17"/>
          <w:szCs w:val="17"/>
        </w:rPr>
        <w:t>SUBJECT LINE</w:t>
      </w:r>
    </w:p>
    <w:p w14:paraId="1554E9FF" w14:textId="77777777" w:rsidR="00223CB3" w:rsidRDefault="001A7A26">
      <w:pPr>
        <w:spacing w:after="100" w:line="248" w:lineRule="auto"/>
      </w:pPr>
      <w:r>
        <w:rPr>
          <w:b/>
          <w:bCs/>
        </w:rPr>
        <w:t>A Solution to the Attorney Fee Double Tax in Taxable Cases</w:t>
      </w:r>
    </w:p>
    <w:p w14:paraId="75A186CB" w14:textId="77777777" w:rsidR="00223CB3" w:rsidRDefault="001A7A26">
      <w:pPr>
        <w:spacing w:after="100" w:line="248" w:lineRule="auto"/>
      </w:pPr>
      <w:r>
        <w:t>[Attorney Name],</w:t>
      </w:r>
    </w:p>
    <w:p w14:paraId="50BD0B90" w14:textId="064AF520" w:rsidR="00223CB3" w:rsidRDefault="001A7A26">
      <w:pPr>
        <w:spacing w:after="100" w:line="248" w:lineRule="auto"/>
      </w:pPr>
      <w:r>
        <w:t>You likely already know, but plaintiffs are often taxed unfairly on their settlement recoveries.</w:t>
      </w:r>
      <w:r w:rsidR="00C34C7B">
        <w:t xml:space="preserve"> Under current federal law, individual plaintiffs with taxable recoveries are taxed on the full amount, including the portion paid to their attorney</w:t>
      </w:r>
      <w:r w:rsidR="00C34C7B" w:rsidRPr="005E5A4D">
        <w:t>, and can’t deduct those fees unless an exception applies.</w:t>
      </w:r>
      <w:r w:rsidR="00C34C7B">
        <w:t xml:space="preserve"> </w:t>
      </w:r>
      <w:r>
        <w:t>Those same dollars are then taxed to the attorney as income. This is called the “attorney fee double tax.”</w:t>
      </w:r>
    </w:p>
    <w:p w14:paraId="7F7169DA" w14:textId="426DE1C3" w:rsidR="00223CB3" w:rsidRDefault="001A7A26">
      <w:pPr>
        <w:spacing w:after="100" w:line="248" w:lineRule="auto"/>
      </w:pPr>
      <w:r>
        <w:t>The good news: there’s a solution, the Plaintiff Recovery Trus</w:t>
      </w:r>
      <w:r w:rsidR="008646EA">
        <w:t>t</w:t>
      </w:r>
      <w:r>
        <w:t xml:space="preserve"> (PRT). It’s a trust-based planning structure designed to remove the attorney fee portion of a taxable recovery from the plaintiff’s taxable income. There’s no cost to set it up, and if there’s no recovery, there’s no cost. Your case strategy, fee, and settlement economics stay the same.</w:t>
      </w:r>
    </w:p>
    <w:p w14:paraId="3CF6C888" w14:textId="77777777" w:rsidR="00223CB3" w:rsidRDefault="001A7A26">
      <w:pPr>
        <w:spacing w:after="100" w:line="248" w:lineRule="auto"/>
      </w:pPr>
      <w:r>
        <w:rPr>
          <w:b/>
          <w:bCs/>
        </w:rPr>
        <w:t xml:space="preserve">Timing is critical. </w:t>
      </w:r>
      <w:r>
        <w:t xml:space="preserve">The PRT must be established before any binding settlement terms are reached (including verbal agreements, emails, or mediation term sheets), and </w:t>
      </w:r>
      <w:r>
        <w:rPr>
          <w:b/>
          <w:bCs/>
        </w:rPr>
        <w:t>at least 10 days before settlement</w:t>
      </w:r>
      <w:r>
        <w:t>.</w:t>
      </w:r>
    </w:p>
    <w:p w14:paraId="6277D874" w14:textId="77777777" w:rsidR="00223CB3" w:rsidRDefault="001A7A26">
      <w:pPr>
        <w:spacing w:after="100" w:line="248" w:lineRule="auto"/>
      </w:pPr>
      <w:r>
        <w:t xml:space="preserve">You can find more information on the </w:t>
      </w:r>
      <w:hyperlink r:id="rId10" w:history="1">
        <w:r>
          <w:rPr>
            <w:rStyle w:val="Hyperlink"/>
          </w:rPr>
          <w:t>PRT website</w:t>
        </w:r>
      </w:hyperlink>
      <w:r>
        <w:t xml:space="preserve">. I’d also be happy to connect you with a member of the PRT </w:t>
      </w:r>
      <w:proofErr w:type="gramStart"/>
      <w:r>
        <w:t>team</w:t>
      </w:r>
      <w:proofErr w:type="gramEnd"/>
      <w:r>
        <w:t xml:space="preserve"> so your client understands their tax planning options.</w:t>
      </w:r>
    </w:p>
    <w:p w14:paraId="2AB7CC2F" w14:textId="77777777" w:rsidR="00223CB3" w:rsidRDefault="001A7A26">
      <w:pPr>
        <w:spacing w:line="248" w:lineRule="auto"/>
      </w:pPr>
      <w:r>
        <w:t>Sincerely,</w:t>
      </w:r>
    </w:p>
    <w:p w14:paraId="6820EC15" w14:textId="77777777" w:rsidR="00223CB3" w:rsidRDefault="001A7A26">
      <w:pPr>
        <w:spacing w:after="100" w:line="248" w:lineRule="auto"/>
      </w:pPr>
      <w:r>
        <w:t>[Settlement Planner Name]</w:t>
      </w:r>
    </w:p>
    <w:p w14:paraId="520DC6A2" w14:textId="77777777" w:rsidR="00223CB3" w:rsidRDefault="001A7A26">
      <w:pPr>
        <w:spacing w:after="40" w:line="248" w:lineRule="auto"/>
      </w:pPr>
      <w:r w:rsidRPr="008646EA">
        <w:t>P.S.</w:t>
      </w:r>
      <w:r>
        <w:rPr>
          <w:b/>
          <w:bCs/>
        </w:rPr>
        <w:t xml:space="preserve"> </w:t>
      </w:r>
      <w:r>
        <w:t xml:space="preserve">A couple of comments from lawyers and </w:t>
      </w:r>
      <w:proofErr w:type="gramStart"/>
      <w:r>
        <w:t>guardians</w:t>
      </w:r>
      <w:proofErr w:type="gramEnd"/>
      <w:r>
        <w:t xml:space="preserve"> ad litem who have used the PRT:</w:t>
      </w:r>
    </w:p>
    <w:p w14:paraId="758A08FE" w14:textId="77777777" w:rsidR="00223CB3" w:rsidRDefault="001A7A26">
      <w:pPr>
        <w:numPr>
          <w:ilvl w:val="0"/>
          <w:numId w:val="2"/>
        </w:numPr>
        <w:spacing w:after="40" w:line="248" w:lineRule="auto"/>
      </w:pPr>
      <w:r>
        <w:rPr>
          <w:i/>
          <w:iCs/>
        </w:rPr>
        <w:t>“Every trial lawyer should know about this. It dramatically reduces client taxes.”</w:t>
      </w:r>
      <w:r>
        <w:t xml:space="preserve"> Paula Elliot, Trial Lawyer</w:t>
      </w:r>
    </w:p>
    <w:p w14:paraId="4B87F7CD" w14:textId="77777777" w:rsidR="00223CB3" w:rsidRDefault="001A7A26">
      <w:pPr>
        <w:numPr>
          <w:ilvl w:val="0"/>
          <w:numId w:val="2"/>
        </w:numPr>
        <w:spacing w:after="40" w:line="248" w:lineRule="auto"/>
      </w:pPr>
      <w:r>
        <w:rPr>
          <w:i/>
          <w:iCs/>
        </w:rPr>
        <w:t>“Using the Recovery Trust was a no-brainer. It doubled my ward’s recovery.”</w:t>
      </w:r>
      <w:r>
        <w:t xml:space="preserve"> Jeff Kemp, Guardian Ad Litem</w:t>
      </w:r>
    </w:p>
    <w:p w14:paraId="645A74B6" w14:textId="77777777" w:rsidR="00DA13A6" w:rsidRDefault="00DA13A6">
      <w:pPr>
        <w:spacing w:before="105" w:after="40"/>
        <w:rPr>
          <w:rFonts w:ascii="IBM Plex Mono" w:eastAsia="IBM Plex Mono" w:hAnsi="IBM Plex Mono" w:cs="IBM Plex Mono"/>
          <w:color w:val="2F6E62"/>
          <w:sz w:val="24"/>
          <w:szCs w:val="24"/>
        </w:rPr>
      </w:pPr>
    </w:p>
    <w:p w14:paraId="113AC3CD" w14:textId="77777777" w:rsidR="00DA13A6" w:rsidRDefault="00DA13A6">
      <w:pPr>
        <w:spacing w:before="105" w:after="40"/>
        <w:rPr>
          <w:rFonts w:ascii="IBM Plex Mono" w:eastAsia="IBM Plex Mono" w:hAnsi="IBM Plex Mono" w:cs="IBM Plex Mono"/>
          <w:color w:val="2F6E62"/>
          <w:sz w:val="24"/>
          <w:szCs w:val="24"/>
        </w:rPr>
      </w:pPr>
    </w:p>
    <w:p w14:paraId="5368E523" w14:textId="77777777" w:rsidR="00DA13A6" w:rsidRDefault="00DA13A6">
      <w:pPr>
        <w:spacing w:before="105" w:after="40"/>
        <w:rPr>
          <w:rFonts w:ascii="IBM Plex Mono" w:eastAsia="IBM Plex Mono" w:hAnsi="IBM Plex Mono" w:cs="IBM Plex Mono"/>
          <w:color w:val="2F6E62"/>
          <w:sz w:val="24"/>
          <w:szCs w:val="24"/>
        </w:rPr>
      </w:pPr>
    </w:p>
    <w:p w14:paraId="69D41CB4" w14:textId="77777777" w:rsidR="00DA13A6" w:rsidRDefault="00DA13A6">
      <w:pPr>
        <w:spacing w:before="105" w:after="40"/>
        <w:rPr>
          <w:rFonts w:ascii="IBM Plex Mono" w:eastAsia="IBM Plex Mono" w:hAnsi="IBM Plex Mono" w:cs="IBM Plex Mono"/>
          <w:color w:val="2F6E62"/>
          <w:sz w:val="24"/>
          <w:szCs w:val="24"/>
        </w:rPr>
      </w:pPr>
    </w:p>
    <w:p w14:paraId="7A201D8B" w14:textId="77777777" w:rsidR="00DA13A6" w:rsidRDefault="00DA13A6">
      <w:pPr>
        <w:spacing w:before="105" w:after="40"/>
        <w:rPr>
          <w:rFonts w:ascii="IBM Plex Mono" w:eastAsia="IBM Plex Mono" w:hAnsi="IBM Plex Mono" w:cs="IBM Plex Mono"/>
          <w:color w:val="2F6E62"/>
          <w:sz w:val="24"/>
          <w:szCs w:val="24"/>
        </w:rPr>
      </w:pPr>
    </w:p>
    <w:p w14:paraId="395B18D3" w14:textId="77777777" w:rsidR="00DA13A6" w:rsidRDefault="00DA13A6">
      <w:pPr>
        <w:spacing w:before="105" w:after="40"/>
        <w:rPr>
          <w:rFonts w:ascii="IBM Plex Mono" w:eastAsia="IBM Plex Mono" w:hAnsi="IBM Plex Mono" w:cs="IBM Plex Mono"/>
          <w:color w:val="2F6E62"/>
          <w:sz w:val="24"/>
          <w:szCs w:val="24"/>
        </w:rPr>
      </w:pPr>
    </w:p>
    <w:p w14:paraId="43FF12D6" w14:textId="77777777" w:rsidR="00DA13A6" w:rsidRDefault="00DA13A6">
      <w:pPr>
        <w:spacing w:before="105" w:after="40"/>
        <w:rPr>
          <w:rFonts w:ascii="IBM Plex Mono" w:eastAsia="IBM Plex Mono" w:hAnsi="IBM Plex Mono" w:cs="IBM Plex Mono"/>
          <w:color w:val="2F6E62"/>
          <w:sz w:val="24"/>
          <w:szCs w:val="24"/>
        </w:rPr>
      </w:pPr>
    </w:p>
    <w:p w14:paraId="459835CD" w14:textId="77777777" w:rsidR="00DA13A6" w:rsidRDefault="00DA13A6">
      <w:pPr>
        <w:spacing w:before="105" w:after="40"/>
        <w:rPr>
          <w:rFonts w:ascii="IBM Plex Mono" w:eastAsia="IBM Plex Mono" w:hAnsi="IBM Plex Mono" w:cs="IBM Plex Mono"/>
          <w:color w:val="2F6E62"/>
          <w:sz w:val="24"/>
          <w:szCs w:val="24"/>
        </w:rPr>
      </w:pPr>
    </w:p>
    <w:p w14:paraId="3A3A534E" w14:textId="2B826CE4" w:rsidR="007A3B6A" w:rsidRDefault="00E8649B">
      <w:pPr>
        <w:spacing w:before="105" w:after="40"/>
      </w:pPr>
      <w:r>
        <w:rPr>
          <w:rFonts w:ascii="IBM Plex Mono" w:eastAsia="IBM Plex Mono" w:hAnsi="IBM Plex Mono" w:cs="IBM Plex Mono"/>
          <w:color w:val="2F6E62"/>
          <w:sz w:val="24"/>
          <w:szCs w:val="24"/>
        </w:rPr>
        <w:t>02</w:t>
      </w:r>
      <w:r>
        <w:rPr>
          <w:rFonts w:ascii="IBM Plex Mono" w:eastAsia="IBM Plex Mono" w:hAnsi="IBM Plex Mono" w:cs="IBM Plex Mono"/>
          <w:sz w:val="24"/>
          <w:szCs w:val="24"/>
        </w:rPr>
        <w:t xml:space="preserve">   </w:t>
      </w:r>
      <w:r>
        <w:rPr>
          <w:rFonts w:ascii="Spectral" w:eastAsia="Spectral" w:hAnsi="Spectral" w:cs="Spectral"/>
          <w:b/>
          <w:bCs/>
          <w:sz w:val="23"/>
          <w:szCs w:val="23"/>
        </w:rPr>
        <w:t>Sample Email to a Plaintiff</w:t>
      </w:r>
    </w:p>
    <w:p w14:paraId="6A9ABD63" w14:textId="77777777" w:rsidR="00223CB3" w:rsidRDefault="001A7A26">
      <w:pPr>
        <w:spacing w:before="120" w:after="20" w:line="248" w:lineRule="auto"/>
      </w:pPr>
      <w:r>
        <w:rPr>
          <w:rFonts w:ascii="IBM Plex Mono" w:eastAsia="IBM Plex Mono" w:hAnsi="IBM Plex Mono" w:cs="IBM Plex Mono"/>
          <w:color w:val="2F6E62"/>
          <w:spacing w:val="20"/>
          <w:sz w:val="17"/>
          <w:szCs w:val="17"/>
        </w:rPr>
        <w:t>SUBJECT LINE</w:t>
      </w:r>
    </w:p>
    <w:p w14:paraId="4D6067F0" w14:textId="77777777" w:rsidR="00223CB3" w:rsidRDefault="001A7A26">
      <w:pPr>
        <w:spacing w:after="100" w:line="248" w:lineRule="auto"/>
      </w:pPr>
      <w:r>
        <w:rPr>
          <w:b/>
          <w:bCs/>
        </w:rPr>
        <w:t>A Tax Planning Option to Consider Before Your Case Settles</w:t>
      </w:r>
    </w:p>
    <w:p w14:paraId="06804E63" w14:textId="77777777" w:rsidR="00223CB3" w:rsidRDefault="001A7A26">
      <w:pPr>
        <w:spacing w:after="100" w:line="248" w:lineRule="auto"/>
      </w:pPr>
      <w:r>
        <w:t>[Client Name],</w:t>
      </w:r>
    </w:p>
    <w:p w14:paraId="034BEA89" w14:textId="2DECC283" w:rsidR="00223CB3" w:rsidRDefault="001A7A26">
      <w:pPr>
        <w:spacing w:after="100" w:line="248" w:lineRule="auto"/>
      </w:pPr>
      <w:r>
        <w:t xml:space="preserve">You may not know this, but plaintiffs are often taxed unfairly on their settlement recoveries. Depending on the </w:t>
      </w:r>
      <w:r w:rsidR="00DA13A6">
        <w:t>claims in your</w:t>
      </w:r>
      <w:r>
        <w:t xml:space="preserve"> case, you may be taxed on your entire recovery, including the amount that goes to your attorney for fees and costs, even though you never receive it. Those same dollars are also taxed to your attorney as income. This is called the “attorney fee double tax.”</w:t>
      </w:r>
    </w:p>
    <w:p w14:paraId="12713096" w14:textId="737E8B8B" w:rsidR="00223CB3" w:rsidRDefault="001A7A26">
      <w:pPr>
        <w:spacing w:after="100" w:line="248" w:lineRule="auto"/>
      </w:pPr>
      <w:r>
        <w:t>The good news: there’s a solution, the Plaintiff Recovery Trust</w:t>
      </w:r>
      <w:r w:rsidR="008646EA">
        <w:t xml:space="preserve"> </w:t>
      </w:r>
      <w:r>
        <w:t>(PRT). It’s a trust-based planning structure designed to remove the attorney fee portion of a taxable recovery from your taxable income. There’s no cost to set it up, and if there’s no recovery, there’s no cost. Your case strategy, attorney’s fee, and settlement economics stay the same.</w:t>
      </w:r>
    </w:p>
    <w:p w14:paraId="1B61A16B" w14:textId="77777777" w:rsidR="00223CB3" w:rsidRDefault="001A7A26">
      <w:pPr>
        <w:spacing w:after="100" w:line="248" w:lineRule="auto"/>
      </w:pPr>
      <w:r>
        <w:rPr>
          <w:b/>
          <w:bCs/>
        </w:rPr>
        <w:t xml:space="preserve">Timing matters. </w:t>
      </w:r>
      <w:r>
        <w:t xml:space="preserve">The PRT must be established before any binding settlement terms are reached (including verbal agreements, emails, or mediation term sheets), and </w:t>
      </w:r>
      <w:r>
        <w:rPr>
          <w:b/>
          <w:bCs/>
        </w:rPr>
        <w:t>at least 10 days before settlement</w:t>
      </w:r>
      <w:r>
        <w:t>.</w:t>
      </w:r>
    </w:p>
    <w:p w14:paraId="2EFF1830" w14:textId="391E880D" w:rsidR="00DA13A6" w:rsidRDefault="00DA13A6" w:rsidP="00DA13A6">
      <w:pPr>
        <w:spacing w:after="100" w:line="248" w:lineRule="auto"/>
      </w:pPr>
      <w:r>
        <w:t xml:space="preserve">You can find more information on the </w:t>
      </w:r>
      <w:hyperlink r:id="rId11" w:history="1">
        <w:r>
          <w:rPr>
            <w:rStyle w:val="Hyperlink"/>
          </w:rPr>
          <w:t>PRT website</w:t>
        </w:r>
      </w:hyperlink>
      <w:r>
        <w:t xml:space="preserve">. I’d also be happy to connect you with a member of the PRT </w:t>
      </w:r>
      <w:proofErr w:type="gramStart"/>
      <w:r>
        <w:t>team</w:t>
      </w:r>
      <w:proofErr w:type="gramEnd"/>
      <w:r>
        <w:t xml:space="preserve"> so you understand your tax planning options.</w:t>
      </w:r>
    </w:p>
    <w:p w14:paraId="5DB80C3F" w14:textId="77777777" w:rsidR="00DA13A6" w:rsidRDefault="00DA13A6">
      <w:pPr>
        <w:spacing w:line="248" w:lineRule="auto"/>
        <w:rPr>
          <w:b/>
          <w:bCs/>
        </w:rPr>
      </w:pPr>
    </w:p>
    <w:p w14:paraId="393022BD" w14:textId="6EEEE445" w:rsidR="00223CB3" w:rsidRDefault="001A7A26">
      <w:pPr>
        <w:spacing w:line="248" w:lineRule="auto"/>
      </w:pPr>
      <w:r>
        <w:t>Sincerely,</w:t>
      </w:r>
    </w:p>
    <w:p w14:paraId="79DE3001" w14:textId="77777777" w:rsidR="00DA13A6" w:rsidRDefault="00DA13A6">
      <w:pPr>
        <w:spacing w:line="248" w:lineRule="auto"/>
      </w:pPr>
    </w:p>
    <w:p w14:paraId="06B17CD6" w14:textId="77777777" w:rsidR="00223CB3" w:rsidRDefault="001A7A26">
      <w:pPr>
        <w:spacing w:after="160" w:line="248" w:lineRule="auto"/>
      </w:pPr>
      <w:r>
        <w:t>[Settlement Planner Name]</w:t>
      </w:r>
    </w:p>
    <w:p w14:paraId="5DF6A271" w14:textId="77777777" w:rsidR="00223CB3" w:rsidRDefault="00223CB3">
      <w:pPr>
        <w:spacing w:line="248" w:lineRule="auto"/>
      </w:pP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5"/>
      </w:tblGrid>
      <w:tr w:rsidR="007A3B6A" w14:paraId="38CD3AC1" w14:textId="77777777" w:rsidTr="00787F21">
        <w:tc>
          <w:tcPr>
            <w:tcW w:w="10055" w:type="dxa"/>
            <w:tcBorders>
              <w:top w:val="single" w:sz="4" w:space="0" w:color="E5EBEE"/>
              <w:left w:val="single" w:sz="20" w:space="0" w:color="2F6E62"/>
              <w:bottom w:val="single" w:sz="4" w:space="0" w:color="E5EBEE"/>
              <w:right w:val="single" w:sz="4" w:space="0" w:color="E5EBEE"/>
            </w:tcBorders>
            <w:shd w:val="clear" w:color="auto" w:fill="F0F3F5"/>
            <w:tcMar>
              <w:top w:w="180" w:type="dxa"/>
              <w:left w:w="200" w:type="dxa"/>
              <w:bottom w:w="180" w:type="dxa"/>
              <w:right w:w="200" w:type="dxa"/>
            </w:tcMar>
          </w:tcPr>
          <w:p w14:paraId="59C2C0B6" w14:textId="77777777" w:rsidR="007A3B6A" w:rsidRDefault="00E8649B">
            <w:pPr>
              <w:spacing w:after="70"/>
            </w:pPr>
            <w:r>
              <w:rPr>
                <w:rFonts w:ascii="Spectral" w:eastAsia="Spectral" w:hAnsi="Spectral" w:cs="Spectral"/>
                <w:b/>
                <w:bCs/>
                <w:sz w:val="25"/>
                <w:szCs w:val="25"/>
              </w:rPr>
              <w:t>Want to Talk to the PRT Team About a Case?</w:t>
            </w:r>
          </w:p>
          <w:p w14:paraId="1F67E308" w14:textId="5BE48614" w:rsidR="007A3B6A" w:rsidRDefault="00E8649B">
            <w:pPr>
              <w:spacing w:after="80" w:line="288" w:lineRule="auto"/>
            </w:pPr>
            <w:r>
              <w:t xml:space="preserve">We’re always happy to </w:t>
            </w:r>
            <w:proofErr w:type="gramStart"/>
            <w:r>
              <w:t>take a look</w:t>
            </w:r>
            <w:proofErr w:type="gramEnd"/>
            <w:r>
              <w:t xml:space="preserve"> at cases you’re considering for the PRT, including before you reach out to the attorney or plaintiff. </w:t>
            </w:r>
          </w:p>
          <w:p w14:paraId="6F7D665F" w14:textId="77777777" w:rsidR="007A3B6A" w:rsidRDefault="00E8649B">
            <w:r>
              <w:t xml:space="preserve">Learn more at </w:t>
            </w:r>
            <w:hyperlink r:id="rId12" w:history="1">
              <w:r>
                <w:rPr>
                  <w:b/>
                  <w:bCs/>
                  <w:color w:val="2F6E62"/>
                  <w:u w:val="single"/>
                </w:rPr>
                <w:t>PRT.tax</w:t>
              </w:r>
            </w:hyperlink>
            <w:r>
              <w:t xml:space="preserve">  or contact us at </w:t>
            </w:r>
            <w:hyperlink r:id="rId13" w:history="1">
              <w:r>
                <w:rPr>
                  <w:rStyle w:val="Hyperlink"/>
                  <w:rFonts w:ascii="IBM Plex Mono" w:eastAsia="IBM Plex Mono" w:hAnsi="IBM Plex Mono" w:cs="IBM Plex Mono"/>
                  <w:color w:val="196B24" w:themeColor="accent3"/>
                </w:rPr>
                <w:t>recoverytrust@easternpointservices.com</w:t>
              </w:r>
            </w:hyperlink>
          </w:p>
        </w:tc>
      </w:tr>
    </w:tbl>
    <w:p w14:paraId="3453DBDA" w14:textId="77777777" w:rsidR="007A3B6A" w:rsidRPr="00336EDB" w:rsidRDefault="00E8649B" w:rsidP="001B2309">
      <w:pPr>
        <w:spacing w:before="160" w:after="40"/>
        <w:jc w:val="center"/>
        <w:rPr>
          <w:color w:val="auto"/>
        </w:rPr>
      </w:pPr>
      <w:r>
        <w:rPr>
          <w:rFonts w:ascii="IBM Plex Mono" w:eastAsia="IBM Plex Mono" w:hAnsi="IBM Plex Mono" w:cs="IBM Plex Mono"/>
          <w:caps/>
          <w:color w:val="auto"/>
          <w:spacing w:val="30"/>
          <w:sz w:val="20"/>
          <w:szCs w:val="20"/>
        </w:rPr>
        <w:t>Disclosures</w:t>
      </w:r>
    </w:p>
    <w:p w14:paraId="1025F697" w14:textId="77777777" w:rsidR="00383D83" w:rsidRDefault="00A80CD7" w:rsidP="00383D83">
      <w:pPr>
        <w:spacing w:after="80"/>
        <w:rPr>
          <w:rFonts w:cs="Arial"/>
          <w:color w:val="auto"/>
          <w:sz w:val="20"/>
          <w:szCs w:val="20"/>
        </w:rPr>
      </w:pPr>
      <w:r>
        <w:rPr>
          <w:rFonts w:cs="Arial"/>
          <w:color w:val="auto"/>
          <w:sz w:val="18"/>
          <w:szCs w:val="18"/>
        </w:rPr>
        <w:t>The content herein is provided and limited to (</w:t>
      </w:r>
      <w:proofErr w:type="spellStart"/>
      <w:r>
        <w:rPr>
          <w:rFonts w:cs="Arial"/>
          <w:color w:val="auto"/>
          <w:sz w:val="18"/>
          <w:szCs w:val="18"/>
        </w:rPr>
        <w:t>i</w:t>
      </w:r>
      <w:proofErr w:type="spellEnd"/>
      <w:r>
        <w:rPr>
          <w:rFonts w:cs="Arial"/>
          <w:color w:val="auto"/>
          <w:sz w:val="18"/>
          <w:szCs w:val="18"/>
        </w:rPr>
        <w:t>) information and descriptions of the features and benefits of our services, (ii) trust products, and (iii) the trustee’s requirements when applicable, and is not intended as, or to be construed as, investment, tax, or legal or accounting advice. We are not a law firm or investment advisor and do not act as your lawyer, accountant, or investment advisor. Always seek the advice of an attorney, C.P.A., or registered investment advisor as applicable if you have questions.</w:t>
      </w:r>
    </w:p>
    <w:p w14:paraId="1B71C1C5" w14:textId="77777777" w:rsidR="00383D83" w:rsidRDefault="00A80CD7" w:rsidP="00383D83">
      <w:pPr>
        <w:spacing w:after="80"/>
        <w:rPr>
          <w:rFonts w:cs="Arial"/>
          <w:color w:val="auto"/>
          <w:sz w:val="20"/>
          <w:szCs w:val="20"/>
        </w:rPr>
      </w:pPr>
      <w:r>
        <w:rPr>
          <w:rFonts w:cs="Arial"/>
          <w:color w:val="auto"/>
          <w:sz w:val="18"/>
          <w:szCs w:val="18"/>
        </w:rPr>
        <w:t xml:space="preserve">Fiduciary services are only offered in the jurisdictions where </w:t>
      </w:r>
      <w:proofErr w:type="gramStart"/>
      <w:r>
        <w:rPr>
          <w:rFonts w:cs="Arial"/>
          <w:color w:val="auto"/>
          <w:sz w:val="18"/>
          <w:szCs w:val="18"/>
        </w:rPr>
        <w:t>valid</w:t>
      </w:r>
      <w:proofErr w:type="gramEnd"/>
      <w:r>
        <w:rPr>
          <w:rFonts w:cs="Arial"/>
          <w:color w:val="auto"/>
          <w:sz w:val="18"/>
          <w:szCs w:val="18"/>
        </w:rPr>
        <w:t xml:space="preserve"> to offer such services. Nothing herein, nor via the Trust’s operation, shall be regarded as an offer to sell or as a solicitation of an offer to buy any financial product or legal service or other professional product; and shall not be considered a solicitation or offer to buy or sell any security, future, option or other financial instrument or an offer to provide any legal or investment advice or legal or other professional service to any person in any jurisdiction. See </w:t>
      </w:r>
      <w:hyperlink r:id="rId14" w:history="1">
        <w:r>
          <w:rPr>
            <w:rStyle w:val="Hyperlink"/>
            <w:sz w:val="18"/>
            <w:szCs w:val="18"/>
          </w:rPr>
          <w:t>www.easternpointtrust.com</w:t>
        </w:r>
      </w:hyperlink>
      <w:r>
        <w:rPr>
          <w:rFonts w:cs="Arial"/>
          <w:color w:val="auto"/>
          <w:sz w:val="18"/>
          <w:szCs w:val="18"/>
        </w:rPr>
        <w:t xml:space="preserve"> and its terms and conditions for additional information.</w:t>
      </w:r>
    </w:p>
    <w:sectPr w:rsidR="00383D83">
      <w:headerReference w:type="default" r:id="rId15"/>
      <w:footerReference w:type="default" r:id="rId16"/>
      <w:headerReference w:type="first" r:id="rId17"/>
      <w:footerReference w:type="first" r:id="rId18"/>
      <w:pgSz w:w="12240" w:h="15840"/>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D693C" w14:textId="77777777" w:rsidR="003A39AA" w:rsidRDefault="003A39AA">
      <w:r>
        <w:separator/>
      </w:r>
    </w:p>
  </w:endnote>
  <w:endnote w:type="continuationSeparator" w:id="0">
    <w:p w14:paraId="449A6F9E" w14:textId="77777777" w:rsidR="003A39AA" w:rsidRDefault="003A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ublic Sans">
    <w:altName w:val="Cambria"/>
    <w:panose1 w:val="00000000000000000000"/>
    <w:charset w:val="00"/>
    <w:family w:val="roman"/>
    <w:notTrueType/>
    <w:pitch w:val="default"/>
  </w:font>
  <w:font w:name="Source Serif 4">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IBM Plex Mono">
    <w:panose1 w:val="020B0509050203000203"/>
    <w:charset w:val="00"/>
    <w:family w:val="modern"/>
    <w:pitch w:val="fixed"/>
    <w:sig w:usb0="A000026F" w:usb1="4000383B" w:usb2="00000000" w:usb3="00000000" w:csb0="00000197" w:csb1="00000000"/>
  </w:font>
  <w:font w:name="Spectral">
    <w:altName w:val="Calibri"/>
    <w:panose1 w:val="00000000000000000000"/>
    <w:charset w:val="00"/>
    <w:family w:val="auto"/>
    <w:pitch w:val="variable"/>
    <w:sig w:usb0="E000027F" w:usb1="4000E43B"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CABA" w14:textId="77777777" w:rsidR="007A3B6A" w:rsidRDefault="00E8649B">
    <w:pPr>
      <w:pBdr>
        <w:top w:val="single" w:sz="4" w:space="6" w:color="E5EBEE"/>
      </w:pBdr>
      <w:tabs>
        <w:tab w:val="right" w:pos="10080"/>
      </w:tabs>
      <w:spacing w:before="90"/>
    </w:pPr>
    <w:r>
      <w:rPr>
        <w:rFonts w:ascii="Spectral" w:eastAsia="Spectral" w:hAnsi="Spectral" w:cs="Spectral"/>
        <w:i/>
        <w:iCs/>
        <w:color w:val="6B7885"/>
        <w:sz w:val="16"/>
        <w:szCs w:val="16"/>
      </w:rPr>
      <w:t>© 2026 Eastern Point Trust Company.</w:t>
    </w:r>
    <w:r>
      <w:rPr>
        <w:sz w:val="16"/>
        <w:szCs w:val="16"/>
      </w:rPr>
      <w:tab/>
    </w:r>
    <w:hyperlink r:id="rId1" w:history="1">
      <w:proofErr w:type="spellStart"/>
      <w:r w:rsidRPr="00516082">
        <w:rPr>
          <w:rStyle w:val="Hyperlink"/>
          <w:rFonts w:ascii="IBM Plex Mono" w:eastAsia="IBM Plex Mono" w:hAnsi="IBM Plex Mono" w:cs="IBM Plex Mono"/>
          <w:color w:val="2F6E62"/>
          <w:sz w:val="15"/>
          <w:szCs w:val="15"/>
        </w:rPr>
        <w:t>PRT.tax</w:t>
      </w:r>
      <w:proofErr w:type="spellEnd"/>
    </w:hyperlink>
    <w:r w:rsidRPr="00516082">
      <w:rPr>
        <w:rFonts w:ascii="IBM Plex Mono" w:eastAsia="IBM Plex Mono" w:hAnsi="IBM Plex Mono" w:cs="IBM Plex Mono"/>
        <w:color w:val="2F6E62"/>
        <w:sz w:val="15"/>
        <w:szCs w:val="15"/>
      </w:rPr>
      <w:t xml:space="preserve"> </w:t>
    </w:r>
    <w:r>
      <w:rPr>
        <w:rFonts w:ascii="IBM Plex Mono" w:eastAsia="IBM Plex Mono" w:hAnsi="IBM Plex Mono" w:cs="IBM Plex Mono"/>
        <w:color w:val="6B7885"/>
        <w:sz w:val="15"/>
        <w:szCs w:val="15"/>
      </w:rPr>
      <w:t xml:space="preserve">• </w:t>
    </w:r>
    <w:hyperlink r:id="rId2" w:history="1">
      <w:r w:rsidRPr="00516082">
        <w:rPr>
          <w:rFonts w:ascii="IBM Plex Mono" w:eastAsia="IBM Plex Mono" w:hAnsi="IBM Plex Mono" w:cs="IBM Plex Mono"/>
          <w:color w:val="2F6E62"/>
          <w:sz w:val="15"/>
          <w:szCs w:val="15"/>
          <w:u w:val="single"/>
        </w:rPr>
        <w:t>eastern</w:t>
      </w:r>
      <w:r w:rsidRPr="00DA13A6">
        <w:rPr>
          <w:rFonts w:ascii="IBM Plex Mono" w:eastAsia="IBM Plex Mono" w:hAnsi="IBM Plex Mono" w:cs="IBM Plex Mono"/>
          <w:color w:val="2F6E62"/>
          <w:sz w:val="15"/>
          <w:szCs w:val="15"/>
          <w:u w:val="single"/>
        </w:rPr>
        <w:t>po</w:t>
      </w:r>
      <w:r w:rsidRPr="00516082">
        <w:rPr>
          <w:rFonts w:ascii="IBM Plex Mono" w:eastAsia="IBM Plex Mono" w:hAnsi="IBM Plex Mono" w:cs="IBM Plex Mono"/>
          <w:color w:val="2F6E62"/>
          <w:sz w:val="15"/>
          <w:szCs w:val="15"/>
          <w:u w:val="single"/>
        </w:rPr>
        <w:t>inttrust.com</w:t>
      </w:r>
    </w:hyperlink>
  </w:p>
  <w:p w14:paraId="6C403495" w14:textId="77777777" w:rsidR="007A3B6A" w:rsidRPr="00595892" w:rsidRDefault="00E8649B">
    <w:pPr>
      <w:tabs>
        <w:tab w:val="right" w:pos="10080"/>
      </w:tabs>
      <w:spacing w:before="24"/>
      <w:rPr>
        <w:rFonts w:ascii="IBM Plex Mono" w:eastAsia="IBM Plex Mono" w:hAnsi="IBM Plex Mono" w:cs="IBM Plex Mono"/>
        <w:color w:val="2F6E62"/>
        <w:sz w:val="15"/>
        <w:szCs w:val="15"/>
        <w:u w:val="single"/>
      </w:rPr>
    </w:pPr>
    <w:r>
      <w:rPr>
        <w:sz w:val="14"/>
        <w:szCs w:val="14"/>
      </w:rPr>
      <w:tab/>
    </w:r>
    <w:r>
      <w:rPr>
        <w:rFonts w:ascii="IBM Plex Mono" w:eastAsia="IBM Plex Mono" w:hAnsi="IBM Plex Mono" w:cs="IBM Plex Mono"/>
        <w:color w:val="6B7885"/>
        <w:sz w:val="14"/>
        <w:szCs w:val="14"/>
      </w:rPr>
      <w:t>(855) 292-</w:t>
    </w:r>
    <w:r w:rsidR="003361E3">
      <w:rPr>
        <w:rFonts w:ascii="IBM Plex Mono" w:eastAsia="IBM Plex Mono" w:hAnsi="IBM Plex Mono" w:cs="IBM Plex Mono"/>
        <w:color w:val="6B7885"/>
        <w:sz w:val="14"/>
        <w:szCs w:val="14"/>
      </w:rPr>
      <w:t xml:space="preserve">2271 • </w:t>
    </w:r>
    <w:hyperlink r:id="rId3" w:history="1">
      <w:r w:rsidR="003361E3" w:rsidRPr="00DA13A6">
        <w:rPr>
          <w:rStyle w:val="Hyperlink"/>
          <w:rFonts w:ascii="IBM Plex Mono" w:eastAsia="IBM Plex Mono" w:hAnsi="IBM Plex Mono" w:cs="IBM Plex Mono"/>
          <w:color w:val="2F6E62"/>
          <w:sz w:val="15"/>
          <w:szCs w:val="15"/>
        </w:rPr>
        <w:t>recoverytrust@easternpointservices.com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E583" w14:textId="77777777" w:rsidR="007A3B6A" w:rsidRDefault="00191A05">
    <w:pPr>
      <w:pBdr>
        <w:top w:val="single" w:sz="4" w:space="6" w:color="E5EBEE"/>
      </w:pBdr>
      <w:tabs>
        <w:tab w:val="right" w:pos="10080"/>
      </w:tabs>
      <w:spacing w:before="90"/>
    </w:pPr>
    <w:r w:rsidRPr="00191A05">
      <w:rPr>
        <w:rFonts w:ascii="Spectral" w:eastAsia="Spectral" w:hAnsi="Spectral" w:cs="Spectral"/>
        <w:i/>
        <w:iCs/>
        <w:color w:val="6B7885"/>
        <w:sz w:val="16"/>
        <w:szCs w:val="16"/>
      </w:rPr>
      <w:t>© 2026 Eastern Point Trust Company</w:t>
    </w:r>
    <w:r w:rsidR="00E8649B">
      <w:rPr>
        <w:rFonts w:ascii="Spectral" w:eastAsia="Spectral" w:hAnsi="Spectral" w:cs="Spectral"/>
        <w:i/>
        <w:iCs/>
        <w:color w:val="6B7885"/>
        <w:sz w:val="16"/>
        <w:szCs w:val="16"/>
      </w:rPr>
      <w:t>.</w:t>
    </w:r>
    <w:r w:rsidR="00E8649B">
      <w:rPr>
        <w:sz w:val="16"/>
        <w:szCs w:val="16"/>
      </w:rPr>
      <w:tab/>
    </w:r>
    <w:proofErr w:type="spellStart"/>
    <w:proofErr w:type="gramStart"/>
    <w:r w:rsidR="00E8649B">
      <w:rPr>
        <w:rFonts w:ascii="IBM Plex Mono" w:eastAsia="IBM Plex Mono" w:hAnsi="IBM Plex Mono" w:cs="IBM Plex Mono"/>
        <w:color w:val="6B7885"/>
        <w:sz w:val="15"/>
        <w:szCs w:val="15"/>
      </w:rPr>
      <w:t>PRT.tax</w:t>
    </w:r>
    <w:proofErr w:type="spellEnd"/>
    <w:r w:rsidR="00E8649B">
      <w:rPr>
        <w:rFonts w:ascii="IBM Plex Mono" w:eastAsia="IBM Plex Mono" w:hAnsi="IBM Plex Mono" w:cs="IBM Plex Mono"/>
        <w:color w:val="6B7885"/>
        <w:sz w:val="15"/>
        <w:szCs w:val="15"/>
      </w:rPr>
      <w:t xml:space="preserve">  •</w:t>
    </w:r>
    <w:proofErr w:type="gramEnd"/>
    <w:r w:rsidR="00E8649B">
      <w:rPr>
        <w:rFonts w:ascii="IBM Plex Mono" w:eastAsia="IBM Plex Mono" w:hAnsi="IBM Plex Mono" w:cs="IBM Plex Mono"/>
        <w:color w:val="6B7885"/>
        <w:sz w:val="15"/>
        <w:szCs w:val="15"/>
      </w:rPr>
      <w:t xml:space="preserve">  </w:t>
    </w:r>
    <w:hyperlink r:id="rId1" w:history="1">
      <w:r w:rsidR="00E8649B">
        <w:rPr>
          <w:rFonts w:ascii="IBM Plex Mono" w:eastAsia="IBM Plex Mono" w:hAnsi="IBM Plex Mono" w:cs="IBM Plex Mono"/>
          <w:color w:val="2F6E62"/>
          <w:sz w:val="15"/>
          <w:szCs w:val="15"/>
          <w:u w:val="single"/>
        </w:rPr>
        <w:t>easternpointtrust.com</w:t>
      </w:r>
    </w:hyperlink>
  </w:p>
  <w:p w14:paraId="25F2C190" w14:textId="77777777" w:rsidR="007A3B6A" w:rsidRDefault="00E8649B">
    <w:pPr>
      <w:tabs>
        <w:tab w:val="right" w:pos="10080"/>
      </w:tabs>
      <w:spacing w:before="24"/>
    </w:pPr>
    <w:r>
      <w:rPr>
        <w:sz w:val="14"/>
        <w:szCs w:val="14"/>
      </w:rPr>
      <w:tab/>
    </w:r>
    <w:r>
      <w:rPr>
        <w:rFonts w:ascii="IBM Plex Mono" w:eastAsia="IBM Plex Mono" w:hAnsi="IBM Plex Mono" w:cs="IBM Plex Mono"/>
        <w:color w:val="6B7885"/>
        <w:sz w:val="14"/>
        <w:szCs w:val="14"/>
      </w:rPr>
      <w:t>(855) 2</w:t>
    </w:r>
    <w:r w:rsidR="00193EBF">
      <w:rPr>
        <w:rFonts w:ascii="IBM Plex Mono" w:eastAsia="IBM Plex Mono" w:hAnsi="IBM Plex Mono" w:cs="IBM Plex Mono"/>
        <w:color w:val="6B7885"/>
        <w:sz w:val="14"/>
        <w:szCs w:val="14"/>
      </w:rPr>
      <w:t>92</w:t>
    </w:r>
    <w:r>
      <w:rPr>
        <w:rFonts w:ascii="IBM Plex Mono" w:eastAsia="IBM Plex Mono" w:hAnsi="IBM Plex Mono" w:cs="IBM Plex Mono"/>
        <w:color w:val="6B7885"/>
        <w:sz w:val="14"/>
        <w:szCs w:val="14"/>
      </w:rPr>
      <w:t>-</w:t>
    </w:r>
    <w:proofErr w:type="gramStart"/>
    <w:r w:rsidR="00961B7B">
      <w:rPr>
        <w:rFonts w:ascii="IBM Plex Mono" w:eastAsia="IBM Plex Mono" w:hAnsi="IBM Plex Mono" w:cs="IBM Plex Mono"/>
        <w:color w:val="6B7885"/>
        <w:sz w:val="14"/>
        <w:szCs w:val="14"/>
      </w:rPr>
      <w:t>2271</w:t>
    </w:r>
    <w:r>
      <w:rPr>
        <w:rFonts w:ascii="IBM Plex Mono" w:eastAsia="IBM Plex Mono" w:hAnsi="IBM Plex Mono" w:cs="IBM Plex Mono"/>
        <w:color w:val="6B7885"/>
        <w:sz w:val="14"/>
        <w:szCs w:val="14"/>
      </w:rPr>
      <w:t xml:space="preserve">  •</w:t>
    </w:r>
    <w:proofErr w:type="gramEnd"/>
    <w:r>
      <w:rPr>
        <w:rFonts w:ascii="IBM Plex Mono" w:eastAsia="IBM Plex Mono" w:hAnsi="IBM Plex Mono" w:cs="IBM Plex Mono"/>
        <w:color w:val="6B7885"/>
        <w:sz w:val="14"/>
        <w:szCs w:val="14"/>
      </w:rPr>
      <w:t xml:space="preserve">  </w:t>
    </w:r>
    <w:hyperlink r:id="rId2" w:history="1">
      <w:r>
        <w:rPr>
          <w:rFonts w:ascii="IBM Plex Mono" w:eastAsia="IBM Plex Mono" w:hAnsi="IBM Plex Mono" w:cs="IBM Plex Mono"/>
          <w:color w:val="2F6E62"/>
          <w:sz w:val="14"/>
          <w:szCs w:val="14"/>
          <w:u w:val="single"/>
        </w:rPr>
        <w:t>recoverytrust@easternpointservices.com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DC74F" w14:textId="77777777" w:rsidR="003A39AA" w:rsidRDefault="003A39AA">
      <w:r>
        <w:separator/>
      </w:r>
    </w:p>
  </w:footnote>
  <w:footnote w:type="continuationSeparator" w:id="0">
    <w:p w14:paraId="4E2B93FB" w14:textId="77777777" w:rsidR="003A39AA" w:rsidRDefault="003A3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6AE4" w14:textId="77777777" w:rsidR="007A3B6A" w:rsidRDefault="00E8649B">
    <w:pPr>
      <w:pBdr>
        <w:bottom w:val="single" w:sz="4" w:space="6" w:color="E5EBEE"/>
      </w:pBdr>
      <w:tabs>
        <w:tab w:val="right" w:pos="10080"/>
      </w:tabs>
      <w:spacing w:after="150"/>
    </w:pPr>
    <w:r>
      <w:rPr>
        <w:rFonts w:ascii="IBM Plex Mono" w:eastAsia="IBM Plex Mono" w:hAnsi="IBM Plex Mono" w:cs="IBM Plex Mono"/>
        <w:caps/>
        <w:color w:val="16263D"/>
        <w:spacing w:val="30"/>
        <w:sz w:val="16"/>
        <w:szCs w:val="16"/>
      </w:rPr>
      <w:t>Plaintiff Recovery Trust</w:t>
    </w:r>
    <w:r>
      <w:rPr>
        <w:sz w:val="16"/>
        <w:szCs w:val="16"/>
      </w:rPr>
      <w:tab/>
    </w:r>
    <w:r>
      <w:rPr>
        <w:rFonts w:ascii="Spectral" w:eastAsia="Spectral" w:hAnsi="Spectral" w:cs="Spectral"/>
        <w:i/>
        <w:iCs/>
        <w:color w:val="6B7885"/>
        <w:sz w:val="18"/>
        <w:szCs w:val="18"/>
      </w:rPr>
      <w:t>Justice includes Protecting the Recovery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1741914C" w14:paraId="719FD33C" w14:textId="77777777" w:rsidTr="1741914C">
      <w:trPr>
        <w:trHeight w:val="300"/>
      </w:trPr>
      <w:tc>
        <w:tcPr>
          <w:tcW w:w="3360" w:type="dxa"/>
        </w:tcPr>
        <w:p w14:paraId="652B7286" w14:textId="77777777" w:rsidR="1741914C" w:rsidRDefault="1741914C" w:rsidP="1741914C">
          <w:pPr>
            <w:pStyle w:val="Header"/>
            <w:ind w:left="-115"/>
          </w:pPr>
        </w:p>
      </w:tc>
      <w:tc>
        <w:tcPr>
          <w:tcW w:w="3360" w:type="dxa"/>
        </w:tcPr>
        <w:p w14:paraId="4ED55A9E" w14:textId="77777777" w:rsidR="1741914C" w:rsidRDefault="1741914C" w:rsidP="1741914C">
          <w:pPr>
            <w:pStyle w:val="Header"/>
            <w:jc w:val="center"/>
          </w:pPr>
        </w:p>
      </w:tc>
      <w:tc>
        <w:tcPr>
          <w:tcW w:w="3360" w:type="dxa"/>
        </w:tcPr>
        <w:p w14:paraId="6A02345D" w14:textId="77777777" w:rsidR="1741914C" w:rsidRDefault="1741914C" w:rsidP="1741914C">
          <w:pPr>
            <w:pStyle w:val="Header"/>
            <w:ind w:right="-115"/>
            <w:jc w:val="right"/>
          </w:pPr>
        </w:p>
      </w:tc>
    </w:tr>
  </w:tbl>
  <w:p w14:paraId="1B77A3E1" w14:textId="77777777" w:rsidR="1741914C" w:rsidRDefault="1741914C" w:rsidP="174191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551D6"/>
    <w:multiLevelType w:val="hybridMultilevel"/>
    <w:tmpl w:val="9DD8EF8E"/>
    <w:lvl w:ilvl="0" w:tplc="D76A75C0">
      <w:start w:val="1"/>
      <w:numFmt w:val="bullet"/>
      <w:lvlText w:val="●"/>
      <w:lvlJc w:val="left"/>
      <w:pPr>
        <w:ind w:left="720" w:hanging="360"/>
      </w:pPr>
    </w:lvl>
    <w:lvl w:ilvl="1" w:tplc="E35605D2">
      <w:start w:val="1"/>
      <w:numFmt w:val="bullet"/>
      <w:lvlText w:val="○"/>
      <w:lvlJc w:val="left"/>
      <w:pPr>
        <w:ind w:left="1440" w:hanging="360"/>
      </w:pPr>
    </w:lvl>
    <w:lvl w:ilvl="2" w:tplc="9B488E1E">
      <w:start w:val="1"/>
      <w:numFmt w:val="bullet"/>
      <w:lvlText w:val="■"/>
      <w:lvlJc w:val="left"/>
      <w:pPr>
        <w:ind w:left="2160" w:hanging="360"/>
      </w:pPr>
    </w:lvl>
    <w:lvl w:ilvl="3" w:tplc="8FB21CA8">
      <w:start w:val="1"/>
      <w:numFmt w:val="bullet"/>
      <w:lvlText w:val="●"/>
      <w:lvlJc w:val="left"/>
      <w:pPr>
        <w:ind w:left="2880" w:hanging="360"/>
      </w:pPr>
    </w:lvl>
    <w:lvl w:ilvl="4" w:tplc="9FB8037C">
      <w:start w:val="1"/>
      <w:numFmt w:val="bullet"/>
      <w:lvlText w:val="○"/>
      <w:lvlJc w:val="left"/>
      <w:pPr>
        <w:ind w:left="3600" w:hanging="360"/>
      </w:pPr>
    </w:lvl>
    <w:lvl w:ilvl="5" w:tplc="F6246916">
      <w:start w:val="1"/>
      <w:numFmt w:val="bullet"/>
      <w:lvlText w:val="■"/>
      <w:lvlJc w:val="left"/>
      <w:pPr>
        <w:ind w:left="4320" w:hanging="360"/>
      </w:pPr>
    </w:lvl>
    <w:lvl w:ilvl="6" w:tplc="D8D606F2">
      <w:start w:val="1"/>
      <w:numFmt w:val="bullet"/>
      <w:lvlText w:val="●"/>
      <w:lvlJc w:val="left"/>
      <w:pPr>
        <w:ind w:left="5040" w:hanging="360"/>
      </w:pPr>
    </w:lvl>
    <w:lvl w:ilvl="7" w:tplc="C2F49502">
      <w:start w:val="1"/>
      <w:numFmt w:val="bullet"/>
      <w:lvlText w:val="●"/>
      <w:lvlJc w:val="left"/>
      <w:pPr>
        <w:ind w:left="5760" w:hanging="360"/>
      </w:pPr>
    </w:lvl>
    <w:lvl w:ilvl="8" w:tplc="EF6A5AFE">
      <w:start w:val="1"/>
      <w:numFmt w:val="bullet"/>
      <w:lvlText w:val="●"/>
      <w:lvlJc w:val="left"/>
      <w:pPr>
        <w:ind w:left="6480" w:hanging="360"/>
      </w:pPr>
    </w:lvl>
  </w:abstractNum>
  <w:abstractNum w:abstractNumId="1" w15:restartNumberingAfterBreak="0">
    <w:nsid w:val="56A543A7"/>
    <w:multiLevelType w:val="hybridMultilevel"/>
    <w:tmpl w:val="313C407E"/>
    <w:lvl w:ilvl="0" w:tplc="B44668A6">
      <w:start w:val="1"/>
      <w:numFmt w:val="bullet"/>
      <w:lvlText w:val="•"/>
      <w:lvlJc w:val="left"/>
      <w:pPr>
        <w:ind w:left="460" w:hanging="250"/>
      </w:pPr>
      <w:rPr>
        <w:rFonts w:ascii="Public Sans" w:eastAsia="Public Sans" w:hAnsi="Public Sans" w:cs="Public Sans"/>
        <w:color w:val="42525F"/>
        <w:sz w:val="21"/>
        <w:szCs w:val="21"/>
      </w:rPr>
    </w:lvl>
    <w:lvl w:ilvl="1" w:tplc="1374951E">
      <w:numFmt w:val="decimal"/>
      <w:lvlText w:val=""/>
      <w:lvlJc w:val="left"/>
    </w:lvl>
    <w:lvl w:ilvl="2" w:tplc="04FED894">
      <w:numFmt w:val="decimal"/>
      <w:lvlText w:val=""/>
      <w:lvlJc w:val="left"/>
    </w:lvl>
    <w:lvl w:ilvl="3" w:tplc="679A0D02">
      <w:numFmt w:val="decimal"/>
      <w:lvlText w:val=""/>
      <w:lvlJc w:val="left"/>
    </w:lvl>
    <w:lvl w:ilvl="4" w:tplc="4156CA1A">
      <w:numFmt w:val="decimal"/>
      <w:lvlText w:val=""/>
      <w:lvlJc w:val="left"/>
    </w:lvl>
    <w:lvl w:ilvl="5" w:tplc="013EE5EA">
      <w:numFmt w:val="decimal"/>
      <w:lvlText w:val=""/>
      <w:lvlJc w:val="left"/>
    </w:lvl>
    <w:lvl w:ilvl="6" w:tplc="E7368BC2">
      <w:numFmt w:val="decimal"/>
      <w:lvlText w:val=""/>
      <w:lvlJc w:val="left"/>
    </w:lvl>
    <w:lvl w:ilvl="7" w:tplc="2A321FBA">
      <w:numFmt w:val="decimal"/>
      <w:lvlText w:val=""/>
      <w:lvlJc w:val="left"/>
    </w:lvl>
    <w:lvl w:ilvl="8" w:tplc="8DB28A12">
      <w:numFmt w:val="decimal"/>
      <w:lvlText w:val=""/>
      <w:lvlJc w:val="left"/>
    </w:lvl>
  </w:abstractNum>
  <w:num w:numId="1" w16cid:durableId="1557233048">
    <w:abstractNumId w:val="0"/>
    <w:lvlOverride w:ilvl="0">
      <w:startOverride w:val="1"/>
    </w:lvlOverride>
  </w:num>
  <w:num w:numId="2" w16cid:durableId="228003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6A"/>
    <w:rsid w:val="00143122"/>
    <w:rsid w:val="00157A30"/>
    <w:rsid w:val="00191A05"/>
    <w:rsid w:val="00193EBF"/>
    <w:rsid w:val="001A7815"/>
    <w:rsid w:val="001A7A26"/>
    <w:rsid w:val="001B2309"/>
    <w:rsid w:val="00205AEB"/>
    <w:rsid w:val="00223CB3"/>
    <w:rsid w:val="00236E87"/>
    <w:rsid w:val="002A2DC5"/>
    <w:rsid w:val="002F2EA3"/>
    <w:rsid w:val="002F72DB"/>
    <w:rsid w:val="0031360A"/>
    <w:rsid w:val="003361E3"/>
    <w:rsid w:val="00336EDB"/>
    <w:rsid w:val="00343955"/>
    <w:rsid w:val="00345BA8"/>
    <w:rsid w:val="00383D83"/>
    <w:rsid w:val="003A39AA"/>
    <w:rsid w:val="003F069F"/>
    <w:rsid w:val="00423A42"/>
    <w:rsid w:val="004B25F2"/>
    <w:rsid w:val="004C34A8"/>
    <w:rsid w:val="0050266E"/>
    <w:rsid w:val="00516082"/>
    <w:rsid w:val="00561DA5"/>
    <w:rsid w:val="0057263E"/>
    <w:rsid w:val="00595892"/>
    <w:rsid w:val="005B1288"/>
    <w:rsid w:val="00635B5F"/>
    <w:rsid w:val="0064558A"/>
    <w:rsid w:val="006F519C"/>
    <w:rsid w:val="007366F6"/>
    <w:rsid w:val="00785CAE"/>
    <w:rsid w:val="00787F21"/>
    <w:rsid w:val="007A3B6A"/>
    <w:rsid w:val="007D6A0C"/>
    <w:rsid w:val="008646EA"/>
    <w:rsid w:val="008E5608"/>
    <w:rsid w:val="008E64D9"/>
    <w:rsid w:val="00901204"/>
    <w:rsid w:val="00922DC2"/>
    <w:rsid w:val="009366EE"/>
    <w:rsid w:val="00961B7B"/>
    <w:rsid w:val="00A03AAC"/>
    <w:rsid w:val="00A464D2"/>
    <w:rsid w:val="00A80CD7"/>
    <w:rsid w:val="00AC5836"/>
    <w:rsid w:val="00B774C0"/>
    <w:rsid w:val="00B91234"/>
    <w:rsid w:val="00BE3B39"/>
    <w:rsid w:val="00C34C7B"/>
    <w:rsid w:val="00C72C8C"/>
    <w:rsid w:val="00C73483"/>
    <w:rsid w:val="00CC4822"/>
    <w:rsid w:val="00CE2D67"/>
    <w:rsid w:val="00DA13A6"/>
    <w:rsid w:val="00DC3838"/>
    <w:rsid w:val="00DC5D1C"/>
    <w:rsid w:val="00E17135"/>
    <w:rsid w:val="00E8649B"/>
    <w:rsid w:val="00F3400F"/>
    <w:rsid w:val="17419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D3ABF"/>
  <w15:docId w15:val="{CBFE93F2-B451-4FD0-BBB9-69BEDC8F8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erif 4" w:eastAsia="Source Serif 4" w:hAnsi="Source Serif 4" w:cs="Source Serif 4"/>
        <w:color w:val="00000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91A05"/>
    <w:pPr>
      <w:tabs>
        <w:tab w:val="center" w:pos="4680"/>
        <w:tab w:val="right" w:pos="9360"/>
      </w:tabs>
    </w:pPr>
  </w:style>
  <w:style w:type="character" w:customStyle="1" w:styleId="HeaderChar">
    <w:name w:val="Header Char"/>
    <w:basedOn w:val="DefaultParagraphFont"/>
    <w:link w:val="Header"/>
    <w:uiPriority w:val="99"/>
    <w:rsid w:val="00191A05"/>
  </w:style>
  <w:style w:type="paragraph" w:styleId="Footer">
    <w:name w:val="footer"/>
    <w:basedOn w:val="Normal"/>
    <w:link w:val="FooterChar"/>
    <w:uiPriority w:val="99"/>
    <w:unhideWhenUsed/>
    <w:rsid w:val="00191A05"/>
    <w:pPr>
      <w:tabs>
        <w:tab w:val="center" w:pos="4680"/>
        <w:tab w:val="right" w:pos="9360"/>
      </w:tabs>
    </w:pPr>
  </w:style>
  <w:style w:type="character" w:customStyle="1" w:styleId="FooterChar">
    <w:name w:val="Footer Char"/>
    <w:basedOn w:val="DefaultParagraphFont"/>
    <w:link w:val="Footer"/>
    <w:uiPriority w:val="99"/>
    <w:rsid w:val="00191A05"/>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01204"/>
  </w:style>
  <w:style w:type="character" w:styleId="CommentReference">
    <w:name w:val="annotation reference"/>
    <w:basedOn w:val="DefaultParagraphFont"/>
    <w:uiPriority w:val="99"/>
    <w:semiHidden/>
    <w:unhideWhenUsed/>
    <w:rsid w:val="00901204"/>
    <w:rPr>
      <w:sz w:val="16"/>
      <w:szCs w:val="16"/>
    </w:rPr>
  </w:style>
  <w:style w:type="paragraph" w:styleId="CommentText">
    <w:name w:val="annotation text"/>
    <w:basedOn w:val="Normal"/>
    <w:link w:val="CommentTextChar"/>
    <w:uiPriority w:val="99"/>
    <w:unhideWhenUsed/>
    <w:rsid w:val="00901204"/>
    <w:rPr>
      <w:sz w:val="20"/>
      <w:szCs w:val="20"/>
    </w:rPr>
  </w:style>
  <w:style w:type="character" w:customStyle="1" w:styleId="CommentTextChar">
    <w:name w:val="Comment Text Char"/>
    <w:basedOn w:val="DefaultParagraphFont"/>
    <w:link w:val="CommentText"/>
    <w:uiPriority w:val="99"/>
    <w:rsid w:val="00901204"/>
    <w:rPr>
      <w:sz w:val="20"/>
      <w:szCs w:val="20"/>
    </w:rPr>
  </w:style>
  <w:style w:type="paragraph" w:styleId="CommentSubject">
    <w:name w:val="annotation subject"/>
    <w:basedOn w:val="CommentText"/>
    <w:next w:val="CommentText"/>
    <w:link w:val="CommentSubjectChar"/>
    <w:uiPriority w:val="99"/>
    <w:semiHidden/>
    <w:unhideWhenUsed/>
    <w:rsid w:val="00901204"/>
    <w:rPr>
      <w:b/>
      <w:bCs/>
    </w:rPr>
  </w:style>
  <w:style w:type="character" w:customStyle="1" w:styleId="CommentSubjectChar">
    <w:name w:val="Comment Subject Char"/>
    <w:basedOn w:val="CommentTextChar"/>
    <w:link w:val="CommentSubject"/>
    <w:uiPriority w:val="99"/>
    <w:semiHidden/>
    <w:rsid w:val="00901204"/>
    <w:rPr>
      <w:b/>
      <w:bCs/>
      <w:sz w:val="20"/>
      <w:szCs w:val="20"/>
    </w:rPr>
  </w:style>
  <w:style w:type="character" w:styleId="UnresolvedMention">
    <w:name w:val="Unresolved Mention"/>
    <w:basedOn w:val="DefaultParagraphFont"/>
    <w:uiPriority w:val="99"/>
    <w:semiHidden/>
    <w:unhideWhenUsed/>
    <w:rsid w:val="0057263E"/>
    <w:rPr>
      <w:color w:val="605E5C"/>
      <w:shd w:val="clear" w:color="auto" w:fill="E1DFDD"/>
    </w:rPr>
  </w:style>
  <w:style w:type="character" w:styleId="FollowedHyperlink">
    <w:name w:val="FollowedHyperlink"/>
    <w:basedOn w:val="DefaultParagraphFont"/>
    <w:uiPriority w:val="99"/>
    <w:semiHidden/>
    <w:unhideWhenUsed/>
    <w:rsid w:val="0057263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overytrust@easternpointservices.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t.ta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t.tax/"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prt.ta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asternpointtrust.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recoverytrust@easternpointservices.com" TargetMode="External"/><Relationship Id="rId2" Type="http://schemas.openxmlformats.org/officeDocument/2006/relationships/hyperlink" Target="https://www.easternpointtrust.com/plaintiff-recovery-trust" TargetMode="External"/><Relationship Id="rId1" Type="http://schemas.openxmlformats.org/officeDocument/2006/relationships/hyperlink" Target="https://prt.tax/"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recoverytrust@easternpointservices.com" TargetMode="External"/><Relationship Id="rId1" Type="http://schemas.openxmlformats.org/officeDocument/2006/relationships/hyperlink" Target="https://www.easternpointtrust.com/plaintiff-recovery-tru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29759a-64f8-491b-b038-fda487c63d50">
      <Terms xmlns="http://schemas.microsoft.com/office/infopath/2007/PartnerControls"/>
    </lcf76f155ced4ddcb4097134ff3c332f>
    <TaxCatchAll xmlns="a17f8549-5249-49db-a97c-5751843aac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00AB90F484684F80B6CE909049A5FD" ma:contentTypeVersion="11" ma:contentTypeDescription="Create a new document." ma:contentTypeScope="" ma:versionID="5fa37e95754f6dfb71eb759ee2029e75">
  <xsd:schema xmlns:xsd="http://www.w3.org/2001/XMLSchema" xmlns:xs="http://www.w3.org/2001/XMLSchema" xmlns:p="http://schemas.microsoft.com/office/2006/metadata/properties" xmlns:ns2="2b29759a-64f8-491b-b038-fda487c63d50" xmlns:ns3="a17f8549-5249-49db-a97c-5751843aac98" targetNamespace="http://schemas.microsoft.com/office/2006/metadata/properties" ma:root="true" ma:fieldsID="1fcbee0088459072503ea52c414638f0" ns2:_="" ns3:_="">
    <xsd:import namespace="2b29759a-64f8-491b-b038-fda487c63d50"/>
    <xsd:import namespace="a17f8549-5249-49db-a97c-5751843aac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9759a-64f8-491b-b038-fda487c63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2b0f3f-bdf8-414b-b9da-89b4ea5650b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7f8549-5249-49db-a97c-5751843aac9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de7d91c-f1c9-47a2-a401-9432fe8f1769}" ma:internalName="TaxCatchAll" ma:showField="CatchAllData" ma:web="a17f8549-5249-49db-a97c-5751843aa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9E6292-72D5-4654-A0D6-F1E51BBAAFEB}">
  <ds:schemaRefs>
    <ds:schemaRef ds:uri="http://schemas.microsoft.com/office/2006/metadata/properties"/>
    <ds:schemaRef ds:uri="http://schemas.microsoft.com/office/infopath/2007/PartnerControls"/>
    <ds:schemaRef ds:uri="2b29759a-64f8-491b-b038-fda487c63d50"/>
    <ds:schemaRef ds:uri="a17f8549-5249-49db-a97c-5751843aac98"/>
  </ds:schemaRefs>
</ds:datastoreItem>
</file>

<file path=customXml/itemProps2.xml><?xml version="1.0" encoding="utf-8"?>
<ds:datastoreItem xmlns:ds="http://schemas.openxmlformats.org/officeDocument/2006/customXml" ds:itemID="{6F9EACAB-B555-43AE-BFB9-3EF670069F6B}">
  <ds:schemaRefs>
    <ds:schemaRef ds:uri="http://schemas.microsoft.com/sharepoint/v3/contenttype/forms"/>
  </ds:schemaRefs>
</ds:datastoreItem>
</file>

<file path=customXml/itemProps3.xml><?xml version="1.0" encoding="utf-8"?>
<ds:datastoreItem xmlns:ds="http://schemas.openxmlformats.org/officeDocument/2006/customXml" ds:itemID="{858ECA95-B660-40C3-B95C-65F855078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29759a-64f8-491b-b038-fda487c63d50"/>
    <ds:schemaRef ds:uri="a17f8549-5249-49db-a97c-5751843aac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Alexis Talia</cp:lastModifiedBy>
  <cp:revision>2</cp:revision>
  <dcterms:created xsi:type="dcterms:W3CDTF">2026-10-27T00:29:00Z</dcterms:created>
  <dcterms:modified xsi:type="dcterms:W3CDTF">2026-10-27T00:29:00Z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0x0101006D00AB90F484684F80B6CE909049A5FD</vt:lpwstr>
  </property>
  <property fmtid="{D5CDD505-2E9C-101B-9397-08002B2CF9AE}" pid="3" name="MediaServiceImageTags">
    <vt:lpwstr/>
  </property>
  <property fmtid="{D5CDD505-2E9C-101B-9397-08002B2CF9AE}" pid="4" name="docLang">
    <vt:lpwstr>en</vt:lpwstr>
  </property>
</Properties>
</file>