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076E" w14:textId="77777777" w:rsidR="00A84B23" w:rsidRPr="0020425A" w:rsidRDefault="00A84B23" w:rsidP="0020425A">
      <w:pPr>
        <w:ind w:left="-142"/>
        <w:jc w:val="center"/>
        <w:rPr>
          <w:rFonts w:ascii="Hellix Medium" w:hAnsi="Hellix Medium"/>
          <w:b/>
          <w:bCs/>
          <w:sz w:val="28"/>
          <w:szCs w:val="32"/>
        </w:rPr>
      </w:pPr>
      <w:r w:rsidRPr="0020425A">
        <w:rPr>
          <w:rFonts w:ascii="Hellix Medium" w:hAnsi="Hellix Medium"/>
          <w:b/>
          <w:bCs/>
          <w:sz w:val="28"/>
          <w:szCs w:val="32"/>
        </w:rPr>
        <w:t>MEMORIAL GARDEN POSITIONS AS OF 1st JULY 2025</w:t>
      </w:r>
    </w:p>
    <w:p w14:paraId="62C97810" w14:textId="77777777" w:rsidR="00781C20" w:rsidRPr="0020425A" w:rsidRDefault="00781C20" w:rsidP="0020425A">
      <w:pPr>
        <w:ind w:left="-142"/>
        <w:jc w:val="center"/>
        <w:rPr>
          <w:rFonts w:ascii="Hellix Medium" w:hAnsi="Hellix Medium"/>
        </w:rPr>
      </w:pPr>
      <w:r w:rsidRPr="0020425A">
        <w:rPr>
          <w:rFonts w:ascii="Hellix Medium" w:hAnsi="Hellix Medium"/>
        </w:rPr>
        <w:t>Currently there are no Rose, Lawn or Tree positions available in the Gardens</w:t>
      </w:r>
    </w:p>
    <w:p w14:paraId="0C910826" w14:textId="77777777" w:rsidR="00781C20" w:rsidRDefault="00781C20" w:rsidP="0020425A">
      <w:pPr>
        <w:ind w:left="-142"/>
        <w:jc w:val="center"/>
        <w:rPr>
          <w:rFonts w:ascii="Hellix Medium" w:hAnsi="Hellix Medium"/>
        </w:rPr>
      </w:pPr>
      <w:r w:rsidRPr="0020425A">
        <w:rPr>
          <w:rFonts w:ascii="Hellix Medium" w:hAnsi="Hellix Medium"/>
        </w:rPr>
        <w:t xml:space="preserve">Families with existing positions </w:t>
      </w:r>
      <w:proofErr w:type="gramStart"/>
      <w:r w:rsidRPr="0020425A">
        <w:rPr>
          <w:rFonts w:ascii="Hellix Medium" w:hAnsi="Hellix Medium"/>
        </w:rPr>
        <w:t>are able to</w:t>
      </w:r>
      <w:proofErr w:type="gramEnd"/>
      <w:r w:rsidRPr="0020425A">
        <w:rPr>
          <w:rFonts w:ascii="Hellix Medium" w:hAnsi="Hellix Medium"/>
        </w:rPr>
        <w:t xml:space="preserve"> convert their tenured positions to perpetuity</w:t>
      </w:r>
    </w:p>
    <w:tbl>
      <w:tblPr>
        <w:tblW w:w="8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1685"/>
      </w:tblGrid>
      <w:tr w:rsidR="004F6E05" w:rsidRPr="00E6352D" w14:paraId="51A26FEA" w14:textId="77777777" w:rsidTr="004F6E05">
        <w:trPr>
          <w:trHeight w:val="508"/>
          <w:jc w:val="center"/>
        </w:trPr>
        <w:tc>
          <w:tcPr>
            <w:tcW w:w="7083" w:type="dxa"/>
            <w:shd w:val="clear" w:color="auto" w:fill="D9D9D9"/>
          </w:tcPr>
          <w:p w14:paraId="6C3E4439" w14:textId="77777777" w:rsidR="004F6E05" w:rsidRPr="004F6E05" w:rsidRDefault="004F6E05" w:rsidP="00C85167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Rose or Azalea</w:t>
            </w:r>
          </w:p>
        </w:tc>
        <w:tc>
          <w:tcPr>
            <w:tcW w:w="1685" w:type="dxa"/>
            <w:shd w:val="clear" w:color="auto" w:fill="D9D9D9"/>
          </w:tcPr>
          <w:p w14:paraId="2BCC2489" w14:textId="77777777" w:rsidR="004F6E05" w:rsidRPr="004F6E05" w:rsidRDefault="004F6E05" w:rsidP="00C85167">
            <w:pPr>
              <w:pStyle w:val="TableParagraph"/>
              <w:spacing w:before="116"/>
              <w:ind w:left="9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$</w:t>
            </w:r>
          </w:p>
        </w:tc>
      </w:tr>
      <w:tr w:rsidR="004F6E05" w:rsidRPr="00E6352D" w14:paraId="1F27983D" w14:textId="77777777" w:rsidTr="004F6E05">
        <w:trPr>
          <w:trHeight w:val="508"/>
          <w:jc w:val="center"/>
        </w:trPr>
        <w:tc>
          <w:tcPr>
            <w:tcW w:w="7083" w:type="dxa"/>
          </w:tcPr>
          <w:p w14:paraId="5FAC3D2C" w14:textId="77777777" w:rsidR="004F6E05" w:rsidRPr="004F6E05" w:rsidRDefault="004F6E05" w:rsidP="00F62CE2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Rose/Shrub – </w:t>
            </w:r>
            <w:proofErr w:type="gramStart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tenure                      </w:t>
            </w:r>
          </w:p>
        </w:tc>
        <w:tc>
          <w:tcPr>
            <w:tcW w:w="1685" w:type="dxa"/>
          </w:tcPr>
          <w:p w14:paraId="6DB3A0AA" w14:textId="77777777" w:rsidR="004F6E05" w:rsidRPr="004F6E05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2,180</w:t>
            </w:r>
          </w:p>
        </w:tc>
      </w:tr>
      <w:tr w:rsidR="004F6E05" w:rsidRPr="00E6352D" w14:paraId="042238BF" w14:textId="77777777" w:rsidTr="004F6E05">
        <w:trPr>
          <w:trHeight w:val="508"/>
          <w:jc w:val="center"/>
        </w:trPr>
        <w:tc>
          <w:tcPr>
            <w:tcW w:w="7083" w:type="dxa"/>
          </w:tcPr>
          <w:p w14:paraId="4D082703" w14:textId="77777777" w:rsidR="004F6E05" w:rsidRPr="004F6E05" w:rsidRDefault="004F6E05" w:rsidP="00C85167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Rose/Shrub - Perpetual Right                       </w:t>
            </w:r>
          </w:p>
        </w:tc>
        <w:tc>
          <w:tcPr>
            <w:tcW w:w="1685" w:type="dxa"/>
          </w:tcPr>
          <w:p w14:paraId="4CCD8989" w14:textId="77777777" w:rsidR="004F6E05" w:rsidRPr="004F6E05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5,425</w:t>
            </w:r>
          </w:p>
        </w:tc>
      </w:tr>
      <w:tr w:rsidR="004F6E05" w:rsidRPr="00E6352D" w14:paraId="59B9ADB7" w14:textId="77777777" w:rsidTr="004F6E05">
        <w:trPr>
          <w:trHeight w:val="508"/>
          <w:jc w:val="center"/>
        </w:trPr>
        <w:tc>
          <w:tcPr>
            <w:tcW w:w="7083" w:type="dxa"/>
          </w:tcPr>
          <w:p w14:paraId="2FE7A10C" w14:textId="77777777" w:rsidR="004F6E05" w:rsidRPr="004F6E05" w:rsidRDefault="004F6E05" w:rsidP="00C85167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Rose/Shrub - Additional </w:t>
            </w:r>
            <w:proofErr w:type="gramStart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tenure</w:t>
            </w:r>
          </w:p>
        </w:tc>
        <w:tc>
          <w:tcPr>
            <w:tcW w:w="1685" w:type="dxa"/>
          </w:tcPr>
          <w:p w14:paraId="641A22E6" w14:textId="77777777" w:rsidR="004F6E05" w:rsidRPr="004F6E05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2,180</w:t>
            </w:r>
          </w:p>
        </w:tc>
      </w:tr>
      <w:tr w:rsidR="004F6E05" w:rsidRPr="00E6352D" w14:paraId="0B3132DD" w14:textId="77777777" w:rsidTr="004F6E05">
        <w:trPr>
          <w:trHeight w:val="508"/>
          <w:jc w:val="center"/>
        </w:trPr>
        <w:tc>
          <w:tcPr>
            <w:tcW w:w="7083" w:type="dxa"/>
          </w:tcPr>
          <w:p w14:paraId="434A2F5B" w14:textId="77777777" w:rsidR="004F6E05" w:rsidRPr="004F6E05" w:rsidRDefault="004F6E05" w:rsidP="00C85167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Rose/Shrub - Convert existing position to Perpetual Right      </w:t>
            </w:r>
          </w:p>
        </w:tc>
        <w:tc>
          <w:tcPr>
            <w:tcW w:w="1685" w:type="dxa"/>
          </w:tcPr>
          <w:p w14:paraId="100782CA" w14:textId="77777777" w:rsidR="004F6E05" w:rsidRPr="004F6E05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3,815</w:t>
            </w:r>
          </w:p>
        </w:tc>
      </w:tr>
      <w:tr w:rsidR="004F6E05" w:rsidRPr="00E6352D" w14:paraId="393319F9" w14:textId="77777777" w:rsidTr="004F6E05">
        <w:trPr>
          <w:trHeight w:val="508"/>
          <w:jc w:val="center"/>
        </w:trPr>
        <w:tc>
          <w:tcPr>
            <w:tcW w:w="7083" w:type="dxa"/>
            <w:shd w:val="clear" w:color="auto" w:fill="D9D9D9"/>
          </w:tcPr>
          <w:p w14:paraId="7978F397" w14:textId="77777777" w:rsidR="004F6E05" w:rsidRPr="004F6E05" w:rsidRDefault="004F6E05" w:rsidP="00C85167">
            <w:pPr>
              <w:pStyle w:val="TableParagraph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Tree</w:t>
            </w:r>
          </w:p>
        </w:tc>
        <w:tc>
          <w:tcPr>
            <w:tcW w:w="1685" w:type="dxa"/>
            <w:shd w:val="clear" w:color="auto" w:fill="D9D9D9"/>
          </w:tcPr>
          <w:p w14:paraId="3025E79C" w14:textId="77777777" w:rsidR="004F6E05" w:rsidRPr="004F6E05" w:rsidRDefault="004F6E05" w:rsidP="00C85167">
            <w:pPr>
              <w:pStyle w:val="TableParagraph"/>
              <w:spacing w:before="0"/>
              <w:ind w:left="0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</w:p>
        </w:tc>
      </w:tr>
      <w:tr w:rsidR="004F6E05" w:rsidRPr="00E6352D" w14:paraId="7C8C1001" w14:textId="77777777" w:rsidTr="004F6E05">
        <w:trPr>
          <w:trHeight w:val="508"/>
          <w:jc w:val="center"/>
        </w:trPr>
        <w:tc>
          <w:tcPr>
            <w:tcW w:w="7083" w:type="dxa"/>
          </w:tcPr>
          <w:p w14:paraId="7878382D" w14:textId="6E902222" w:rsidR="004F6E05" w:rsidRPr="00A7437E" w:rsidRDefault="004F6E05" w:rsidP="00C85167">
            <w:pPr>
              <w:pStyle w:val="TableParagraph"/>
              <w:tabs>
                <w:tab w:val="left" w:pos="4488"/>
              </w:tabs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Tree - </w:t>
            </w:r>
            <w:proofErr w:type="gramStart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tenure</w:t>
            </w:r>
            <w:r w:rsidR="00A7437E"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</w:t>
            </w: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(UNAVAILABLE)</w:t>
            </w:r>
          </w:p>
        </w:tc>
        <w:tc>
          <w:tcPr>
            <w:tcW w:w="1685" w:type="dxa"/>
          </w:tcPr>
          <w:p w14:paraId="37100491" w14:textId="77777777" w:rsidR="004F6E05" w:rsidRPr="00A7437E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3,070</w:t>
            </w:r>
          </w:p>
        </w:tc>
      </w:tr>
      <w:tr w:rsidR="004F6E05" w:rsidRPr="00E6352D" w14:paraId="2A319A33" w14:textId="77777777" w:rsidTr="004F6E05">
        <w:trPr>
          <w:trHeight w:val="508"/>
          <w:jc w:val="center"/>
        </w:trPr>
        <w:tc>
          <w:tcPr>
            <w:tcW w:w="7083" w:type="dxa"/>
          </w:tcPr>
          <w:p w14:paraId="244EF4B2" w14:textId="2B041DC8" w:rsidR="004F6E05" w:rsidRPr="00A7437E" w:rsidRDefault="004F6E05" w:rsidP="00C85167">
            <w:pPr>
              <w:pStyle w:val="TableParagraph"/>
              <w:tabs>
                <w:tab w:val="left" w:pos="4466"/>
              </w:tabs>
              <w:spacing w:before="122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Tree - Perpetual </w:t>
            </w:r>
            <w:proofErr w:type="gramStart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Righ</w:t>
            </w:r>
            <w:r w:rsidR="00A7437E"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t  </w:t>
            </w: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(UNAVAILABLE)   </w:t>
            </w:r>
            <w:proofErr w:type="gramEnd"/>
          </w:p>
        </w:tc>
        <w:tc>
          <w:tcPr>
            <w:tcW w:w="1685" w:type="dxa"/>
          </w:tcPr>
          <w:p w14:paraId="040E0DBC" w14:textId="77777777" w:rsidR="004F6E05" w:rsidRPr="00A7437E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7,675</w:t>
            </w:r>
          </w:p>
        </w:tc>
      </w:tr>
      <w:tr w:rsidR="004F6E05" w:rsidRPr="00E6352D" w14:paraId="5A5BDB52" w14:textId="77777777" w:rsidTr="004F6E05">
        <w:trPr>
          <w:trHeight w:val="508"/>
          <w:jc w:val="center"/>
        </w:trPr>
        <w:tc>
          <w:tcPr>
            <w:tcW w:w="7083" w:type="dxa"/>
          </w:tcPr>
          <w:p w14:paraId="4BF55325" w14:textId="77777777" w:rsidR="004F6E05" w:rsidRPr="004F6E05" w:rsidRDefault="004F6E05" w:rsidP="00C85167">
            <w:pPr>
              <w:pStyle w:val="TableParagraph"/>
              <w:tabs>
                <w:tab w:val="left" w:pos="4466"/>
              </w:tabs>
              <w:spacing w:before="122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Tree - Additional </w:t>
            </w:r>
            <w:proofErr w:type="gramStart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tenure</w:t>
            </w:r>
          </w:p>
        </w:tc>
        <w:tc>
          <w:tcPr>
            <w:tcW w:w="1685" w:type="dxa"/>
          </w:tcPr>
          <w:p w14:paraId="1D838A43" w14:textId="77777777" w:rsidR="004F6E05" w:rsidRPr="004F6E05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3,070</w:t>
            </w:r>
          </w:p>
        </w:tc>
      </w:tr>
      <w:tr w:rsidR="004F6E05" w:rsidRPr="00E6352D" w14:paraId="60341684" w14:textId="77777777" w:rsidTr="004F6E05">
        <w:trPr>
          <w:trHeight w:val="508"/>
          <w:jc w:val="center"/>
        </w:trPr>
        <w:tc>
          <w:tcPr>
            <w:tcW w:w="7083" w:type="dxa"/>
          </w:tcPr>
          <w:p w14:paraId="10F9AE5C" w14:textId="77777777" w:rsidR="004F6E05" w:rsidRPr="004F6E05" w:rsidRDefault="004F6E05" w:rsidP="00C85167">
            <w:pPr>
              <w:pStyle w:val="TableParagraph"/>
              <w:tabs>
                <w:tab w:val="left" w:pos="4466"/>
              </w:tabs>
              <w:spacing w:before="122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Tree - Convert existing position to Perpetual Right      </w:t>
            </w: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ab/>
            </w:r>
          </w:p>
        </w:tc>
        <w:tc>
          <w:tcPr>
            <w:tcW w:w="1685" w:type="dxa"/>
          </w:tcPr>
          <w:p w14:paraId="55A2C388" w14:textId="77777777" w:rsidR="004F6E05" w:rsidRPr="004F6E05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5,373</w:t>
            </w:r>
          </w:p>
        </w:tc>
      </w:tr>
      <w:tr w:rsidR="004F6E05" w:rsidRPr="00E6352D" w14:paraId="1F5DAA64" w14:textId="77777777" w:rsidTr="004F6E05">
        <w:trPr>
          <w:trHeight w:val="508"/>
          <w:jc w:val="center"/>
        </w:trPr>
        <w:tc>
          <w:tcPr>
            <w:tcW w:w="7083" w:type="dxa"/>
            <w:shd w:val="clear" w:color="auto" w:fill="D9D9D9"/>
          </w:tcPr>
          <w:p w14:paraId="4950A530" w14:textId="77777777" w:rsidR="004F6E05" w:rsidRPr="004F6E05" w:rsidRDefault="004F6E05" w:rsidP="00C85167">
            <w:pPr>
              <w:pStyle w:val="TableParagraph"/>
              <w:spacing w:before="122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Lawn</w:t>
            </w:r>
          </w:p>
        </w:tc>
        <w:tc>
          <w:tcPr>
            <w:tcW w:w="1685" w:type="dxa"/>
            <w:shd w:val="clear" w:color="auto" w:fill="D9D9D9"/>
          </w:tcPr>
          <w:p w14:paraId="35DDF71B" w14:textId="77777777" w:rsidR="004F6E05" w:rsidRPr="004F6E05" w:rsidRDefault="004F6E05" w:rsidP="00C85167">
            <w:pPr>
              <w:pStyle w:val="TableParagraph"/>
              <w:spacing w:before="0"/>
              <w:ind w:left="0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</w:p>
        </w:tc>
      </w:tr>
      <w:tr w:rsidR="004F6E05" w:rsidRPr="00E6352D" w14:paraId="7615C933" w14:textId="77777777" w:rsidTr="004F6E05">
        <w:trPr>
          <w:trHeight w:val="510"/>
          <w:jc w:val="center"/>
        </w:trPr>
        <w:tc>
          <w:tcPr>
            <w:tcW w:w="7083" w:type="dxa"/>
          </w:tcPr>
          <w:p w14:paraId="675E8129" w14:textId="781F7AB8" w:rsidR="004F6E05" w:rsidRPr="00A7437E" w:rsidRDefault="004F6E05" w:rsidP="00C85167">
            <w:pPr>
              <w:pStyle w:val="TableParagraph"/>
              <w:tabs>
                <w:tab w:val="left" w:pos="4502"/>
              </w:tabs>
              <w:spacing w:before="122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Lawn - </w:t>
            </w:r>
            <w:proofErr w:type="gramStart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</w:t>
            </w:r>
            <w:proofErr w:type="gramStart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tenure  (</w:t>
            </w:r>
            <w:proofErr w:type="gramEnd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UNAVAILABLE)  </w:t>
            </w:r>
          </w:p>
        </w:tc>
        <w:tc>
          <w:tcPr>
            <w:tcW w:w="1685" w:type="dxa"/>
          </w:tcPr>
          <w:p w14:paraId="2F8E02FF" w14:textId="77777777" w:rsidR="004F6E05" w:rsidRPr="00A7437E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2,020</w:t>
            </w:r>
          </w:p>
        </w:tc>
      </w:tr>
      <w:tr w:rsidR="004F6E05" w:rsidRPr="00E6352D" w14:paraId="0D490C69" w14:textId="77777777" w:rsidTr="004F6E05">
        <w:trPr>
          <w:trHeight w:val="510"/>
          <w:jc w:val="center"/>
        </w:trPr>
        <w:tc>
          <w:tcPr>
            <w:tcW w:w="7083" w:type="dxa"/>
          </w:tcPr>
          <w:p w14:paraId="3CD49E31" w14:textId="30F086E2" w:rsidR="004F6E05" w:rsidRPr="00A7437E" w:rsidRDefault="004F6E05" w:rsidP="00C85167">
            <w:pPr>
              <w:pStyle w:val="TableParagraph"/>
              <w:tabs>
                <w:tab w:val="left" w:pos="4502"/>
              </w:tabs>
              <w:spacing w:before="122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Lawn - Position Perpetual Right</w:t>
            </w:r>
            <w:r w:rsidR="00A7437E"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</w:t>
            </w: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(</w:t>
            </w:r>
            <w:proofErr w:type="gramStart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UNAVAILABLE)   </w:t>
            </w:r>
            <w:proofErr w:type="gramEnd"/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 </w:t>
            </w:r>
          </w:p>
        </w:tc>
        <w:tc>
          <w:tcPr>
            <w:tcW w:w="1685" w:type="dxa"/>
          </w:tcPr>
          <w:p w14:paraId="43C59099" w14:textId="77777777" w:rsidR="004F6E05" w:rsidRPr="00A7437E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A7437E">
              <w:rPr>
                <w:rFonts w:ascii="Hellix Medium" w:eastAsiaTheme="minorEastAsia" w:hAnsi="Hellix Medium" w:cstheme="minorBidi"/>
                <w:strike/>
                <w:kern w:val="2"/>
                <w:sz w:val="24"/>
                <w:szCs w:val="24"/>
                <w:lang w:eastAsia="ko-KR"/>
                <w14:ligatures w14:val="standardContextual"/>
              </w:rPr>
              <w:t>5,070</w:t>
            </w:r>
          </w:p>
        </w:tc>
      </w:tr>
      <w:tr w:rsidR="004F6E05" w:rsidRPr="00E6352D" w14:paraId="2C1902E8" w14:textId="77777777" w:rsidTr="004F6E05">
        <w:trPr>
          <w:trHeight w:val="510"/>
          <w:jc w:val="center"/>
        </w:trPr>
        <w:tc>
          <w:tcPr>
            <w:tcW w:w="7083" w:type="dxa"/>
          </w:tcPr>
          <w:p w14:paraId="466DCEEB" w14:textId="77777777" w:rsidR="004F6E05" w:rsidRPr="004F6E05" w:rsidRDefault="004F6E05" w:rsidP="00C85167">
            <w:pPr>
              <w:pStyle w:val="TableParagraph"/>
              <w:tabs>
                <w:tab w:val="left" w:pos="4502"/>
              </w:tabs>
              <w:spacing w:before="122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Lawn - Additional </w:t>
            </w:r>
            <w:proofErr w:type="gramStart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25 year</w:t>
            </w:r>
            <w:proofErr w:type="gramEnd"/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 tenure</w:t>
            </w:r>
          </w:p>
        </w:tc>
        <w:tc>
          <w:tcPr>
            <w:tcW w:w="1685" w:type="dxa"/>
          </w:tcPr>
          <w:p w14:paraId="7DA7DEBD" w14:textId="77777777" w:rsidR="004F6E05" w:rsidRPr="004F6E05" w:rsidRDefault="004F6E05" w:rsidP="00C85167">
            <w:pPr>
              <w:pStyle w:val="TableParagraph"/>
              <w:spacing w:before="119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2,020</w:t>
            </w:r>
          </w:p>
        </w:tc>
      </w:tr>
      <w:tr w:rsidR="004F6E05" w:rsidRPr="00E6352D" w14:paraId="577624FA" w14:textId="77777777" w:rsidTr="004F6E05">
        <w:trPr>
          <w:trHeight w:val="508"/>
          <w:jc w:val="center"/>
        </w:trPr>
        <w:tc>
          <w:tcPr>
            <w:tcW w:w="7083" w:type="dxa"/>
          </w:tcPr>
          <w:p w14:paraId="569136B4" w14:textId="77777777" w:rsidR="004F6E05" w:rsidRPr="004F6E05" w:rsidRDefault="004F6E05" w:rsidP="00C85167">
            <w:pPr>
              <w:pStyle w:val="TableParagraph"/>
              <w:tabs>
                <w:tab w:val="left" w:pos="4483"/>
              </w:tabs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 xml:space="preserve">Lawn - Convert existing position to Perpetual Right      </w:t>
            </w:r>
          </w:p>
        </w:tc>
        <w:tc>
          <w:tcPr>
            <w:tcW w:w="1685" w:type="dxa"/>
          </w:tcPr>
          <w:p w14:paraId="1BEC689E" w14:textId="77777777" w:rsidR="004F6E05" w:rsidRPr="004F6E05" w:rsidRDefault="004F6E05" w:rsidP="00C85167">
            <w:pPr>
              <w:pStyle w:val="TableParagraph"/>
              <w:spacing w:before="116"/>
              <w:ind w:left="506" w:right="500"/>
              <w:jc w:val="center"/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</w:pPr>
            <w:r w:rsidRPr="004F6E05">
              <w:rPr>
                <w:rFonts w:ascii="Hellix Medium" w:eastAsiaTheme="minorEastAsia" w:hAnsi="Hellix Medium" w:cstheme="minorBidi"/>
                <w:kern w:val="2"/>
                <w:sz w:val="24"/>
                <w:szCs w:val="24"/>
                <w:lang w:eastAsia="ko-KR"/>
                <w14:ligatures w14:val="standardContextual"/>
              </w:rPr>
              <w:t>3,535</w:t>
            </w:r>
          </w:p>
        </w:tc>
      </w:tr>
    </w:tbl>
    <w:p w14:paraId="1C423BE1" w14:textId="77777777" w:rsidR="00563C71" w:rsidRDefault="00563C71" w:rsidP="004F6E05">
      <w:pPr>
        <w:ind w:left="-142"/>
        <w:rPr>
          <w:rFonts w:ascii="Hellix Medium" w:hAnsi="Hellix Medium"/>
        </w:rPr>
      </w:pPr>
    </w:p>
    <w:p w14:paraId="405FCB94" w14:textId="77777777" w:rsidR="0074557C" w:rsidRPr="0074557C" w:rsidRDefault="0074557C" w:rsidP="0074557C">
      <w:pPr>
        <w:ind w:left="-142"/>
        <w:rPr>
          <w:rFonts w:ascii="Hellix Medium" w:hAnsi="Hellix Medium"/>
        </w:rPr>
      </w:pPr>
      <w:r w:rsidRPr="0074557C">
        <w:rPr>
          <w:rFonts w:ascii="Hellix Medium" w:hAnsi="Hellix Medium"/>
        </w:rPr>
        <w:t>Please note:</w:t>
      </w:r>
    </w:p>
    <w:p w14:paraId="3611C961" w14:textId="77777777" w:rsidR="0074557C" w:rsidRDefault="0074557C" w:rsidP="00C179EC">
      <w:pPr>
        <w:pStyle w:val="ListParagraph"/>
        <w:numPr>
          <w:ilvl w:val="0"/>
          <w:numId w:val="2"/>
        </w:numPr>
        <w:rPr>
          <w:rFonts w:ascii="Hellix Medium" w:hAnsi="Hellix Medium"/>
        </w:rPr>
      </w:pPr>
      <w:r w:rsidRPr="00C179EC">
        <w:rPr>
          <w:rFonts w:ascii="Hellix Medium" w:hAnsi="Hellix Medium"/>
        </w:rPr>
        <w:t>An additional fee applies for the placement of Ashes in the above positions - $650</w:t>
      </w:r>
    </w:p>
    <w:p w14:paraId="071A8270" w14:textId="77777777" w:rsidR="00A7437E" w:rsidRDefault="00C179EC" w:rsidP="00C179EC">
      <w:pPr>
        <w:pStyle w:val="ListParagraph"/>
        <w:numPr>
          <w:ilvl w:val="0"/>
          <w:numId w:val="2"/>
        </w:numPr>
        <w:ind w:left="-142"/>
        <w:rPr>
          <w:rFonts w:ascii="Hellix Medium" w:hAnsi="Hellix Medium"/>
        </w:rPr>
      </w:pPr>
      <w:r w:rsidRPr="00A7437E">
        <w:rPr>
          <w:rFonts w:ascii="Hellix Medium" w:hAnsi="Hellix Medium"/>
        </w:rPr>
        <w:lastRenderedPageBreak/>
        <w:t>The above prices do not include the cost of inscriptions or attachments and are subject to Cemetery approval</w:t>
      </w:r>
    </w:p>
    <w:p w14:paraId="3BFA88F6" w14:textId="467EBCB7" w:rsidR="00C179EC" w:rsidRPr="00A7437E" w:rsidRDefault="00C179EC" w:rsidP="00C179EC">
      <w:pPr>
        <w:pStyle w:val="ListParagraph"/>
        <w:numPr>
          <w:ilvl w:val="0"/>
          <w:numId w:val="2"/>
        </w:numPr>
        <w:ind w:left="-142"/>
        <w:rPr>
          <w:rFonts w:ascii="Hellix Medium" w:hAnsi="Hellix Medium"/>
        </w:rPr>
      </w:pPr>
      <w:r w:rsidRPr="00A7437E">
        <w:rPr>
          <w:rFonts w:ascii="Hellix Medium" w:hAnsi="Hellix Medium"/>
        </w:rPr>
        <w:t>Each rose or lawn position can accommodate four individual placements of cremated remains</w:t>
      </w:r>
    </w:p>
    <w:p w14:paraId="75C86698" w14:textId="77777777" w:rsidR="00C179EC" w:rsidRDefault="00C179EC" w:rsidP="0074557C">
      <w:pPr>
        <w:ind w:left="-142"/>
        <w:rPr>
          <w:rFonts w:ascii="Hellix Medium" w:hAnsi="Hellix Medium"/>
        </w:rPr>
      </w:pPr>
    </w:p>
    <w:p w14:paraId="4298BBD7" w14:textId="77777777" w:rsidR="0074557C" w:rsidRPr="00E6352D" w:rsidRDefault="0074557C" w:rsidP="0074557C">
      <w:pPr>
        <w:ind w:left="-142"/>
        <w:rPr>
          <w:b/>
          <w:sz w:val="28"/>
        </w:rPr>
      </w:pPr>
    </w:p>
    <w:p w14:paraId="73EC72F4" w14:textId="77777777" w:rsidR="004F6E05" w:rsidRPr="0020425A" w:rsidRDefault="004F6E05" w:rsidP="004F6E05">
      <w:pPr>
        <w:ind w:left="-142"/>
        <w:rPr>
          <w:rFonts w:ascii="Hellix Medium" w:hAnsi="Hellix Medium"/>
        </w:rPr>
      </w:pPr>
    </w:p>
    <w:p w14:paraId="76C48E8B" w14:textId="77777777" w:rsidR="00247600" w:rsidRPr="00247600" w:rsidRDefault="00247600" w:rsidP="00247600">
      <w:pPr>
        <w:ind w:left="-142"/>
        <w:rPr>
          <w:rFonts w:ascii="Hellix Medium" w:hAnsi="Hellix Medium"/>
        </w:rPr>
      </w:pPr>
    </w:p>
    <w:p w14:paraId="2A285A72" w14:textId="45123803" w:rsidR="00480978" w:rsidRPr="00B76972" w:rsidRDefault="00480978" w:rsidP="00247600">
      <w:pPr>
        <w:ind w:left="-142"/>
        <w:rPr>
          <w:rFonts w:ascii="Hellix Medium" w:hAnsi="Hellix Medium"/>
        </w:rPr>
      </w:pPr>
    </w:p>
    <w:sectPr w:rsidR="00480978" w:rsidRPr="00B76972" w:rsidSect="00B76972">
      <w:headerReference w:type="default" r:id="rId11"/>
      <w:footerReference w:type="default" r:id="rId12"/>
      <w:pgSz w:w="11906" w:h="16838"/>
      <w:pgMar w:top="3372" w:right="1440" w:bottom="225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EA11" w14:textId="77777777" w:rsidR="00B33291" w:rsidRDefault="00B33291" w:rsidP="00862A65">
      <w:pPr>
        <w:spacing w:after="0" w:line="240" w:lineRule="auto"/>
      </w:pPr>
      <w:r>
        <w:separator/>
      </w:r>
    </w:p>
  </w:endnote>
  <w:endnote w:type="continuationSeparator" w:id="0">
    <w:p w14:paraId="308E6801" w14:textId="77777777" w:rsidR="00B33291" w:rsidRDefault="00B33291" w:rsidP="0086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lix Medium">
    <w:altName w:val="Calibri"/>
    <w:charset w:val="4D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6AF8" w14:textId="07D3E688" w:rsidR="00862A65" w:rsidRDefault="00862A6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FA2E1" wp14:editId="7195E5CB">
          <wp:simplePos x="0" y="0"/>
          <wp:positionH relativeFrom="column">
            <wp:posOffset>4994424</wp:posOffset>
          </wp:positionH>
          <wp:positionV relativeFrom="paragraph">
            <wp:posOffset>-960755</wp:posOffset>
          </wp:positionV>
          <wp:extent cx="1333984" cy="1274958"/>
          <wp:effectExtent l="0" t="0" r="0" b="0"/>
          <wp:wrapNone/>
          <wp:docPr id="224059706" name="Picture 2" descr="A black circle with a clock towe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99252" name="Picture 2" descr="A black circle with a clock tower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84" cy="127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BC78" w14:textId="77777777" w:rsidR="00B33291" w:rsidRDefault="00B33291" w:rsidP="00862A65">
      <w:pPr>
        <w:spacing w:after="0" w:line="240" w:lineRule="auto"/>
      </w:pPr>
      <w:r>
        <w:separator/>
      </w:r>
    </w:p>
  </w:footnote>
  <w:footnote w:type="continuationSeparator" w:id="0">
    <w:p w14:paraId="3FA76478" w14:textId="77777777" w:rsidR="00B33291" w:rsidRDefault="00B33291" w:rsidP="0086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A3A" w14:textId="26C5B81A" w:rsidR="00862A65" w:rsidRDefault="00862A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4951D" wp14:editId="1A318DF9">
          <wp:simplePos x="0" y="0"/>
          <wp:positionH relativeFrom="column">
            <wp:posOffset>-1006708</wp:posOffset>
          </wp:positionH>
          <wp:positionV relativeFrom="paragraph">
            <wp:posOffset>-622847</wp:posOffset>
          </wp:positionV>
          <wp:extent cx="7870787" cy="1967697"/>
          <wp:effectExtent l="0" t="0" r="3810" b="1270"/>
          <wp:wrapNone/>
          <wp:docPr id="1866861323" name="Picture 1" descr="A blue and white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451591" name="Picture 1" descr="A blue and white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87" cy="196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45EC"/>
    <w:multiLevelType w:val="hybridMultilevel"/>
    <w:tmpl w:val="F9086E4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66A0BD0"/>
    <w:multiLevelType w:val="hybridMultilevel"/>
    <w:tmpl w:val="DC7405F8"/>
    <w:lvl w:ilvl="0" w:tplc="592ECAD8">
      <w:numFmt w:val="bullet"/>
      <w:lvlText w:val="•"/>
      <w:lvlJc w:val="left"/>
      <w:pPr>
        <w:ind w:left="21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6394AD92">
      <w:numFmt w:val="bullet"/>
      <w:lvlText w:val="•"/>
      <w:lvlJc w:val="left"/>
      <w:pPr>
        <w:ind w:left="3042" w:hanging="360"/>
      </w:pPr>
      <w:rPr>
        <w:rFonts w:hint="default"/>
        <w:lang w:val="en-AU" w:eastAsia="en-US" w:bidi="ar-SA"/>
      </w:rPr>
    </w:lvl>
    <w:lvl w:ilvl="2" w:tplc="2EA4BE9E">
      <w:numFmt w:val="bullet"/>
      <w:lvlText w:val="•"/>
      <w:lvlJc w:val="left"/>
      <w:pPr>
        <w:ind w:left="3985" w:hanging="360"/>
      </w:pPr>
      <w:rPr>
        <w:rFonts w:hint="default"/>
        <w:lang w:val="en-AU" w:eastAsia="en-US" w:bidi="ar-SA"/>
      </w:rPr>
    </w:lvl>
    <w:lvl w:ilvl="3" w:tplc="2B70B1D4">
      <w:numFmt w:val="bullet"/>
      <w:lvlText w:val="•"/>
      <w:lvlJc w:val="left"/>
      <w:pPr>
        <w:ind w:left="4927" w:hanging="360"/>
      </w:pPr>
      <w:rPr>
        <w:rFonts w:hint="default"/>
        <w:lang w:val="en-AU" w:eastAsia="en-US" w:bidi="ar-SA"/>
      </w:rPr>
    </w:lvl>
    <w:lvl w:ilvl="4" w:tplc="9F4EF41C">
      <w:numFmt w:val="bullet"/>
      <w:lvlText w:val="•"/>
      <w:lvlJc w:val="left"/>
      <w:pPr>
        <w:ind w:left="5870" w:hanging="360"/>
      </w:pPr>
      <w:rPr>
        <w:rFonts w:hint="default"/>
        <w:lang w:val="en-AU" w:eastAsia="en-US" w:bidi="ar-SA"/>
      </w:rPr>
    </w:lvl>
    <w:lvl w:ilvl="5" w:tplc="A1E2FF36">
      <w:numFmt w:val="bullet"/>
      <w:lvlText w:val="•"/>
      <w:lvlJc w:val="left"/>
      <w:pPr>
        <w:ind w:left="6813" w:hanging="360"/>
      </w:pPr>
      <w:rPr>
        <w:rFonts w:hint="default"/>
        <w:lang w:val="en-AU" w:eastAsia="en-US" w:bidi="ar-SA"/>
      </w:rPr>
    </w:lvl>
    <w:lvl w:ilvl="6" w:tplc="4CFE1F86">
      <w:numFmt w:val="bullet"/>
      <w:lvlText w:val="•"/>
      <w:lvlJc w:val="left"/>
      <w:pPr>
        <w:ind w:left="7755" w:hanging="360"/>
      </w:pPr>
      <w:rPr>
        <w:rFonts w:hint="default"/>
        <w:lang w:val="en-AU" w:eastAsia="en-US" w:bidi="ar-SA"/>
      </w:rPr>
    </w:lvl>
    <w:lvl w:ilvl="7" w:tplc="97EA96AC">
      <w:numFmt w:val="bullet"/>
      <w:lvlText w:val="•"/>
      <w:lvlJc w:val="left"/>
      <w:pPr>
        <w:ind w:left="8698" w:hanging="360"/>
      </w:pPr>
      <w:rPr>
        <w:rFonts w:hint="default"/>
        <w:lang w:val="en-AU" w:eastAsia="en-US" w:bidi="ar-SA"/>
      </w:rPr>
    </w:lvl>
    <w:lvl w:ilvl="8" w:tplc="EDA20340">
      <w:numFmt w:val="bullet"/>
      <w:lvlText w:val="•"/>
      <w:lvlJc w:val="left"/>
      <w:pPr>
        <w:ind w:left="9641" w:hanging="360"/>
      </w:pPr>
      <w:rPr>
        <w:rFonts w:hint="default"/>
        <w:lang w:val="en-AU" w:eastAsia="en-US" w:bidi="ar-SA"/>
      </w:rPr>
    </w:lvl>
  </w:abstractNum>
  <w:num w:numId="1" w16cid:durableId="5375572">
    <w:abstractNumId w:val="1"/>
  </w:num>
  <w:num w:numId="2" w16cid:durableId="20129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65"/>
    <w:rsid w:val="00144FEA"/>
    <w:rsid w:val="0020425A"/>
    <w:rsid w:val="00206448"/>
    <w:rsid w:val="00247600"/>
    <w:rsid w:val="002D65C6"/>
    <w:rsid w:val="00350783"/>
    <w:rsid w:val="00357D69"/>
    <w:rsid w:val="00480978"/>
    <w:rsid w:val="004F6E05"/>
    <w:rsid w:val="00563C71"/>
    <w:rsid w:val="005C518F"/>
    <w:rsid w:val="0074557C"/>
    <w:rsid w:val="00781C20"/>
    <w:rsid w:val="0078539B"/>
    <w:rsid w:val="00862A65"/>
    <w:rsid w:val="00925C65"/>
    <w:rsid w:val="00985DB8"/>
    <w:rsid w:val="00A220FB"/>
    <w:rsid w:val="00A7437E"/>
    <w:rsid w:val="00A84B23"/>
    <w:rsid w:val="00B33291"/>
    <w:rsid w:val="00B76972"/>
    <w:rsid w:val="00C179EC"/>
    <w:rsid w:val="00CD0587"/>
    <w:rsid w:val="00D05A4A"/>
    <w:rsid w:val="00EF2F27"/>
    <w:rsid w:val="00EF7311"/>
    <w:rsid w:val="00F62CE2"/>
    <w:rsid w:val="027CB771"/>
    <w:rsid w:val="712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E292"/>
  <w15:chartTrackingRefBased/>
  <w15:docId w15:val="{A76681B2-412D-A641-B835-4BAA845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6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65"/>
  </w:style>
  <w:style w:type="paragraph" w:styleId="Footer">
    <w:name w:val="footer"/>
    <w:basedOn w:val="Normal"/>
    <w:link w:val="Foot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65"/>
  </w:style>
  <w:style w:type="paragraph" w:styleId="BodyText">
    <w:name w:val="Body Text"/>
    <w:basedOn w:val="Normal"/>
    <w:link w:val="BodyTextChar"/>
    <w:uiPriority w:val="1"/>
    <w:qFormat/>
    <w:rsid w:val="00A84B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4B23"/>
    <w:rPr>
      <w:rFonts w:ascii="Calibri" w:eastAsia="Calibri" w:hAnsi="Calibri" w:cs="Calibri"/>
      <w:b/>
      <w:bCs/>
      <w:kern w:val="0"/>
      <w:sz w:val="28"/>
      <w:szCs w:val="28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6E05"/>
    <w:pPr>
      <w:widowControl w:val="0"/>
      <w:autoSpaceDE w:val="0"/>
      <w:autoSpaceDN w:val="0"/>
      <w:spacing w:before="120" w:after="0" w:line="240" w:lineRule="auto"/>
      <w:ind w:left="107"/>
    </w:pPr>
    <w:rPr>
      <w:rFonts w:ascii="Verdana" w:eastAsia="Verdana" w:hAnsi="Verdana" w:cs="Verdana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c0753-386d-458d-adf3-2473aaeee7d7">
      <Terms xmlns="http://schemas.microsoft.com/office/infopath/2007/PartnerControls"/>
    </lcf76f155ced4ddcb4097134ff3c332f>
    <Image xmlns="0c2c0753-386d-458d-adf3-2473aaeee7d7" xsi:nil="true"/>
    <TaxCatchAll xmlns="3de89b11-511f-4cd7-bc56-5a96aad069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237B61DDF842A24ABB267D8EE975" ma:contentTypeVersion="18" ma:contentTypeDescription="Create a new document." ma:contentTypeScope="" ma:versionID="20839424281a19da146c1d7f58ea6eb7">
  <xsd:schema xmlns:xsd="http://www.w3.org/2001/XMLSchema" xmlns:xs="http://www.w3.org/2001/XMLSchema" xmlns:p="http://schemas.microsoft.com/office/2006/metadata/properties" xmlns:ns2="0c2c0753-386d-458d-adf3-2473aaeee7d7" xmlns:ns3="3de89b11-511f-4cd7-bc56-5a96aad06993" targetNamespace="http://schemas.microsoft.com/office/2006/metadata/properties" ma:root="true" ma:fieldsID="16f0855669f6f346a26d16757be7887c" ns2:_="" ns3:_="">
    <xsd:import namespace="0c2c0753-386d-458d-adf3-2473aaeee7d7"/>
    <xsd:import namespace="3de89b11-511f-4cd7-bc56-5a96aad06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0753-386d-458d-adf3-2473aaee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77515d-a949-48a4-88c6-5935f806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9b11-511f-4cd7-bc56-5a96aad069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e4c8c-41ef-433e-9866-54e9589feb48}" ma:internalName="TaxCatchAll" ma:showField="CatchAllData" ma:web="3de89b11-511f-4cd7-bc56-5a96aad06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B5D55-8789-473E-A5F9-5F20059B1771}">
  <ds:schemaRefs>
    <ds:schemaRef ds:uri="http://schemas.microsoft.com/office/2006/metadata/properties"/>
    <ds:schemaRef ds:uri="http://schemas.microsoft.com/office/infopath/2007/PartnerControls"/>
    <ds:schemaRef ds:uri="0c2c0753-386d-458d-adf3-2473aaeee7d7"/>
    <ds:schemaRef ds:uri="3de89b11-511f-4cd7-bc56-5a96aad06993"/>
  </ds:schemaRefs>
</ds:datastoreItem>
</file>

<file path=customXml/itemProps2.xml><?xml version="1.0" encoding="utf-8"?>
<ds:datastoreItem xmlns:ds="http://schemas.openxmlformats.org/officeDocument/2006/customXml" ds:itemID="{6083FE31-02AF-4AE7-BEBE-90F86047E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28DD-1007-7D42-A076-ECAFB7FFA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93301-3A9A-4C2C-94B7-E84D6EB1E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TCW</dc:creator>
  <cp:keywords/>
  <dc:description/>
  <cp:lastModifiedBy>Alyson Crawford</cp:lastModifiedBy>
  <cp:revision>10</cp:revision>
  <cp:lastPrinted>2025-08-05T06:04:00Z</cp:lastPrinted>
  <dcterms:created xsi:type="dcterms:W3CDTF">2026-01-27T04:21:00Z</dcterms:created>
  <dcterms:modified xsi:type="dcterms:W3CDTF">2026-01-27T04:28:00Z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0x0101002409237B61DDF842A24ABB267D8EE975</vt:lpwstr>
  </property>
  <property fmtid="{D5CDD505-2E9C-101B-9397-08002B2CF9AE}" pid="3" name="MediaServiceImageTags">
    <vt:lpwstr/>
  </property>
</Properties>
</file>